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969A9" w14:textId="77777777" w:rsidR="008F5223" w:rsidRPr="00226F9D" w:rsidRDefault="008F5223" w:rsidP="008F5223">
      <w:pPr>
        <w:spacing w:after="0" w:line="240" w:lineRule="auto"/>
        <w:jc w:val="right"/>
        <w:rPr>
          <w:rFonts w:ascii="Times New Roman" w:hAnsi="Times New Roman" w:cs="Times New Roman"/>
        </w:rPr>
      </w:pPr>
      <w:r w:rsidRPr="00226F9D">
        <w:rPr>
          <w:rFonts w:ascii="Times New Roman" w:hAnsi="Times New Roman" w:cs="Times New Roman"/>
        </w:rPr>
        <w:t xml:space="preserve">ПРЕДЛОГ </w:t>
      </w:r>
    </w:p>
    <w:p w14:paraId="38CC28E4" w14:textId="77777777" w:rsidR="008F5223" w:rsidRPr="00226F9D" w:rsidRDefault="008F5223" w:rsidP="008F5223">
      <w:pPr>
        <w:spacing w:after="0" w:line="240" w:lineRule="auto"/>
        <w:rPr>
          <w:rFonts w:ascii="Times New Roman" w:hAnsi="Times New Roman" w:cs="Times New Roman"/>
        </w:rPr>
      </w:pPr>
    </w:p>
    <w:p w14:paraId="5019020F" w14:textId="673090B5" w:rsidR="00186019" w:rsidRPr="00226F9D" w:rsidRDefault="008F5223" w:rsidP="008F5223">
      <w:pPr>
        <w:spacing w:after="0" w:line="240" w:lineRule="auto"/>
        <w:rPr>
          <w:rFonts w:ascii="Times New Roman" w:hAnsi="Times New Roman" w:cs="Times New Roman"/>
          <w:b/>
          <w:bCs/>
          <w:sz w:val="28"/>
          <w:szCs w:val="28"/>
          <w:lang w:val="sr-Latn-RS"/>
        </w:rPr>
      </w:pPr>
      <w:r w:rsidRPr="00226F9D">
        <w:rPr>
          <w:rFonts w:ascii="Times New Roman" w:hAnsi="Times New Roman" w:cs="Times New Roman"/>
        </w:rPr>
        <w:t>На основу члана 38. став 1. Закона о планском систему Републике Србије („Сл</w:t>
      </w:r>
      <w:r w:rsidRPr="00226F9D">
        <w:rPr>
          <w:rFonts w:ascii="Times New Roman" w:hAnsi="Times New Roman" w:cs="Times New Roman"/>
          <w:lang w:val="sr-Cyrl-RS"/>
        </w:rPr>
        <w:t>ужбени</w:t>
      </w:r>
      <w:r w:rsidRPr="00226F9D">
        <w:rPr>
          <w:rFonts w:ascii="Times New Roman" w:hAnsi="Times New Roman" w:cs="Times New Roman"/>
        </w:rPr>
        <w:t xml:space="preserve"> гласник РС” број 30/18), Влада доноси</w:t>
      </w:r>
    </w:p>
    <w:p w14:paraId="476094FC" w14:textId="77777777" w:rsidR="00FB70CD" w:rsidRPr="00226F9D" w:rsidRDefault="00FB70CD" w:rsidP="00D543C8">
      <w:pPr>
        <w:spacing w:after="0" w:line="240" w:lineRule="auto"/>
        <w:jc w:val="center"/>
        <w:rPr>
          <w:rFonts w:ascii="Times New Roman" w:hAnsi="Times New Roman" w:cs="Times New Roman"/>
          <w:b/>
          <w:bCs/>
          <w:sz w:val="28"/>
          <w:szCs w:val="28"/>
          <w:lang w:val="sr-Latn-RS"/>
        </w:rPr>
      </w:pPr>
    </w:p>
    <w:p w14:paraId="113774F0" w14:textId="77777777" w:rsidR="005B0999" w:rsidRPr="00226F9D" w:rsidRDefault="005B0999" w:rsidP="00D543C8">
      <w:pPr>
        <w:spacing w:after="0" w:line="240" w:lineRule="auto"/>
        <w:jc w:val="center"/>
        <w:rPr>
          <w:rFonts w:ascii="Times New Roman" w:hAnsi="Times New Roman" w:cs="Times New Roman"/>
          <w:b/>
          <w:bCs/>
          <w:sz w:val="28"/>
          <w:szCs w:val="28"/>
          <w:lang w:val="sr-Latn-RS"/>
        </w:rPr>
      </w:pPr>
    </w:p>
    <w:p w14:paraId="388E46CA" w14:textId="77777777" w:rsidR="005B0999" w:rsidRPr="00226F9D" w:rsidRDefault="005B0999" w:rsidP="00D543C8">
      <w:pPr>
        <w:spacing w:after="0" w:line="240" w:lineRule="auto"/>
        <w:jc w:val="center"/>
        <w:rPr>
          <w:rFonts w:ascii="Times New Roman" w:hAnsi="Times New Roman" w:cs="Times New Roman"/>
          <w:b/>
          <w:bCs/>
          <w:sz w:val="28"/>
          <w:szCs w:val="28"/>
          <w:lang w:val="sr-Latn-RS"/>
        </w:rPr>
      </w:pPr>
    </w:p>
    <w:p w14:paraId="0AED9EB2" w14:textId="77777777" w:rsidR="005B0999" w:rsidRPr="00226F9D" w:rsidRDefault="005B0999" w:rsidP="00D543C8">
      <w:pPr>
        <w:spacing w:after="0" w:line="240" w:lineRule="auto"/>
        <w:jc w:val="center"/>
        <w:rPr>
          <w:rFonts w:ascii="Times New Roman" w:hAnsi="Times New Roman" w:cs="Times New Roman"/>
          <w:b/>
          <w:bCs/>
          <w:sz w:val="28"/>
          <w:szCs w:val="28"/>
          <w:lang w:val="sr-Latn-RS"/>
        </w:rPr>
      </w:pPr>
    </w:p>
    <w:p w14:paraId="333EF71E" w14:textId="77777777" w:rsidR="005B0999" w:rsidRPr="00226F9D" w:rsidRDefault="005B0999" w:rsidP="00D543C8">
      <w:pPr>
        <w:spacing w:after="0" w:line="240" w:lineRule="auto"/>
        <w:jc w:val="center"/>
        <w:rPr>
          <w:rFonts w:ascii="Times New Roman" w:hAnsi="Times New Roman" w:cs="Times New Roman"/>
          <w:b/>
          <w:bCs/>
          <w:sz w:val="28"/>
          <w:szCs w:val="28"/>
          <w:lang w:val="sr-Latn-RS"/>
        </w:rPr>
      </w:pPr>
    </w:p>
    <w:p w14:paraId="43918863" w14:textId="77777777" w:rsidR="00FB70CD" w:rsidRPr="00226F9D" w:rsidRDefault="00FB70CD" w:rsidP="00D543C8">
      <w:pPr>
        <w:spacing w:after="0" w:line="240" w:lineRule="auto"/>
        <w:jc w:val="center"/>
        <w:rPr>
          <w:rFonts w:ascii="Times New Roman" w:hAnsi="Times New Roman" w:cs="Times New Roman"/>
          <w:b/>
          <w:bCs/>
          <w:sz w:val="28"/>
          <w:szCs w:val="28"/>
          <w:lang w:val="sr-Latn-RS"/>
        </w:rPr>
      </w:pPr>
    </w:p>
    <w:p w14:paraId="03ABE37A" w14:textId="77777777" w:rsidR="00186019" w:rsidRPr="00226F9D" w:rsidRDefault="00186019" w:rsidP="00D543C8">
      <w:pPr>
        <w:spacing w:after="0" w:line="240" w:lineRule="auto"/>
        <w:jc w:val="center"/>
        <w:rPr>
          <w:rFonts w:ascii="Times New Roman" w:hAnsi="Times New Roman" w:cs="Times New Roman"/>
          <w:b/>
          <w:bCs/>
          <w:sz w:val="28"/>
          <w:szCs w:val="28"/>
          <w:lang w:val="sr-Latn-RS"/>
        </w:rPr>
      </w:pPr>
    </w:p>
    <w:p w14:paraId="51701874" w14:textId="77777777" w:rsidR="00885601" w:rsidRPr="00226F9D" w:rsidRDefault="00885601" w:rsidP="00D543C8">
      <w:pPr>
        <w:spacing w:after="0" w:line="240" w:lineRule="auto"/>
        <w:jc w:val="center"/>
        <w:rPr>
          <w:rFonts w:ascii="Times New Roman" w:hAnsi="Times New Roman" w:cs="Times New Roman"/>
          <w:b/>
          <w:bCs/>
          <w:sz w:val="28"/>
          <w:szCs w:val="28"/>
          <w:lang w:val="sr-Latn-RS"/>
        </w:rPr>
      </w:pPr>
    </w:p>
    <w:p w14:paraId="0DA4CA9C" w14:textId="77777777" w:rsidR="00885601" w:rsidRPr="00226F9D" w:rsidRDefault="00885601" w:rsidP="00D543C8">
      <w:pPr>
        <w:spacing w:after="0" w:line="240" w:lineRule="auto"/>
        <w:jc w:val="center"/>
        <w:rPr>
          <w:rFonts w:ascii="Times New Roman" w:hAnsi="Times New Roman" w:cs="Times New Roman"/>
          <w:b/>
          <w:bCs/>
          <w:sz w:val="28"/>
          <w:szCs w:val="28"/>
          <w:lang w:val="sr-Latn-RS"/>
        </w:rPr>
      </w:pPr>
    </w:p>
    <w:p w14:paraId="3E7AAAFC" w14:textId="659C5924" w:rsidR="009507EE" w:rsidRPr="00226F9D" w:rsidRDefault="00C27AE6" w:rsidP="00D543C8">
      <w:pPr>
        <w:spacing w:after="0" w:line="240" w:lineRule="auto"/>
        <w:jc w:val="center"/>
        <w:rPr>
          <w:rFonts w:ascii="Times New Roman" w:hAnsi="Times New Roman" w:cs="Times New Roman"/>
          <w:b/>
          <w:bCs/>
          <w:sz w:val="40"/>
          <w:szCs w:val="40"/>
          <w:lang w:val="sr-Latn-RS"/>
        </w:rPr>
      </w:pPr>
      <w:r w:rsidRPr="00226F9D">
        <w:rPr>
          <w:rFonts w:ascii="Times New Roman" w:hAnsi="Times New Roman" w:cs="Times New Roman"/>
          <w:b/>
          <w:bCs/>
          <w:sz w:val="40"/>
          <w:szCs w:val="40"/>
          <w:lang w:val="sr-Cyrl-RS"/>
        </w:rPr>
        <w:t xml:space="preserve">ПРОГРАМ ЗА РЕФОРМУ </w:t>
      </w:r>
      <w:r w:rsidR="00885601" w:rsidRPr="00226F9D">
        <w:rPr>
          <w:rFonts w:ascii="Times New Roman" w:hAnsi="Times New Roman" w:cs="Times New Roman"/>
          <w:b/>
          <w:bCs/>
          <w:sz w:val="40"/>
          <w:szCs w:val="40"/>
          <w:lang w:val="sr-Latn-RS"/>
        </w:rPr>
        <w:br/>
      </w:r>
      <w:r w:rsidRPr="00226F9D">
        <w:rPr>
          <w:rFonts w:ascii="Times New Roman" w:hAnsi="Times New Roman" w:cs="Times New Roman"/>
          <w:b/>
          <w:bCs/>
          <w:sz w:val="40"/>
          <w:szCs w:val="40"/>
          <w:lang w:val="sr-Cyrl-RS"/>
        </w:rPr>
        <w:t>СИСТЕМА ЛОКАЛНЕ САМОУПРАВЕ У РЕПУБЛИЦИ СРБИЈИ</w:t>
      </w:r>
    </w:p>
    <w:p w14:paraId="15F6E54C" w14:textId="5010BAD0" w:rsidR="00C80E61" w:rsidRPr="00226F9D" w:rsidRDefault="008F5223" w:rsidP="008F5223">
      <w:pPr>
        <w:spacing w:after="0" w:line="240" w:lineRule="auto"/>
        <w:jc w:val="center"/>
        <w:rPr>
          <w:rFonts w:ascii="Times New Roman" w:hAnsi="Times New Roman" w:cs="Times New Roman"/>
          <w:sz w:val="32"/>
          <w:szCs w:val="32"/>
        </w:rPr>
      </w:pPr>
      <w:r w:rsidRPr="00226F9D">
        <w:rPr>
          <w:rFonts w:ascii="Times New Roman" w:hAnsi="Times New Roman" w:cs="Times New Roman"/>
          <w:sz w:val="32"/>
          <w:szCs w:val="32"/>
          <w:lang w:val="sr-Cyrl-RS"/>
        </w:rPr>
        <w:t>СА АКЦИОНИМ ПЛАНОМ ЗА ПЕРИОД</w:t>
      </w:r>
      <w:r w:rsidR="00DC7D5C" w:rsidRPr="00226F9D">
        <w:rPr>
          <w:rFonts w:ascii="Times New Roman" w:hAnsi="Times New Roman" w:cs="Times New Roman"/>
          <w:sz w:val="32"/>
          <w:szCs w:val="32"/>
          <w:lang w:val="sr-Cyrl-RS"/>
        </w:rPr>
        <w:t xml:space="preserve"> ОД 2026-2030.ГОДИНЕ</w:t>
      </w:r>
    </w:p>
    <w:p w14:paraId="3632B79E" w14:textId="5EB0641C" w:rsidR="00C27AE6" w:rsidRPr="00226F9D" w:rsidRDefault="00C27AE6" w:rsidP="00885601">
      <w:pPr>
        <w:spacing w:after="0" w:line="240" w:lineRule="auto"/>
        <w:jc w:val="center"/>
        <w:rPr>
          <w:rFonts w:ascii="Times New Roman" w:hAnsi="Times New Roman" w:cs="Times New Roman"/>
          <w:lang w:val="sr-Cyrl-RS"/>
        </w:rPr>
      </w:pPr>
    </w:p>
    <w:p w14:paraId="3AEAFE2E" w14:textId="77777777" w:rsidR="00C27AE6" w:rsidRPr="00226F9D" w:rsidRDefault="00C27AE6" w:rsidP="00885601">
      <w:pPr>
        <w:spacing w:after="0" w:line="240" w:lineRule="auto"/>
        <w:jc w:val="center"/>
        <w:rPr>
          <w:rFonts w:ascii="Times New Roman" w:hAnsi="Times New Roman" w:cs="Times New Roman"/>
          <w:lang w:val="sr-Cyrl-RS"/>
        </w:rPr>
      </w:pPr>
    </w:p>
    <w:p w14:paraId="06BCC00E" w14:textId="77777777" w:rsidR="00C27AE6" w:rsidRPr="00226F9D" w:rsidRDefault="00C27AE6" w:rsidP="00885601">
      <w:pPr>
        <w:spacing w:after="0" w:line="240" w:lineRule="auto"/>
        <w:jc w:val="center"/>
        <w:rPr>
          <w:rFonts w:ascii="Times New Roman" w:hAnsi="Times New Roman" w:cs="Times New Roman"/>
          <w:lang w:val="sr-Cyrl-RS"/>
        </w:rPr>
      </w:pPr>
    </w:p>
    <w:p w14:paraId="036FFC80" w14:textId="77777777" w:rsidR="00C27AE6" w:rsidRPr="00226F9D" w:rsidRDefault="00C27AE6" w:rsidP="00885601">
      <w:pPr>
        <w:spacing w:after="0" w:line="240" w:lineRule="auto"/>
        <w:jc w:val="center"/>
        <w:rPr>
          <w:rFonts w:ascii="Times New Roman" w:hAnsi="Times New Roman" w:cs="Times New Roman"/>
          <w:lang w:val="sr-Latn-RS"/>
        </w:rPr>
      </w:pPr>
    </w:p>
    <w:p w14:paraId="153440D9" w14:textId="77777777" w:rsidR="00C27AE6" w:rsidRPr="00226F9D" w:rsidRDefault="00C27AE6" w:rsidP="00885601">
      <w:pPr>
        <w:spacing w:after="0" w:line="240" w:lineRule="auto"/>
        <w:jc w:val="center"/>
        <w:rPr>
          <w:rFonts w:ascii="Times New Roman" w:hAnsi="Times New Roman" w:cs="Times New Roman"/>
          <w:lang w:val="sr-Cyrl-RS"/>
        </w:rPr>
      </w:pPr>
    </w:p>
    <w:p w14:paraId="09972320" w14:textId="77777777" w:rsidR="00C27AE6" w:rsidRPr="00226F9D" w:rsidRDefault="00C27AE6" w:rsidP="00885601">
      <w:pPr>
        <w:spacing w:after="0" w:line="240" w:lineRule="auto"/>
        <w:jc w:val="center"/>
        <w:rPr>
          <w:rFonts w:ascii="Times New Roman" w:hAnsi="Times New Roman" w:cs="Times New Roman"/>
          <w:lang w:val="sr-Cyrl-RS"/>
        </w:rPr>
      </w:pPr>
    </w:p>
    <w:p w14:paraId="37F96B8A" w14:textId="77777777" w:rsidR="00C27AE6" w:rsidRPr="00226F9D" w:rsidRDefault="00C27AE6" w:rsidP="00885601">
      <w:pPr>
        <w:spacing w:after="0" w:line="240" w:lineRule="auto"/>
        <w:jc w:val="center"/>
        <w:rPr>
          <w:rFonts w:ascii="Times New Roman" w:hAnsi="Times New Roman" w:cs="Times New Roman"/>
          <w:lang w:val="sr-Cyrl-RS"/>
        </w:rPr>
      </w:pPr>
    </w:p>
    <w:p w14:paraId="5C21716C" w14:textId="77777777" w:rsidR="00C27AE6" w:rsidRPr="00226F9D" w:rsidRDefault="00C27AE6" w:rsidP="00885601">
      <w:pPr>
        <w:spacing w:after="0" w:line="240" w:lineRule="auto"/>
        <w:jc w:val="center"/>
        <w:rPr>
          <w:rFonts w:ascii="Times New Roman" w:hAnsi="Times New Roman" w:cs="Times New Roman"/>
        </w:rPr>
      </w:pPr>
    </w:p>
    <w:p w14:paraId="7176F379" w14:textId="77777777" w:rsidR="005B0999" w:rsidRPr="00226F9D" w:rsidRDefault="005B0999" w:rsidP="00885601">
      <w:pPr>
        <w:spacing w:after="0" w:line="240" w:lineRule="auto"/>
        <w:jc w:val="center"/>
        <w:rPr>
          <w:rFonts w:ascii="Times New Roman" w:hAnsi="Times New Roman" w:cs="Times New Roman"/>
        </w:rPr>
      </w:pPr>
    </w:p>
    <w:p w14:paraId="604750DD" w14:textId="77777777" w:rsidR="00EC2D47" w:rsidRPr="00226F9D" w:rsidRDefault="00EC2D47" w:rsidP="00885601">
      <w:pPr>
        <w:spacing w:after="0" w:line="240" w:lineRule="auto"/>
        <w:jc w:val="center"/>
        <w:rPr>
          <w:rFonts w:ascii="Times New Roman" w:hAnsi="Times New Roman" w:cs="Times New Roman"/>
        </w:rPr>
      </w:pPr>
    </w:p>
    <w:p w14:paraId="408BC9FB" w14:textId="77777777" w:rsidR="00FB70CD" w:rsidRPr="00226F9D" w:rsidRDefault="00FB70CD" w:rsidP="00885601">
      <w:pPr>
        <w:spacing w:after="0" w:line="240" w:lineRule="auto"/>
        <w:jc w:val="center"/>
        <w:rPr>
          <w:rFonts w:ascii="Times New Roman" w:hAnsi="Times New Roman" w:cs="Times New Roman"/>
        </w:rPr>
      </w:pPr>
    </w:p>
    <w:p w14:paraId="370BDB95" w14:textId="77777777" w:rsidR="00FB70CD" w:rsidRPr="00226F9D" w:rsidRDefault="00FB70CD" w:rsidP="00885601">
      <w:pPr>
        <w:spacing w:after="0" w:line="240" w:lineRule="auto"/>
        <w:jc w:val="center"/>
        <w:rPr>
          <w:rFonts w:ascii="Times New Roman" w:hAnsi="Times New Roman" w:cs="Times New Roman"/>
        </w:rPr>
      </w:pPr>
    </w:p>
    <w:p w14:paraId="0ADC67D8" w14:textId="77777777" w:rsidR="00FB70CD" w:rsidRPr="00226F9D" w:rsidRDefault="00FB70CD" w:rsidP="00885601">
      <w:pPr>
        <w:spacing w:after="0" w:line="240" w:lineRule="auto"/>
        <w:jc w:val="center"/>
        <w:rPr>
          <w:rFonts w:ascii="Times New Roman" w:hAnsi="Times New Roman" w:cs="Times New Roman"/>
        </w:rPr>
      </w:pPr>
    </w:p>
    <w:p w14:paraId="30C07E77" w14:textId="77777777" w:rsidR="00C27AE6" w:rsidRPr="00226F9D" w:rsidRDefault="00C27AE6" w:rsidP="00885601">
      <w:pPr>
        <w:spacing w:after="0" w:line="240" w:lineRule="auto"/>
        <w:jc w:val="center"/>
        <w:rPr>
          <w:rFonts w:ascii="Times New Roman" w:hAnsi="Times New Roman" w:cs="Times New Roman"/>
          <w:lang w:val="sr-Latn-RS"/>
        </w:rPr>
      </w:pPr>
    </w:p>
    <w:p w14:paraId="182BDDC6" w14:textId="77777777" w:rsidR="00C20C8A" w:rsidRPr="00226F9D" w:rsidRDefault="00C20C8A" w:rsidP="00885601">
      <w:pPr>
        <w:spacing w:after="0" w:line="240" w:lineRule="auto"/>
        <w:jc w:val="center"/>
        <w:rPr>
          <w:rFonts w:ascii="Times New Roman" w:hAnsi="Times New Roman" w:cs="Times New Roman"/>
          <w:lang w:val="sr-Cyrl-RS"/>
        </w:rPr>
      </w:pPr>
    </w:p>
    <w:p w14:paraId="4A39FE4B" w14:textId="77777777" w:rsidR="00C20C8A" w:rsidRPr="00226F9D" w:rsidRDefault="00C20C8A" w:rsidP="00885601">
      <w:pPr>
        <w:spacing w:after="0" w:line="240" w:lineRule="auto"/>
        <w:jc w:val="center"/>
        <w:rPr>
          <w:rFonts w:ascii="Times New Roman" w:hAnsi="Times New Roman" w:cs="Times New Roman"/>
          <w:lang w:val="sr-Cyrl-RS"/>
        </w:rPr>
      </w:pPr>
    </w:p>
    <w:p w14:paraId="1615970F" w14:textId="77777777" w:rsidR="00C20C8A" w:rsidRPr="00226F9D" w:rsidRDefault="00C20C8A" w:rsidP="00885601">
      <w:pPr>
        <w:spacing w:after="0" w:line="240" w:lineRule="auto"/>
        <w:jc w:val="center"/>
        <w:rPr>
          <w:rFonts w:ascii="Times New Roman" w:hAnsi="Times New Roman" w:cs="Times New Roman"/>
          <w:lang w:val="sr-Cyrl-RS"/>
        </w:rPr>
      </w:pPr>
    </w:p>
    <w:p w14:paraId="252A66E3" w14:textId="43B1CE26" w:rsidR="00C20C8A" w:rsidRPr="00226F9D" w:rsidRDefault="00C20C8A" w:rsidP="008F5223">
      <w:pPr>
        <w:spacing w:after="0" w:line="240" w:lineRule="auto"/>
        <w:rPr>
          <w:rFonts w:ascii="Times New Roman" w:hAnsi="Times New Roman" w:cs="Times New Roman"/>
          <w:lang w:val="sr-Cyrl-RS"/>
        </w:rPr>
      </w:pPr>
    </w:p>
    <w:p w14:paraId="0266C3A5" w14:textId="77777777" w:rsidR="00C20C8A" w:rsidRPr="00226F9D" w:rsidRDefault="00C20C8A" w:rsidP="00885601">
      <w:pPr>
        <w:spacing w:after="0" w:line="240" w:lineRule="auto"/>
        <w:jc w:val="center"/>
        <w:rPr>
          <w:rFonts w:ascii="Times New Roman" w:hAnsi="Times New Roman" w:cs="Times New Roman"/>
          <w:lang w:val="sr-Cyrl-RS"/>
        </w:rPr>
      </w:pPr>
    </w:p>
    <w:p w14:paraId="37D7AEE6" w14:textId="77777777" w:rsidR="00C20C8A" w:rsidRPr="00226F9D" w:rsidRDefault="00C20C8A" w:rsidP="00885601">
      <w:pPr>
        <w:spacing w:after="0" w:line="240" w:lineRule="auto"/>
        <w:jc w:val="center"/>
        <w:rPr>
          <w:rFonts w:ascii="Times New Roman" w:hAnsi="Times New Roman" w:cs="Times New Roman"/>
        </w:rPr>
      </w:pPr>
    </w:p>
    <w:p w14:paraId="305EAA6D" w14:textId="77777777" w:rsidR="00EC2D47" w:rsidRPr="00226F9D" w:rsidRDefault="00EC2D47" w:rsidP="00885601">
      <w:pPr>
        <w:spacing w:after="0" w:line="240" w:lineRule="auto"/>
        <w:jc w:val="center"/>
        <w:rPr>
          <w:rFonts w:ascii="Times New Roman" w:hAnsi="Times New Roman" w:cs="Times New Roman"/>
        </w:rPr>
      </w:pPr>
    </w:p>
    <w:p w14:paraId="26D117FF" w14:textId="77777777" w:rsidR="00EC2D47" w:rsidRPr="00226F9D" w:rsidRDefault="00EC2D47" w:rsidP="00885601">
      <w:pPr>
        <w:spacing w:after="0" w:line="240" w:lineRule="auto"/>
        <w:jc w:val="center"/>
        <w:rPr>
          <w:rFonts w:ascii="Times New Roman" w:hAnsi="Times New Roman" w:cs="Times New Roman"/>
        </w:rPr>
      </w:pPr>
    </w:p>
    <w:p w14:paraId="10B969F0" w14:textId="77777777" w:rsidR="00EC2D47" w:rsidRPr="00226F9D" w:rsidRDefault="00EC2D47" w:rsidP="00885601">
      <w:pPr>
        <w:spacing w:after="0" w:line="240" w:lineRule="auto"/>
        <w:jc w:val="center"/>
        <w:rPr>
          <w:rFonts w:ascii="Times New Roman" w:hAnsi="Times New Roman" w:cs="Times New Roman"/>
        </w:rPr>
      </w:pPr>
    </w:p>
    <w:p w14:paraId="10819A6C" w14:textId="77777777" w:rsidR="00EC2D47" w:rsidRPr="00226F9D" w:rsidRDefault="00EC2D47" w:rsidP="00885601">
      <w:pPr>
        <w:spacing w:after="0" w:line="240" w:lineRule="auto"/>
        <w:jc w:val="center"/>
        <w:rPr>
          <w:rFonts w:ascii="Times New Roman" w:hAnsi="Times New Roman" w:cs="Times New Roman"/>
        </w:rPr>
      </w:pPr>
    </w:p>
    <w:p w14:paraId="752B31C9" w14:textId="77777777" w:rsidR="00885601" w:rsidRPr="00226F9D" w:rsidRDefault="00885601" w:rsidP="00885601">
      <w:pPr>
        <w:spacing w:after="0" w:line="240" w:lineRule="auto"/>
        <w:jc w:val="center"/>
        <w:rPr>
          <w:rFonts w:ascii="Times New Roman" w:hAnsi="Times New Roman" w:cs="Times New Roman"/>
        </w:rPr>
      </w:pPr>
    </w:p>
    <w:p w14:paraId="17B647CF" w14:textId="145963D1" w:rsidR="00FB70CD" w:rsidRPr="00226F9D" w:rsidRDefault="008810D6" w:rsidP="00885601">
      <w:pPr>
        <w:spacing w:after="0" w:line="240" w:lineRule="auto"/>
        <w:jc w:val="center"/>
        <w:rPr>
          <w:rFonts w:ascii="Times New Roman" w:hAnsi="Times New Roman" w:cs="Times New Roman"/>
        </w:rPr>
      </w:pPr>
      <w:r w:rsidRPr="00226F9D">
        <w:rPr>
          <w:rFonts w:ascii="Times New Roman" w:hAnsi="Times New Roman" w:cs="Times New Roman"/>
          <w:lang w:val="sr-Cyrl-RS"/>
        </w:rPr>
        <w:t>Београд</w:t>
      </w:r>
      <w:r w:rsidR="00885601" w:rsidRPr="00226F9D">
        <w:rPr>
          <w:rFonts w:ascii="Times New Roman" w:hAnsi="Times New Roman" w:cs="Times New Roman"/>
        </w:rPr>
        <w:t>, 2026.</w:t>
      </w:r>
      <w:r w:rsidR="00FB70CD" w:rsidRPr="00226F9D">
        <w:rPr>
          <w:rFonts w:ascii="Times New Roman" w:hAnsi="Times New Roman" w:cs="Times New Roman"/>
        </w:rPr>
        <w:br w:type="page"/>
      </w:r>
    </w:p>
    <w:p w14:paraId="479FB113" w14:textId="77777777" w:rsidR="00BD0BD3" w:rsidRPr="00226F9D" w:rsidRDefault="00BD0BD3" w:rsidP="00BD0BD3">
      <w:pPr>
        <w:rPr>
          <w:rFonts w:ascii="Times New Roman" w:hAnsi="Times New Roman" w:cs="Times New Roman"/>
          <w:lang w:val="sr-Cyrl-RS"/>
        </w:rPr>
      </w:pPr>
    </w:p>
    <w:p w14:paraId="5458FB52" w14:textId="77777777" w:rsidR="00BD0BD3" w:rsidRPr="00226F9D" w:rsidRDefault="00BD0BD3" w:rsidP="00BD0BD3">
      <w:pPr>
        <w:rPr>
          <w:rFonts w:ascii="Times New Roman" w:hAnsi="Times New Roman" w:cs="Times New Roman"/>
          <w:lang w:val="sr-Cyrl-RS"/>
        </w:rPr>
      </w:pPr>
    </w:p>
    <w:sdt>
      <w:sdtPr>
        <w:rPr>
          <w:rFonts w:ascii="Times New Roman" w:eastAsiaTheme="minorEastAsia" w:hAnsi="Times New Roman" w:cs="Times New Roman"/>
          <w:color w:val="auto"/>
          <w:kern w:val="2"/>
          <w:sz w:val="44"/>
          <w:szCs w:val="44"/>
          <w:lang w:val="en-US"/>
          <w14:ligatures w14:val="standardContextual"/>
        </w:rPr>
        <w:id w:val="2075007034"/>
        <w:docPartObj>
          <w:docPartGallery w:val="Table of Contents"/>
          <w:docPartUnique/>
        </w:docPartObj>
      </w:sdtPr>
      <w:sdtEndPr>
        <w:rPr>
          <w:b/>
          <w:bCs/>
          <w:sz w:val="24"/>
          <w:szCs w:val="24"/>
        </w:rPr>
      </w:sdtEndPr>
      <w:sdtContent>
        <w:p w14:paraId="7BD247B4" w14:textId="30DCCA47" w:rsidR="005B0999" w:rsidRPr="00226F9D" w:rsidRDefault="005E2F08" w:rsidP="00561811">
          <w:pPr>
            <w:pStyle w:val="TOCHeading"/>
            <w:rPr>
              <w:rFonts w:ascii="Times New Roman" w:hAnsi="Times New Roman" w:cs="Times New Roman"/>
              <w:sz w:val="44"/>
              <w:szCs w:val="44"/>
              <w:lang w:val="sr-Cyrl-RS"/>
            </w:rPr>
          </w:pPr>
          <w:r w:rsidRPr="00226F9D">
            <w:rPr>
              <w:rFonts w:ascii="Times New Roman" w:hAnsi="Times New Roman" w:cs="Times New Roman"/>
              <w:sz w:val="44"/>
              <w:szCs w:val="44"/>
            </w:rPr>
            <w:t>Садржај</w:t>
          </w:r>
        </w:p>
        <w:p w14:paraId="49726DF6" w14:textId="77777777" w:rsidR="00885601" w:rsidRPr="00226F9D" w:rsidRDefault="00885601" w:rsidP="00EF3891">
          <w:pPr>
            <w:spacing w:after="80" w:line="240" w:lineRule="auto"/>
            <w:rPr>
              <w:rFonts w:ascii="Times New Roman" w:hAnsi="Times New Roman" w:cs="Times New Roman"/>
              <w:sz w:val="22"/>
              <w:szCs w:val="22"/>
              <w:lang w:val="sr-Latn-RS"/>
            </w:rPr>
          </w:pPr>
        </w:p>
        <w:p w14:paraId="4693DE52" w14:textId="28D94AED" w:rsidR="00C43FA9" w:rsidRPr="00226F9D" w:rsidRDefault="008E4D40">
          <w:pPr>
            <w:pStyle w:val="TOC1"/>
            <w:tabs>
              <w:tab w:val="right" w:leader="dot" w:pos="9622"/>
            </w:tabs>
            <w:rPr>
              <w:rFonts w:ascii="Times New Roman" w:eastAsiaTheme="minorEastAsia" w:hAnsi="Times New Roman" w:cs="Times New Roman"/>
              <w:noProof/>
              <w:lang w:val="en-GB" w:eastAsia="en-GB"/>
            </w:rPr>
          </w:pPr>
          <w:r w:rsidRPr="00226F9D">
            <w:rPr>
              <w:rFonts w:ascii="Times New Roman" w:hAnsi="Times New Roman" w:cs="Times New Roman"/>
              <w:sz w:val="22"/>
              <w:szCs w:val="22"/>
            </w:rPr>
            <w:fldChar w:fldCharType="begin"/>
          </w:r>
          <w:r w:rsidRPr="00226F9D">
            <w:rPr>
              <w:rFonts w:ascii="Times New Roman" w:hAnsi="Times New Roman" w:cs="Times New Roman"/>
              <w:sz w:val="22"/>
              <w:szCs w:val="22"/>
            </w:rPr>
            <w:instrText xml:space="preserve"> TOC \o "1-3" \h \z \u </w:instrText>
          </w:r>
          <w:r w:rsidRPr="00226F9D">
            <w:rPr>
              <w:rFonts w:ascii="Times New Roman" w:hAnsi="Times New Roman" w:cs="Times New Roman"/>
              <w:sz w:val="22"/>
              <w:szCs w:val="22"/>
            </w:rPr>
            <w:fldChar w:fldCharType="separate"/>
          </w:r>
          <w:hyperlink w:anchor="_Toc222753910" w:history="1">
            <w:r w:rsidR="00C43FA9" w:rsidRPr="00226F9D">
              <w:rPr>
                <w:rStyle w:val="Hyperlink"/>
                <w:rFonts w:ascii="Times New Roman" w:hAnsi="Times New Roman" w:cs="Times New Roman"/>
                <w:noProof/>
              </w:rPr>
              <w:t>Листа скраћеница</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_Toc222753910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4</w:t>
            </w:r>
            <w:r w:rsidR="00C43FA9" w:rsidRPr="00226F9D">
              <w:rPr>
                <w:rFonts w:ascii="Times New Roman" w:hAnsi="Times New Roman" w:cs="Times New Roman"/>
                <w:noProof/>
                <w:webHidden/>
              </w:rPr>
              <w:fldChar w:fldCharType="end"/>
            </w:r>
          </w:hyperlink>
        </w:p>
        <w:p w14:paraId="31C4BE64" w14:textId="1799FE7F" w:rsidR="00C43FA9" w:rsidRPr="00226F9D" w:rsidRDefault="00D155C4">
          <w:pPr>
            <w:pStyle w:val="TOC1"/>
            <w:tabs>
              <w:tab w:val="right" w:leader="dot" w:pos="9622"/>
            </w:tabs>
            <w:rPr>
              <w:rFonts w:ascii="Times New Roman" w:eastAsiaTheme="minorEastAsia" w:hAnsi="Times New Roman" w:cs="Times New Roman"/>
              <w:noProof/>
              <w:lang w:val="en-GB" w:eastAsia="en-GB"/>
            </w:rPr>
          </w:pPr>
          <w:hyperlink w:anchor="_Toc222753911" w:history="1">
            <w:r w:rsidR="00C43FA9" w:rsidRPr="00226F9D">
              <w:rPr>
                <w:rStyle w:val="Hyperlink"/>
                <w:rFonts w:ascii="Times New Roman" w:hAnsi="Times New Roman" w:cs="Times New Roman"/>
                <w:noProof/>
              </w:rPr>
              <w:t>I Увод</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_Toc222753911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6</w:t>
            </w:r>
            <w:r w:rsidR="00C43FA9" w:rsidRPr="00226F9D">
              <w:rPr>
                <w:rFonts w:ascii="Times New Roman" w:hAnsi="Times New Roman" w:cs="Times New Roman"/>
                <w:noProof/>
                <w:webHidden/>
              </w:rPr>
              <w:fldChar w:fldCharType="end"/>
            </w:r>
          </w:hyperlink>
        </w:p>
        <w:p w14:paraId="63C8CA8F" w14:textId="673A65ED" w:rsidR="00C43FA9" w:rsidRPr="00226F9D" w:rsidRDefault="00D155C4">
          <w:pPr>
            <w:pStyle w:val="TOC1"/>
            <w:tabs>
              <w:tab w:val="right" w:leader="dot" w:pos="9622"/>
            </w:tabs>
            <w:rPr>
              <w:rFonts w:ascii="Times New Roman" w:eastAsiaTheme="minorEastAsia" w:hAnsi="Times New Roman" w:cs="Times New Roman"/>
              <w:noProof/>
              <w:lang w:val="en-GB" w:eastAsia="en-GB"/>
            </w:rPr>
          </w:pPr>
          <w:hyperlink w:anchor="_Toc222753912" w:history="1">
            <w:r w:rsidR="00C43FA9" w:rsidRPr="00226F9D">
              <w:rPr>
                <w:rStyle w:val="Hyperlink"/>
                <w:rFonts w:ascii="Times New Roman" w:hAnsi="Times New Roman" w:cs="Times New Roman"/>
                <w:noProof/>
              </w:rPr>
              <w:t>II Преглед и анализа постојећег стања</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_Toc222753912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8</w:t>
            </w:r>
            <w:r w:rsidR="00C43FA9" w:rsidRPr="00226F9D">
              <w:rPr>
                <w:rFonts w:ascii="Times New Roman" w:hAnsi="Times New Roman" w:cs="Times New Roman"/>
                <w:noProof/>
                <w:webHidden/>
              </w:rPr>
              <w:fldChar w:fldCharType="end"/>
            </w:r>
          </w:hyperlink>
        </w:p>
        <w:p w14:paraId="290FADB0" w14:textId="330E2468" w:rsidR="00C43FA9" w:rsidRPr="00226F9D" w:rsidRDefault="00D155C4">
          <w:pPr>
            <w:pStyle w:val="TOC2"/>
            <w:tabs>
              <w:tab w:val="left" w:pos="720"/>
              <w:tab w:val="right" w:leader="dot" w:pos="9622"/>
            </w:tabs>
            <w:rPr>
              <w:rFonts w:ascii="Times New Roman" w:eastAsiaTheme="minorEastAsia" w:hAnsi="Times New Roman" w:cs="Times New Roman"/>
              <w:noProof/>
              <w:lang w:val="en-GB" w:eastAsia="en-GB"/>
            </w:rPr>
          </w:pPr>
          <w:hyperlink w:anchor="_Toc222753913" w:history="1">
            <w:r w:rsidR="00C43FA9" w:rsidRPr="00226F9D">
              <w:rPr>
                <w:rStyle w:val="Hyperlink"/>
                <w:rFonts w:ascii="Times New Roman" w:hAnsi="Times New Roman" w:cs="Times New Roman"/>
                <w:noProof/>
                <w:lang w:val="sr-Cyrl-RS"/>
              </w:rPr>
              <w:t>1.</w:t>
            </w:r>
            <w:r w:rsidR="00C43FA9" w:rsidRPr="00226F9D">
              <w:rPr>
                <w:rFonts w:ascii="Times New Roman" w:eastAsiaTheme="minorEastAsia" w:hAnsi="Times New Roman" w:cs="Times New Roman"/>
                <w:noProof/>
                <w:lang w:val="en-GB" w:eastAsia="en-GB"/>
              </w:rPr>
              <w:tab/>
            </w:r>
            <w:r w:rsidR="00C43FA9" w:rsidRPr="00226F9D">
              <w:rPr>
                <w:rStyle w:val="Hyperlink"/>
                <w:rFonts w:ascii="Times New Roman" w:hAnsi="Times New Roman" w:cs="Times New Roman"/>
                <w:i/>
                <w:iCs/>
                <w:noProof/>
              </w:rPr>
              <w:t>Ex</w:t>
            </w:r>
            <w:r w:rsidR="00C43FA9" w:rsidRPr="00226F9D">
              <w:rPr>
                <w:rStyle w:val="Hyperlink"/>
                <w:rFonts w:ascii="Times New Roman" w:hAnsi="Times New Roman" w:cs="Times New Roman"/>
                <w:i/>
                <w:iCs/>
                <w:noProof/>
                <w:lang w:val="sr-Cyrl-RS"/>
              </w:rPr>
              <w:t>-</w:t>
            </w:r>
            <w:r w:rsidR="00C43FA9" w:rsidRPr="00226F9D">
              <w:rPr>
                <w:rStyle w:val="Hyperlink"/>
                <w:rFonts w:ascii="Times New Roman" w:hAnsi="Times New Roman" w:cs="Times New Roman"/>
                <w:i/>
                <w:iCs/>
                <w:noProof/>
              </w:rPr>
              <w:t>post</w:t>
            </w:r>
            <w:r w:rsidR="00C43FA9" w:rsidRPr="00226F9D">
              <w:rPr>
                <w:rStyle w:val="Hyperlink"/>
                <w:rFonts w:ascii="Times New Roman" w:hAnsi="Times New Roman" w:cs="Times New Roman"/>
                <w:noProof/>
                <w:lang w:val="sr-Cyrl-RS"/>
              </w:rPr>
              <w:t xml:space="preserve"> </w:t>
            </w:r>
            <w:r w:rsidR="00C43FA9" w:rsidRPr="00226F9D">
              <w:rPr>
                <w:rStyle w:val="Hyperlink"/>
                <w:rFonts w:ascii="Times New Roman" w:eastAsia="Calibri" w:hAnsi="Times New Roman" w:cs="Times New Roman"/>
                <w:noProof/>
                <w:lang w:val="sr-Cyrl-RS"/>
              </w:rPr>
              <w:t>анализе</w:t>
            </w:r>
            <w:r w:rsidR="00C43FA9" w:rsidRPr="00226F9D">
              <w:rPr>
                <w:rStyle w:val="Hyperlink"/>
                <w:rFonts w:ascii="Times New Roman" w:hAnsi="Times New Roman" w:cs="Times New Roman"/>
                <w:noProof/>
                <w:lang w:val="sr-Cyrl-RS"/>
              </w:rPr>
              <w:t xml:space="preserve"> и општи осврт на учинке ПРСЛС 2021-2025</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_Toc222753913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16</w:t>
            </w:r>
            <w:r w:rsidR="00C43FA9" w:rsidRPr="00226F9D">
              <w:rPr>
                <w:rFonts w:ascii="Times New Roman" w:hAnsi="Times New Roman" w:cs="Times New Roman"/>
                <w:noProof/>
                <w:webHidden/>
              </w:rPr>
              <w:fldChar w:fldCharType="end"/>
            </w:r>
          </w:hyperlink>
        </w:p>
        <w:p w14:paraId="5986F554" w14:textId="0C5FA1F1" w:rsidR="00C43FA9" w:rsidRPr="00226F9D" w:rsidRDefault="00D155C4">
          <w:pPr>
            <w:pStyle w:val="TOC2"/>
            <w:tabs>
              <w:tab w:val="left" w:pos="720"/>
              <w:tab w:val="right" w:leader="dot" w:pos="9622"/>
            </w:tabs>
            <w:rPr>
              <w:rFonts w:ascii="Times New Roman" w:eastAsiaTheme="minorEastAsia" w:hAnsi="Times New Roman" w:cs="Times New Roman"/>
              <w:noProof/>
              <w:lang w:val="en-GB" w:eastAsia="en-GB"/>
            </w:rPr>
          </w:pPr>
          <w:hyperlink w:anchor="_Toc222753914" w:history="1">
            <w:r w:rsidR="00C43FA9" w:rsidRPr="00226F9D">
              <w:rPr>
                <w:rStyle w:val="Hyperlink"/>
                <w:rFonts w:ascii="Times New Roman" w:eastAsia="Calibri" w:hAnsi="Times New Roman" w:cs="Times New Roman"/>
                <w:noProof/>
                <w:lang w:val="sr-Cyrl-RS"/>
              </w:rPr>
              <w:t>2.</w:t>
            </w:r>
            <w:r w:rsidR="00C43FA9" w:rsidRPr="00226F9D">
              <w:rPr>
                <w:rFonts w:ascii="Times New Roman" w:eastAsiaTheme="minorEastAsia" w:hAnsi="Times New Roman" w:cs="Times New Roman"/>
                <w:noProof/>
                <w:lang w:val="en-GB" w:eastAsia="en-GB"/>
              </w:rPr>
              <w:tab/>
            </w:r>
            <w:r w:rsidR="00C43FA9" w:rsidRPr="00226F9D">
              <w:rPr>
                <w:rStyle w:val="Hyperlink"/>
                <w:rFonts w:ascii="Times New Roman" w:eastAsia="Calibri" w:hAnsi="Times New Roman" w:cs="Times New Roman"/>
                <w:noProof/>
                <w:lang w:val="sr-Cyrl-RS"/>
              </w:rPr>
              <w:t>Положај и одговорности локалне самоуправе</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_Toc222753914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19</w:t>
            </w:r>
            <w:r w:rsidR="00C43FA9" w:rsidRPr="00226F9D">
              <w:rPr>
                <w:rFonts w:ascii="Times New Roman" w:hAnsi="Times New Roman" w:cs="Times New Roman"/>
                <w:noProof/>
                <w:webHidden/>
              </w:rPr>
              <w:fldChar w:fldCharType="end"/>
            </w:r>
          </w:hyperlink>
        </w:p>
        <w:p w14:paraId="297E80CB" w14:textId="2B912AE8" w:rsidR="00C43FA9" w:rsidRPr="00226F9D" w:rsidRDefault="00D155C4">
          <w:pPr>
            <w:pStyle w:val="TOC2"/>
            <w:tabs>
              <w:tab w:val="left" w:pos="720"/>
              <w:tab w:val="right" w:leader="dot" w:pos="9622"/>
            </w:tabs>
            <w:rPr>
              <w:rFonts w:ascii="Times New Roman" w:eastAsiaTheme="minorEastAsia" w:hAnsi="Times New Roman" w:cs="Times New Roman"/>
              <w:noProof/>
              <w:lang w:val="en-GB" w:eastAsia="en-GB"/>
            </w:rPr>
          </w:pPr>
          <w:hyperlink w:anchor="_Toc222753915" w:history="1">
            <w:r w:rsidR="00C43FA9" w:rsidRPr="00226F9D">
              <w:rPr>
                <w:rStyle w:val="Hyperlink"/>
                <w:rFonts w:ascii="Times New Roman" w:eastAsia="Calibri" w:hAnsi="Times New Roman" w:cs="Times New Roman"/>
                <w:noProof/>
                <w:lang w:val="sr-Cyrl-RS"/>
              </w:rPr>
              <w:t>3.</w:t>
            </w:r>
            <w:r w:rsidR="00C43FA9" w:rsidRPr="00226F9D">
              <w:rPr>
                <w:rFonts w:ascii="Times New Roman" w:eastAsiaTheme="minorEastAsia" w:hAnsi="Times New Roman" w:cs="Times New Roman"/>
                <w:noProof/>
                <w:lang w:val="en-GB" w:eastAsia="en-GB"/>
              </w:rPr>
              <w:tab/>
            </w:r>
            <w:r w:rsidR="00C43FA9" w:rsidRPr="00226F9D">
              <w:rPr>
                <w:rStyle w:val="Hyperlink"/>
                <w:rFonts w:ascii="Times New Roman" w:eastAsia="Calibri" w:hAnsi="Times New Roman" w:cs="Times New Roman"/>
                <w:noProof/>
                <w:lang w:val="sr-Cyrl-RS"/>
              </w:rPr>
              <w:t>Финансирање локалне самоуправе</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_Toc222753915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23</w:t>
            </w:r>
            <w:r w:rsidR="00C43FA9" w:rsidRPr="00226F9D">
              <w:rPr>
                <w:rFonts w:ascii="Times New Roman" w:hAnsi="Times New Roman" w:cs="Times New Roman"/>
                <w:noProof/>
                <w:webHidden/>
              </w:rPr>
              <w:fldChar w:fldCharType="end"/>
            </w:r>
          </w:hyperlink>
        </w:p>
        <w:p w14:paraId="751FA716" w14:textId="3F83C856" w:rsidR="00C43FA9" w:rsidRPr="00226F9D" w:rsidRDefault="00D155C4">
          <w:pPr>
            <w:pStyle w:val="TOC2"/>
            <w:tabs>
              <w:tab w:val="left" w:pos="720"/>
              <w:tab w:val="right" w:leader="dot" w:pos="9622"/>
            </w:tabs>
            <w:rPr>
              <w:rFonts w:ascii="Times New Roman" w:eastAsiaTheme="minorEastAsia" w:hAnsi="Times New Roman" w:cs="Times New Roman"/>
              <w:noProof/>
              <w:lang w:val="en-GB" w:eastAsia="en-GB"/>
            </w:rPr>
          </w:pPr>
          <w:hyperlink w:anchor="_Toc222753916" w:history="1">
            <w:r w:rsidR="00C43FA9" w:rsidRPr="00226F9D">
              <w:rPr>
                <w:rStyle w:val="Hyperlink"/>
                <w:rFonts w:ascii="Times New Roman" w:hAnsi="Times New Roman" w:cs="Times New Roman"/>
                <w:noProof/>
                <w:lang w:val="sr-Cyrl-RS"/>
              </w:rPr>
              <w:t>4.</w:t>
            </w:r>
            <w:r w:rsidR="00C43FA9" w:rsidRPr="00226F9D">
              <w:rPr>
                <w:rFonts w:ascii="Times New Roman" w:eastAsiaTheme="minorEastAsia" w:hAnsi="Times New Roman" w:cs="Times New Roman"/>
                <w:noProof/>
                <w:lang w:val="en-GB" w:eastAsia="en-GB"/>
              </w:rPr>
              <w:tab/>
            </w:r>
            <w:r w:rsidR="00C43FA9" w:rsidRPr="00226F9D">
              <w:rPr>
                <w:rStyle w:val="Hyperlink"/>
                <w:rFonts w:ascii="Times New Roman" w:eastAsia="Calibri" w:hAnsi="Times New Roman" w:cs="Times New Roman"/>
                <w:noProof/>
                <w:lang w:val="sr-Cyrl-RS"/>
              </w:rPr>
              <w:t>Организација и капацитети локалне самоуправе</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_Toc222753916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27</w:t>
            </w:r>
            <w:r w:rsidR="00C43FA9" w:rsidRPr="00226F9D">
              <w:rPr>
                <w:rFonts w:ascii="Times New Roman" w:hAnsi="Times New Roman" w:cs="Times New Roman"/>
                <w:noProof/>
                <w:webHidden/>
              </w:rPr>
              <w:fldChar w:fldCharType="end"/>
            </w:r>
          </w:hyperlink>
        </w:p>
        <w:p w14:paraId="5A59F1CC" w14:textId="26BA26C0" w:rsidR="00C43FA9" w:rsidRPr="00226F9D" w:rsidRDefault="00D155C4">
          <w:pPr>
            <w:pStyle w:val="TOC2"/>
            <w:tabs>
              <w:tab w:val="left" w:pos="720"/>
              <w:tab w:val="right" w:leader="dot" w:pos="9622"/>
            </w:tabs>
            <w:rPr>
              <w:rFonts w:ascii="Times New Roman" w:eastAsiaTheme="minorEastAsia" w:hAnsi="Times New Roman" w:cs="Times New Roman"/>
              <w:noProof/>
              <w:lang w:val="en-GB" w:eastAsia="en-GB"/>
            </w:rPr>
          </w:pPr>
          <w:hyperlink w:anchor="_Toc222753917" w:history="1">
            <w:r w:rsidR="00C43FA9" w:rsidRPr="00226F9D">
              <w:rPr>
                <w:rStyle w:val="Hyperlink"/>
                <w:rFonts w:ascii="Times New Roman" w:eastAsia="Calibri" w:hAnsi="Times New Roman" w:cs="Times New Roman"/>
                <w:noProof/>
                <w:lang w:val="sr-Cyrl-RS"/>
              </w:rPr>
              <w:t>5.</w:t>
            </w:r>
            <w:r w:rsidR="00C43FA9" w:rsidRPr="00226F9D">
              <w:rPr>
                <w:rFonts w:ascii="Times New Roman" w:eastAsiaTheme="minorEastAsia" w:hAnsi="Times New Roman" w:cs="Times New Roman"/>
                <w:noProof/>
                <w:lang w:val="en-GB" w:eastAsia="en-GB"/>
              </w:rPr>
              <w:tab/>
            </w:r>
            <w:r w:rsidR="00C43FA9" w:rsidRPr="00226F9D">
              <w:rPr>
                <w:rStyle w:val="Hyperlink"/>
                <w:rFonts w:ascii="Times New Roman" w:hAnsi="Times New Roman" w:cs="Times New Roman"/>
                <w:noProof/>
                <w:lang w:val="sr-Cyrl-RS"/>
              </w:rPr>
              <w:t xml:space="preserve">Унапређење квалитета и доступности услуга </w:t>
            </w:r>
            <w:r w:rsidR="00C43FA9" w:rsidRPr="00226F9D">
              <w:rPr>
                <w:rStyle w:val="Hyperlink"/>
                <w:rFonts w:ascii="Times New Roman" w:hAnsi="Times New Roman" w:cs="Times New Roman"/>
                <w:bCs/>
                <w:noProof/>
                <w:lang w:val="sr-Cyrl-RS"/>
              </w:rPr>
              <w:t>локалне самоуправе</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_Toc222753917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33</w:t>
            </w:r>
            <w:r w:rsidR="00C43FA9" w:rsidRPr="00226F9D">
              <w:rPr>
                <w:rFonts w:ascii="Times New Roman" w:hAnsi="Times New Roman" w:cs="Times New Roman"/>
                <w:noProof/>
                <w:webHidden/>
              </w:rPr>
              <w:fldChar w:fldCharType="end"/>
            </w:r>
          </w:hyperlink>
        </w:p>
        <w:p w14:paraId="479E1439" w14:textId="55575F71" w:rsidR="00C43FA9" w:rsidRPr="00226F9D" w:rsidRDefault="00D155C4">
          <w:pPr>
            <w:pStyle w:val="TOC1"/>
            <w:tabs>
              <w:tab w:val="right" w:leader="dot" w:pos="9622"/>
            </w:tabs>
            <w:rPr>
              <w:rFonts w:ascii="Times New Roman" w:eastAsiaTheme="minorEastAsia" w:hAnsi="Times New Roman" w:cs="Times New Roman"/>
              <w:noProof/>
              <w:lang w:val="en-GB" w:eastAsia="en-GB"/>
            </w:rPr>
          </w:pPr>
          <w:hyperlink w:anchor="_Toc222753918" w:history="1">
            <w:r w:rsidR="00C43FA9" w:rsidRPr="00226F9D">
              <w:rPr>
                <w:rStyle w:val="Hyperlink"/>
                <w:rFonts w:ascii="Times New Roman" w:hAnsi="Times New Roman" w:cs="Times New Roman"/>
                <w:noProof/>
              </w:rPr>
              <w:t>III Визија</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_Toc222753918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39</w:t>
            </w:r>
            <w:r w:rsidR="00C43FA9" w:rsidRPr="00226F9D">
              <w:rPr>
                <w:rFonts w:ascii="Times New Roman" w:hAnsi="Times New Roman" w:cs="Times New Roman"/>
                <w:noProof/>
                <w:webHidden/>
              </w:rPr>
              <w:fldChar w:fldCharType="end"/>
            </w:r>
          </w:hyperlink>
        </w:p>
        <w:p w14:paraId="167AA4E1" w14:textId="477B1853" w:rsidR="00C43FA9" w:rsidRPr="00226F9D" w:rsidRDefault="00D155C4">
          <w:pPr>
            <w:pStyle w:val="TOC1"/>
            <w:tabs>
              <w:tab w:val="right" w:leader="dot" w:pos="9622"/>
            </w:tabs>
            <w:rPr>
              <w:rFonts w:ascii="Times New Roman" w:eastAsiaTheme="minorEastAsia" w:hAnsi="Times New Roman" w:cs="Times New Roman"/>
              <w:noProof/>
              <w:lang w:val="en-GB" w:eastAsia="en-GB"/>
            </w:rPr>
          </w:pPr>
          <w:hyperlink w:anchor="_Toc222753919" w:history="1">
            <w:r w:rsidR="00C43FA9" w:rsidRPr="00226F9D">
              <w:rPr>
                <w:rStyle w:val="Hyperlink"/>
                <w:rFonts w:ascii="Times New Roman" w:hAnsi="Times New Roman" w:cs="Times New Roman"/>
                <w:noProof/>
              </w:rPr>
              <w:t>IV Општи циљ, посебни циљеви и мере</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_Toc222753919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40</w:t>
            </w:r>
            <w:r w:rsidR="00C43FA9" w:rsidRPr="00226F9D">
              <w:rPr>
                <w:rFonts w:ascii="Times New Roman" w:hAnsi="Times New Roman" w:cs="Times New Roman"/>
                <w:noProof/>
                <w:webHidden/>
              </w:rPr>
              <w:fldChar w:fldCharType="end"/>
            </w:r>
          </w:hyperlink>
        </w:p>
        <w:p w14:paraId="7A13FADD" w14:textId="1B430E35" w:rsidR="00C43FA9" w:rsidRPr="00226F9D" w:rsidRDefault="00D155C4">
          <w:pPr>
            <w:pStyle w:val="TOC2"/>
            <w:tabs>
              <w:tab w:val="left" w:pos="720"/>
              <w:tab w:val="right" w:leader="dot" w:pos="9622"/>
            </w:tabs>
            <w:rPr>
              <w:rFonts w:ascii="Times New Roman" w:eastAsiaTheme="minorEastAsia" w:hAnsi="Times New Roman" w:cs="Times New Roman"/>
              <w:noProof/>
              <w:lang w:val="en-GB" w:eastAsia="en-GB"/>
            </w:rPr>
          </w:pPr>
          <w:hyperlink w:anchor="_Toc222753920" w:history="1">
            <w:r w:rsidR="00C43FA9" w:rsidRPr="00226F9D">
              <w:rPr>
                <w:rStyle w:val="Hyperlink"/>
                <w:rFonts w:ascii="Times New Roman" w:hAnsi="Times New Roman" w:cs="Times New Roman"/>
                <w:noProof/>
              </w:rPr>
              <w:t>1.</w:t>
            </w:r>
            <w:r w:rsidR="00C43FA9" w:rsidRPr="00226F9D">
              <w:rPr>
                <w:rFonts w:ascii="Times New Roman" w:eastAsiaTheme="minorEastAsia" w:hAnsi="Times New Roman" w:cs="Times New Roman"/>
                <w:noProof/>
                <w:lang w:val="en-GB" w:eastAsia="en-GB"/>
              </w:rPr>
              <w:tab/>
            </w:r>
            <w:r w:rsidR="00C43FA9" w:rsidRPr="00226F9D">
              <w:rPr>
                <w:rStyle w:val="Hyperlink"/>
                <w:rFonts w:ascii="Times New Roman" w:hAnsi="Times New Roman" w:cs="Times New Roman"/>
                <w:noProof/>
              </w:rPr>
              <w:t>Општи циљ</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_Toc222753920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40</w:t>
            </w:r>
            <w:r w:rsidR="00C43FA9" w:rsidRPr="00226F9D">
              <w:rPr>
                <w:rFonts w:ascii="Times New Roman" w:hAnsi="Times New Roman" w:cs="Times New Roman"/>
                <w:noProof/>
                <w:webHidden/>
              </w:rPr>
              <w:fldChar w:fldCharType="end"/>
            </w:r>
          </w:hyperlink>
        </w:p>
        <w:p w14:paraId="6B8BFA27" w14:textId="60CDBDA2" w:rsidR="00C43FA9" w:rsidRPr="00226F9D" w:rsidRDefault="00D155C4">
          <w:pPr>
            <w:pStyle w:val="TOC2"/>
            <w:tabs>
              <w:tab w:val="left" w:pos="720"/>
              <w:tab w:val="right" w:leader="dot" w:pos="9622"/>
            </w:tabs>
            <w:rPr>
              <w:rFonts w:ascii="Times New Roman" w:eastAsiaTheme="minorEastAsia" w:hAnsi="Times New Roman" w:cs="Times New Roman"/>
              <w:noProof/>
              <w:lang w:val="en-GB" w:eastAsia="en-GB"/>
            </w:rPr>
          </w:pPr>
          <w:hyperlink w:anchor="_Toc222753921" w:history="1">
            <w:r w:rsidR="00C43FA9" w:rsidRPr="00226F9D">
              <w:rPr>
                <w:rStyle w:val="Hyperlink"/>
                <w:rFonts w:ascii="Times New Roman" w:eastAsia="Calibri" w:hAnsi="Times New Roman" w:cs="Times New Roman"/>
                <w:noProof/>
                <w:lang w:val="sr-Cyrl-RS"/>
              </w:rPr>
              <w:t>2.</w:t>
            </w:r>
            <w:r w:rsidR="00C43FA9" w:rsidRPr="00226F9D">
              <w:rPr>
                <w:rFonts w:ascii="Times New Roman" w:eastAsiaTheme="minorEastAsia" w:hAnsi="Times New Roman" w:cs="Times New Roman"/>
                <w:noProof/>
                <w:lang w:val="en-GB" w:eastAsia="en-GB"/>
              </w:rPr>
              <w:tab/>
            </w:r>
            <w:r w:rsidR="00C43FA9" w:rsidRPr="00226F9D">
              <w:rPr>
                <w:rStyle w:val="Hyperlink"/>
                <w:rFonts w:ascii="Times New Roman" w:hAnsi="Times New Roman" w:cs="Times New Roman"/>
                <w:noProof/>
                <w:lang w:val="sr-Cyrl-RS"/>
              </w:rPr>
              <w:t>Поставка Програма са становишта анализе и избора опција за достизање циљева</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_Toc222753921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41</w:t>
            </w:r>
            <w:r w:rsidR="00C43FA9" w:rsidRPr="00226F9D">
              <w:rPr>
                <w:rFonts w:ascii="Times New Roman" w:hAnsi="Times New Roman" w:cs="Times New Roman"/>
                <w:noProof/>
                <w:webHidden/>
              </w:rPr>
              <w:fldChar w:fldCharType="end"/>
            </w:r>
          </w:hyperlink>
        </w:p>
        <w:p w14:paraId="74088C65" w14:textId="66283DEF" w:rsidR="00C43FA9" w:rsidRPr="00226F9D" w:rsidRDefault="00D155C4">
          <w:pPr>
            <w:pStyle w:val="TOC2"/>
            <w:tabs>
              <w:tab w:val="left" w:pos="720"/>
              <w:tab w:val="right" w:leader="dot" w:pos="9622"/>
            </w:tabs>
            <w:rPr>
              <w:rFonts w:ascii="Times New Roman" w:eastAsiaTheme="minorEastAsia" w:hAnsi="Times New Roman" w:cs="Times New Roman"/>
              <w:noProof/>
              <w:lang w:val="en-GB" w:eastAsia="en-GB"/>
            </w:rPr>
          </w:pPr>
          <w:hyperlink w:anchor="_Toc222753922" w:history="1">
            <w:r w:rsidR="00C43FA9" w:rsidRPr="00226F9D">
              <w:rPr>
                <w:rStyle w:val="Hyperlink"/>
                <w:rFonts w:ascii="Times New Roman" w:hAnsi="Times New Roman" w:cs="Times New Roman"/>
                <w:noProof/>
                <w:lang w:val="sr-Cyrl-RS"/>
              </w:rPr>
              <w:t>3.</w:t>
            </w:r>
            <w:r w:rsidR="00C43FA9" w:rsidRPr="00226F9D">
              <w:rPr>
                <w:rFonts w:ascii="Times New Roman" w:eastAsiaTheme="minorEastAsia" w:hAnsi="Times New Roman" w:cs="Times New Roman"/>
                <w:noProof/>
                <w:lang w:val="en-GB" w:eastAsia="en-GB"/>
              </w:rPr>
              <w:tab/>
            </w:r>
            <w:r w:rsidR="00C43FA9" w:rsidRPr="00226F9D">
              <w:rPr>
                <w:rStyle w:val="Hyperlink"/>
                <w:rFonts w:ascii="Times New Roman" w:hAnsi="Times New Roman" w:cs="Times New Roman"/>
                <w:noProof/>
                <w:lang w:val="sr-Cyrl-RS"/>
              </w:rPr>
              <w:t>Посебни циљеви и мере за спровођење реформе система локалне самоуправе</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_Toc222753922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43</w:t>
            </w:r>
            <w:r w:rsidR="00C43FA9" w:rsidRPr="00226F9D">
              <w:rPr>
                <w:rFonts w:ascii="Times New Roman" w:hAnsi="Times New Roman" w:cs="Times New Roman"/>
                <w:noProof/>
                <w:webHidden/>
              </w:rPr>
              <w:fldChar w:fldCharType="end"/>
            </w:r>
          </w:hyperlink>
        </w:p>
        <w:p w14:paraId="06FF03FE" w14:textId="23E1A4B9" w:rsidR="00C43FA9" w:rsidRPr="00226F9D" w:rsidRDefault="00D155C4">
          <w:pPr>
            <w:pStyle w:val="TOC1"/>
            <w:tabs>
              <w:tab w:val="right" w:leader="dot" w:pos="9622"/>
            </w:tabs>
            <w:rPr>
              <w:rFonts w:ascii="Times New Roman" w:eastAsiaTheme="minorEastAsia" w:hAnsi="Times New Roman" w:cs="Times New Roman"/>
              <w:noProof/>
              <w:lang w:val="en-GB" w:eastAsia="en-GB"/>
            </w:rPr>
          </w:pPr>
          <w:hyperlink w:anchor="_Toc222753923" w:history="1">
            <w:r w:rsidR="00C43FA9" w:rsidRPr="00226F9D">
              <w:rPr>
                <w:rStyle w:val="Hyperlink"/>
                <w:rFonts w:ascii="Times New Roman" w:hAnsi="Times New Roman" w:cs="Times New Roman"/>
                <w:noProof/>
              </w:rPr>
              <w:t>V Институционални оквир за управљање и праћење реформе система локалне самоуправе и заинтересоване стране и циљне групе</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_Toc222753923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70</w:t>
            </w:r>
            <w:r w:rsidR="00C43FA9" w:rsidRPr="00226F9D">
              <w:rPr>
                <w:rFonts w:ascii="Times New Roman" w:hAnsi="Times New Roman" w:cs="Times New Roman"/>
                <w:noProof/>
                <w:webHidden/>
              </w:rPr>
              <w:fldChar w:fldCharType="end"/>
            </w:r>
          </w:hyperlink>
        </w:p>
        <w:p w14:paraId="0048E026" w14:textId="1A91636B" w:rsidR="00C43FA9" w:rsidRPr="00226F9D" w:rsidRDefault="00D155C4">
          <w:pPr>
            <w:pStyle w:val="TOC2"/>
            <w:tabs>
              <w:tab w:val="left" w:pos="720"/>
              <w:tab w:val="right" w:leader="dot" w:pos="9622"/>
            </w:tabs>
            <w:rPr>
              <w:rFonts w:ascii="Times New Roman" w:eastAsiaTheme="minorEastAsia" w:hAnsi="Times New Roman" w:cs="Times New Roman"/>
              <w:noProof/>
              <w:lang w:val="en-GB" w:eastAsia="en-GB"/>
            </w:rPr>
          </w:pPr>
          <w:hyperlink w:anchor="_Toc222753924" w:history="1">
            <w:r w:rsidR="00C43FA9" w:rsidRPr="00226F9D">
              <w:rPr>
                <w:rStyle w:val="Hyperlink"/>
                <w:rFonts w:ascii="Times New Roman" w:eastAsia="Times New Roman" w:hAnsi="Times New Roman" w:cs="Times New Roman"/>
                <w:noProof/>
                <w:lang w:val="sr-Cyrl-RS"/>
              </w:rPr>
              <w:t>1.</w:t>
            </w:r>
            <w:r w:rsidR="00C43FA9" w:rsidRPr="00226F9D">
              <w:rPr>
                <w:rFonts w:ascii="Times New Roman" w:eastAsiaTheme="minorEastAsia" w:hAnsi="Times New Roman" w:cs="Times New Roman"/>
                <w:noProof/>
                <w:lang w:val="en-GB" w:eastAsia="en-GB"/>
              </w:rPr>
              <w:tab/>
            </w:r>
            <w:r w:rsidR="00C43FA9" w:rsidRPr="00226F9D">
              <w:rPr>
                <w:rStyle w:val="Hyperlink"/>
                <w:rFonts w:ascii="Times New Roman" w:eastAsia="Times New Roman" w:hAnsi="Times New Roman" w:cs="Times New Roman"/>
                <w:noProof/>
                <w:lang w:val="sr-Cyrl-RS"/>
              </w:rPr>
              <w:t>Оперативно-административно управљање и координација</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_Toc222753924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70</w:t>
            </w:r>
            <w:r w:rsidR="00C43FA9" w:rsidRPr="00226F9D">
              <w:rPr>
                <w:rFonts w:ascii="Times New Roman" w:hAnsi="Times New Roman" w:cs="Times New Roman"/>
                <w:noProof/>
                <w:webHidden/>
              </w:rPr>
              <w:fldChar w:fldCharType="end"/>
            </w:r>
          </w:hyperlink>
        </w:p>
        <w:p w14:paraId="06CBC01D" w14:textId="47207578" w:rsidR="00C43FA9" w:rsidRPr="00226F9D" w:rsidRDefault="00D155C4">
          <w:pPr>
            <w:pStyle w:val="TOC2"/>
            <w:tabs>
              <w:tab w:val="left" w:pos="720"/>
              <w:tab w:val="right" w:leader="dot" w:pos="9622"/>
            </w:tabs>
            <w:rPr>
              <w:rFonts w:ascii="Times New Roman" w:eastAsiaTheme="minorEastAsia" w:hAnsi="Times New Roman" w:cs="Times New Roman"/>
              <w:noProof/>
              <w:lang w:val="en-GB" w:eastAsia="en-GB"/>
            </w:rPr>
          </w:pPr>
          <w:hyperlink w:anchor="_Toc222753925" w:history="1">
            <w:r w:rsidR="00C43FA9" w:rsidRPr="00226F9D">
              <w:rPr>
                <w:rStyle w:val="Hyperlink"/>
                <w:rFonts w:ascii="Times New Roman" w:eastAsia="Times New Roman" w:hAnsi="Times New Roman" w:cs="Times New Roman"/>
                <w:noProof/>
                <w:lang w:val="sr-Cyrl-RS"/>
              </w:rPr>
              <w:t>2.</w:t>
            </w:r>
            <w:r w:rsidR="00C43FA9" w:rsidRPr="00226F9D">
              <w:rPr>
                <w:rFonts w:ascii="Times New Roman" w:eastAsiaTheme="minorEastAsia" w:hAnsi="Times New Roman" w:cs="Times New Roman"/>
                <w:noProof/>
                <w:lang w:val="en-GB" w:eastAsia="en-GB"/>
              </w:rPr>
              <w:tab/>
            </w:r>
            <w:r w:rsidR="00C43FA9" w:rsidRPr="00226F9D">
              <w:rPr>
                <w:rStyle w:val="Hyperlink"/>
                <w:rFonts w:ascii="Times New Roman" w:eastAsia="Times New Roman" w:hAnsi="Times New Roman" w:cs="Times New Roman"/>
                <w:noProof/>
                <w:lang w:val="sr-Cyrl-RS"/>
              </w:rPr>
              <w:t>Стратешко-политички ниво управљања</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_Toc222753925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71</w:t>
            </w:r>
            <w:r w:rsidR="00C43FA9" w:rsidRPr="00226F9D">
              <w:rPr>
                <w:rFonts w:ascii="Times New Roman" w:hAnsi="Times New Roman" w:cs="Times New Roman"/>
                <w:noProof/>
                <w:webHidden/>
              </w:rPr>
              <w:fldChar w:fldCharType="end"/>
            </w:r>
          </w:hyperlink>
        </w:p>
        <w:p w14:paraId="5195D5C1" w14:textId="24DC9A34" w:rsidR="00C43FA9" w:rsidRPr="00226F9D" w:rsidRDefault="00D155C4">
          <w:pPr>
            <w:pStyle w:val="TOC2"/>
            <w:tabs>
              <w:tab w:val="left" w:pos="720"/>
              <w:tab w:val="right" w:leader="dot" w:pos="9622"/>
            </w:tabs>
            <w:rPr>
              <w:rFonts w:ascii="Times New Roman" w:eastAsiaTheme="minorEastAsia" w:hAnsi="Times New Roman" w:cs="Times New Roman"/>
              <w:noProof/>
              <w:lang w:val="en-GB" w:eastAsia="en-GB"/>
            </w:rPr>
          </w:pPr>
          <w:hyperlink w:anchor="_Toc222753926" w:history="1">
            <w:r w:rsidR="00C43FA9" w:rsidRPr="00226F9D">
              <w:rPr>
                <w:rStyle w:val="Hyperlink"/>
                <w:rFonts w:ascii="Times New Roman" w:eastAsia="Arial" w:hAnsi="Times New Roman" w:cs="Times New Roman"/>
                <w:noProof/>
                <w:lang w:val="sr-Cyrl-RS"/>
              </w:rPr>
              <w:t>3.</w:t>
            </w:r>
            <w:r w:rsidR="00C43FA9" w:rsidRPr="00226F9D">
              <w:rPr>
                <w:rFonts w:ascii="Times New Roman" w:eastAsiaTheme="minorEastAsia" w:hAnsi="Times New Roman" w:cs="Times New Roman"/>
                <w:noProof/>
                <w:lang w:val="en-GB" w:eastAsia="en-GB"/>
              </w:rPr>
              <w:tab/>
            </w:r>
            <w:r w:rsidR="00C43FA9" w:rsidRPr="00226F9D">
              <w:rPr>
                <w:rStyle w:val="Hyperlink"/>
                <w:rFonts w:ascii="Times New Roman" w:eastAsia="Arial" w:hAnsi="Times New Roman" w:cs="Times New Roman"/>
                <w:noProof/>
                <w:lang w:val="sr-Cyrl-RS"/>
              </w:rPr>
              <w:t>Кључне заинтересоване стране и циљне групе</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_Toc222753926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72</w:t>
            </w:r>
            <w:r w:rsidR="00C43FA9" w:rsidRPr="00226F9D">
              <w:rPr>
                <w:rFonts w:ascii="Times New Roman" w:hAnsi="Times New Roman" w:cs="Times New Roman"/>
                <w:noProof/>
                <w:webHidden/>
              </w:rPr>
              <w:fldChar w:fldCharType="end"/>
            </w:r>
          </w:hyperlink>
        </w:p>
        <w:p w14:paraId="7C361E53" w14:textId="326F4914" w:rsidR="00C43FA9" w:rsidRPr="00226F9D" w:rsidRDefault="00D155C4">
          <w:pPr>
            <w:pStyle w:val="TOC1"/>
            <w:tabs>
              <w:tab w:val="right" w:leader="dot" w:pos="9622"/>
            </w:tabs>
            <w:rPr>
              <w:rFonts w:ascii="Times New Roman" w:eastAsiaTheme="minorEastAsia" w:hAnsi="Times New Roman" w:cs="Times New Roman"/>
              <w:noProof/>
              <w:lang w:val="en-GB" w:eastAsia="en-GB"/>
            </w:rPr>
          </w:pPr>
          <w:hyperlink w:anchor="_Toc222753927" w:history="1">
            <w:r w:rsidR="00C43FA9" w:rsidRPr="00226F9D">
              <w:rPr>
                <w:rStyle w:val="Hyperlink"/>
                <w:rFonts w:ascii="Times New Roman" w:hAnsi="Times New Roman" w:cs="Times New Roman"/>
                <w:noProof/>
              </w:rPr>
              <w:t>VI Процена финансијских средстава за спровођење Програма</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_Toc222753927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74</w:t>
            </w:r>
            <w:r w:rsidR="00C43FA9" w:rsidRPr="00226F9D">
              <w:rPr>
                <w:rFonts w:ascii="Times New Roman" w:hAnsi="Times New Roman" w:cs="Times New Roman"/>
                <w:noProof/>
                <w:webHidden/>
              </w:rPr>
              <w:fldChar w:fldCharType="end"/>
            </w:r>
          </w:hyperlink>
        </w:p>
        <w:p w14:paraId="4336432C" w14:textId="01D2948E" w:rsidR="00C43FA9" w:rsidRPr="00226F9D" w:rsidRDefault="00D155C4">
          <w:pPr>
            <w:pStyle w:val="TOC3"/>
            <w:tabs>
              <w:tab w:val="right" w:leader="dot" w:pos="9622"/>
            </w:tabs>
            <w:rPr>
              <w:rFonts w:ascii="Times New Roman" w:hAnsi="Times New Roman" w:cs="Times New Roman"/>
              <w:noProof/>
              <w:lang w:val="en-GB" w:eastAsia="en-GB"/>
            </w:rPr>
          </w:pPr>
          <w:hyperlink w:anchor="_Toc222753928" w:history="1">
            <w:r w:rsidR="00C43FA9" w:rsidRPr="00226F9D">
              <w:rPr>
                <w:rStyle w:val="Hyperlink"/>
                <w:rFonts w:ascii="Times New Roman" w:eastAsiaTheme="majorEastAsia" w:hAnsi="Times New Roman" w:cs="Times New Roman"/>
                <w:noProof/>
                <w:kern w:val="0"/>
                <w:lang w:val="sr-Cyrl-RS"/>
                <w14:ligatures w14:val="none"/>
              </w:rPr>
              <w:t>Процењена</w:t>
            </w:r>
            <w:r w:rsidR="00C43FA9" w:rsidRPr="00226F9D">
              <w:rPr>
                <w:rStyle w:val="Hyperlink"/>
                <w:rFonts w:ascii="Times New Roman" w:eastAsiaTheme="majorEastAsia" w:hAnsi="Times New Roman" w:cs="Times New Roman"/>
                <w:noProof/>
                <w:kern w:val="0"/>
                <w:lang w:val="ru-RU"/>
                <w14:ligatures w14:val="none"/>
              </w:rPr>
              <w:t xml:space="preserve"> </w:t>
            </w:r>
            <w:r w:rsidR="00C43FA9" w:rsidRPr="00226F9D">
              <w:rPr>
                <w:rStyle w:val="Hyperlink"/>
                <w:rFonts w:ascii="Times New Roman" w:eastAsiaTheme="majorEastAsia" w:hAnsi="Times New Roman" w:cs="Times New Roman"/>
                <w:noProof/>
                <w:kern w:val="0"/>
                <w:lang w:val="sr-Cyrl-RS"/>
                <w14:ligatures w14:val="none"/>
              </w:rPr>
              <w:t>укупна средства по приоритетним циљевима и годинама</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_Toc222753928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74</w:t>
            </w:r>
            <w:r w:rsidR="00C43FA9" w:rsidRPr="00226F9D">
              <w:rPr>
                <w:rFonts w:ascii="Times New Roman" w:hAnsi="Times New Roman" w:cs="Times New Roman"/>
                <w:noProof/>
                <w:webHidden/>
              </w:rPr>
              <w:fldChar w:fldCharType="end"/>
            </w:r>
          </w:hyperlink>
        </w:p>
        <w:p w14:paraId="13BBD3EA" w14:textId="54408F1B" w:rsidR="00C43FA9" w:rsidRPr="00226F9D" w:rsidRDefault="00D155C4">
          <w:pPr>
            <w:pStyle w:val="TOC3"/>
            <w:tabs>
              <w:tab w:val="right" w:leader="dot" w:pos="9622"/>
            </w:tabs>
            <w:rPr>
              <w:rFonts w:ascii="Times New Roman" w:hAnsi="Times New Roman" w:cs="Times New Roman"/>
              <w:noProof/>
              <w:lang w:val="en-GB" w:eastAsia="en-GB"/>
            </w:rPr>
          </w:pPr>
          <w:hyperlink w:anchor="_Toc222753929" w:history="1">
            <w:r w:rsidR="00C43FA9" w:rsidRPr="00226F9D">
              <w:rPr>
                <w:rStyle w:val="Hyperlink"/>
                <w:rFonts w:ascii="Times New Roman" w:eastAsiaTheme="majorEastAsia" w:hAnsi="Times New Roman" w:cs="Times New Roman"/>
                <w:noProof/>
                <w:kern w:val="0"/>
                <w:lang w:val="sr-Cyrl-RS"/>
                <w14:ligatures w14:val="none"/>
              </w:rPr>
              <w:t>Процењена</w:t>
            </w:r>
            <w:r w:rsidR="00C43FA9" w:rsidRPr="00226F9D">
              <w:rPr>
                <w:rStyle w:val="Hyperlink"/>
                <w:rFonts w:ascii="Times New Roman" w:eastAsiaTheme="majorEastAsia" w:hAnsi="Times New Roman" w:cs="Times New Roman"/>
                <w:noProof/>
                <w:kern w:val="0"/>
                <w:lang w:val="ru-RU"/>
                <w14:ligatures w14:val="none"/>
              </w:rPr>
              <w:t xml:space="preserve"> </w:t>
            </w:r>
            <w:r w:rsidR="00C43FA9" w:rsidRPr="00226F9D">
              <w:rPr>
                <w:rStyle w:val="Hyperlink"/>
                <w:rFonts w:ascii="Times New Roman" w:eastAsiaTheme="majorEastAsia" w:hAnsi="Times New Roman" w:cs="Times New Roman"/>
                <w:noProof/>
                <w:kern w:val="0"/>
                <w:lang w:val="sr-Cyrl-RS"/>
                <w14:ligatures w14:val="none"/>
              </w:rPr>
              <w:t>укупна средства по планираним мерама и годинама</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_Toc222753929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74</w:t>
            </w:r>
            <w:r w:rsidR="00C43FA9" w:rsidRPr="00226F9D">
              <w:rPr>
                <w:rFonts w:ascii="Times New Roman" w:hAnsi="Times New Roman" w:cs="Times New Roman"/>
                <w:noProof/>
                <w:webHidden/>
              </w:rPr>
              <w:fldChar w:fldCharType="end"/>
            </w:r>
          </w:hyperlink>
        </w:p>
        <w:p w14:paraId="27BD8530" w14:textId="7450250A" w:rsidR="00C43FA9" w:rsidRPr="00226F9D" w:rsidRDefault="00D155C4">
          <w:pPr>
            <w:pStyle w:val="TOC3"/>
            <w:tabs>
              <w:tab w:val="right" w:leader="dot" w:pos="9622"/>
            </w:tabs>
            <w:rPr>
              <w:rFonts w:ascii="Times New Roman" w:hAnsi="Times New Roman" w:cs="Times New Roman"/>
              <w:noProof/>
              <w:lang w:val="en-GB" w:eastAsia="en-GB"/>
            </w:rPr>
          </w:pPr>
          <w:hyperlink w:anchor="_Toc222753930" w:history="1">
            <w:r w:rsidR="00C43FA9" w:rsidRPr="00226F9D">
              <w:rPr>
                <w:rStyle w:val="Hyperlink"/>
                <w:rFonts w:ascii="Times New Roman" w:eastAsiaTheme="majorEastAsia" w:hAnsi="Times New Roman" w:cs="Times New Roman"/>
                <w:noProof/>
                <w:kern w:val="0"/>
                <w:lang w:val="sr-Cyrl-RS"/>
                <w14:ligatures w14:val="none"/>
              </w:rPr>
              <w:t>Процењена средства по изворима финансирања и</w:t>
            </w:r>
            <w:r w:rsidR="00C43FA9" w:rsidRPr="00226F9D">
              <w:rPr>
                <w:rStyle w:val="Hyperlink"/>
                <w:rFonts w:ascii="Times New Roman" w:eastAsiaTheme="majorEastAsia" w:hAnsi="Times New Roman" w:cs="Times New Roman"/>
                <w:noProof/>
                <w:kern w:val="0"/>
                <w:lang w:val="ru-RU"/>
                <w14:ligatures w14:val="none"/>
              </w:rPr>
              <w:t xml:space="preserve"> </w:t>
            </w:r>
            <w:r w:rsidR="00C43FA9" w:rsidRPr="00226F9D">
              <w:rPr>
                <w:rStyle w:val="Hyperlink"/>
                <w:rFonts w:ascii="Times New Roman" w:eastAsiaTheme="majorEastAsia" w:hAnsi="Times New Roman" w:cs="Times New Roman"/>
                <w:noProof/>
                <w:kern w:val="0"/>
                <w:lang w:val="sr-Cyrl-RS"/>
                <w14:ligatures w14:val="none"/>
              </w:rPr>
              <w:t>годинама</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_Toc222753930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75</w:t>
            </w:r>
            <w:r w:rsidR="00C43FA9" w:rsidRPr="00226F9D">
              <w:rPr>
                <w:rFonts w:ascii="Times New Roman" w:hAnsi="Times New Roman" w:cs="Times New Roman"/>
                <w:noProof/>
                <w:webHidden/>
              </w:rPr>
              <w:fldChar w:fldCharType="end"/>
            </w:r>
          </w:hyperlink>
        </w:p>
        <w:p w14:paraId="2CAB395D" w14:textId="2CC8D340" w:rsidR="00C43FA9" w:rsidRPr="00226F9D" w:rsidRDefault="00D155C4">
          <w:pPr>
            <w:pStyle w:val="TOC1"/>
            <w:tabs>
              <w:tab w:val="right" w:leader="dot" w:pos="9622"/>
            </w:tabs>
            <w:rPr>
              <w:rFonts w:ascii="Times New Roman" w:eastAsiaTheme="minorEastAsia" w:hAnsi="Times New Roman" w:cs="Times New Roman"/>
              <w:noProof/>
              <w:lang w:val="en-GB" w:eastAsia="en-GB"/>
            </w:rPr>
          </w:pPr>
          <w:hyperlink w:anchor="_Toc222753931" w:history="1">
            <w:r w:rsidR="00C43FA9" w:rsidRPr="00226F9D">
              <w:rPr>
                <w:rStyle w:val="Hyperlink"/>
                <w:rFonts w:ascii="Times New Roman" w:hAnsi="Times New Roman" w:cs="Times New Roman"/>
                <w:noProof/>
              </w:rPr>
              <w:t>VII  Акциони план за спровођење Програма</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_Toc222753931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77</w:t>
            </w:r>
            <w:r w:rsidR="00C43FA9" w:rsidRPr="00226F9D">
              <w:rPr>
                <w:rFonts w:ascii="Times New Roman" w:hAnsi="Times New Roman" w:cs="Times New Roman"/>
                <w:noProof/>
                <w:webHidden/>
              </w:rPr>
              <w:fldChar w:fldCharType="end"/>
            </w:r>
          </w:hyperlink>
        </w:p>
        <w:p w14:paraId="3FC45DBB" w14:textId="1F8C31E3" w:rsidR="00C43FA9" w:rsidRPr="00226F9D" w:rsidRDefault="00D155C4">
          <w:pPr>
            <w:pStyle w:val="TOC1"/>
            <w:tabs>
              <w:tab w:val="right" w:leader="dot" w:pos="9622"/>
            </w:tabs>
            <w:rPr>
              <w:rFonts w:ascii="Times New Roman" w:eastAsiaTheme="minorEastAsia" w:hAnsi="Times New Roman" w:cs="Times New Roman"/>
              <w:noProof/>
              <w:lang w:val="en-GB" w:eastAsia="en-GB"/>
            </w:rPr>
          </w:pPr>
          <w:hyperlink w:anchor="_Toc222753932" w:history="1">
            <w:r w:rsidR="00C43FA9" w:rsidRPr="00226F9D">
              <w:rPr>
                <w:rStyle w:val="Hyperlink"/>
                <w:rFonts w:ascii="Times New Roman" w:hAnsi="Times New Roman" w:cs="Times New Roman"/>
                <w:noProof/>
              </w:rPr>
              <w:t>VIII ПРИЛОЗИ</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_Toc222753932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103</w:t>
            </w:r>
            <w:r w:rsidR="00C43FA9" w:rsidRPr="00226F9D">
              <w:rPr>
                <w:rFonts w:ascii="Times New Roman" w:hAnsi="Times New Roman" w:cs="Times New Roman"/>
                <w:noProof/>
                <w:webHidden/>
              </w:rPr>
              <w:fldChar w:fldCharType="end"/>
            </w:r>
          </w:hyperlink>
        </w:p>
        <w:p w14:paraId="6B4CAA92" w14:textId="3F64B9C8" w:rsidR="00C43FA9" w:rsidRPr="00226F9D" w:rsidRDefault="00D155C4">
          <w:pPr>
            <w:pStyle w:val="TOC2"/>
            <w:tabs>
              <w:tab w:val="right" w:leader="dot" w:pos="9622"/>
            </w:tabs>
            <w:rPr>
              <w:rFonts w:ascii="Times New Roman" w:eastAsiaTheme="minorEastAsia" w:hAnsi="Times New Roman" w:cs="Times New Roman"/>
              <w:noProof/>
              <w:lang w:val="en-GB" w:eastAsia="en-GB"/>
            </w:rPr>
          </w:pPr>
          <w:hyperlink w:anchor="_Toc222753933" w:history="1">
            <w:r w:rsidR="00C43FA9" w:rsidRPr="00226F9D">
              <w:rPr>
                <w:rStyle w:val="Hyperlink"/>
                <w:rFonts w:ascii="Times New Roman" w:hAnsi="Times New Roman" w:cs="Times New Roman"/>
                <w:iCs/>
                <w:noProof/>
                <w:lang w:val="sr-Cyrl-RS" w:eastAsia="en-GB"/>
              </w:rPr>
              <w:t>Прилог 1:</w:t>
            </w:r>
            <w:r w:rsidR="00C43FA9" w:rsidRPr="00226F9D">
              <w:rPr>
                <w:rStyle w:val="Hyperlink"/>
                <w:rFonts w:ascii="Times New Roman" w:hAnsi="Times New Roman" w:cs="Times New Roman"/>
                <w:noProof/>
                <w:lang w:val="sr-Cyrl-RS" w:eastAsia="en-GB"/>
              </w:rPr>
              <w:t xml:space="preserve"> Пасош - показатељи</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_Toc222753933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104</w:t>
            </w:r>
            <w:r w:rsidR="00C43FA9" w:rsidRPr="00226F9D">
              <w:rPr>
                <w:rFonts w:ascii="Times New Roman" w:hAnsi="Times New Roman" w:cs="Times New Roman"/>
                <w:noProof/>
                <w:webHidden/>
              </w:rPr>
              <w:fldChar w:fldCharType="end"/>
            </w:r>
          </w:hyperlink>
        </w:p>
        <w:p w14:paraId="7738827F" w14:textId="7F5BFB1B" w:rsidR="00C43FA9" w:rsidRPr="00226F9D" w:rsidRDefault="00D155C4">
          <w:pPr>
            <w:pStyle w:val="TOC2"/>
            <w:tabs>
              <w:tab w:val="right" w:leader="dot" w:pos="9622"/>
            </w:tabs>
            <w:rPr>
              <w:rFonts w:ascii="Times New Roman" w:eastAsiaTheme="minorEastAsia" w:hAnsi="Times New Roman" w:cs="Times New Roman"/>
              <w:noProof/>
              <w:lang w:val="en-GB" w:eastAsia="en-GB"/>
            </w:rPr>
          </w:pPr>
          <w:hyperlink w:anchor="_Toc222753934" w:history="1">
            <w:r w:rsidR="00C43FA9" w:rsidRPr="00226F9D">
              <w:rPr>
                <w:rStyle w:val="Hyperlink"/>
                <w:rFonts w:ascii="Times New Roman" w:eastAsia="Yu Gothic Light" w:hAnsi="Times New Roman" w:cs="Times New Roman"/>
                <w:noProof/>
                <w:lang w:val="sr-Cyrl-RS" w:eastAsia="en-GB"/>
              </w:rPr>
              <w:t>Општи циљ: Успостављање система локалне самоуправе који омогућава ефикасно и одрживо остваривање права грађана на локалну самоуправу</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_Toc222753934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104</w:t>
            </w:r>
            <w:r w:rsidR="00C43FA9" w:rsidRPr="00226F9D">
              <w:rPr>
                <w:rFonts w:ascii="Times New Roman" w:hAnsi="Times New Roman" w:cs="Times New Roman"/>
                <w:noProof/>
                <w:webHidden/>
              </w:rPr>
              <w:fldChar w:fldCharType="end"/>
            </w:r>
          </w:hyperlink>
        </w:p>
        <w:p w14:paraId="4DF32BDC" w14:textId="2429184A" w:rsidR="00C43FA9" w:rsidRPr="00226F9D" w:rsidRDefault="00D155C4">
          <w:pPr>
            <w:pStyle w:val="TOC2"/>
            <w:tabs>
              <w:tab w:val="right" w:leader="dot" w:pos="9622"/>
            </w:tabs>
            <w:rPr>
              <w:rFonts w:ascii="Times New Roman" w:eastAsiaTheme="minorEastAsia" w:hAnsi="Times New Roman" w:cs="Times New Roman"/>
              <w:noProof/>
              <w:lang w:val="en-GB" w:eastAsia="en-GB"/>
            </w:rPr>
          </w:pPr>
          <w:hyperlink w:anchor="_Toc222753935" w:history="1">
            <w:r w:rsidR="00C43FA9" w:rsidRPr="00226F9D">
              <w:rPr>
                <w:rStyle w:val="Hyperlink"/>
                <w:rFonts w:ascii="Times New Roman" w:eastAsia="Yu Gothic Light" w:hAnsi="Times New Roman" w:cs="Times New Roman"/>
                <w:noProof/>
                <w:lang w:val="sr-Cyrl-RS" w:eastAsia="en-GB"/>
              </w:rPr>
              <w:t>Посебни циљ 1:  Унапређење положаја и одговорности локалне самоуправе</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_Toc222753935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107</w:t>
            </w:r>
            <w:r w:rsidR="00C43FA9" w:rsidRPr="00226F9D">
              <w:rPr>
                <w:rFonts w:ascii="Times New Roman" w:hAnsi="Times New Roman" w:cs="Times New Roman"/>
                <w:noProof/>
                <w:webHidden/>
              </w:rPr>
              <w:fldChar w:fldCharType="end"/>
            </w:r>
          </w:hyperlink>
        </w:p>
        <w:p w14:paraId="04E67C27" w14:textId="2203C390" w:rsidR="00C43FA9" w:rsidRPr="00226F9D" w:rsidRDefault="00D155C4">
          <w:pPr>
            <w:pStyle w:val="TOC2"/>
            <w:tabs>
              <w:tab w:val="right" w:leader="dot" w:pos="9622"/>
            </w:tabs>
            <w:rPr>
              <w:rFonts w:ascii="Times New Roman" w:eastAsiaTheme="minorEastAsia" w:hAnsi="Times New Roman" w:cs="Times New Roman"/>
              <w:noProof/>
              <w:lang w:val="en-GB" w:eastAsia="en-GB"/>
            </w:rPr>
          </w:pPr>
          <w:hyperlink w:anchor="_Toc222753936" w:history="1">
            <w:r w:rsidR="00C43FA9" w:rsidRPr="00226F9D">
              <w:rPr>
                <w:rStyle w:val="Hyperlink"/>
                <w:rFonts w:ascii="Times New Roman" w:eastAsia="Yu Gothic Light" w:hAnsi="Times New Roman" w:cs="Times New Roman"/>
                <w:noProof/>
                <w:lang w:val="sr-Cyrl-RS" w:eastAsia="en-GB"/>
              </w:rPr>
              <w:t>Посебни циљ 2:  Унапређење система финансирања локалне самоуправе</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_Toc222753936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110</w:t>
            </w:r>
            <w:r w:rsidR="00C43FA9" w:rsidRPr="00226F9D">
              <w:rPr>
                <w:rFonts w:ascii="Times New Roman" w:hAnsi="Times New Roman" w:cs="Times New Roman"/>
                <w:noProof/>
                <w:webHidden/>
              </w:rPr>
              <w:fldChar w:fldCharType="end"/>
            </w:r>
          </w:hyperlink>
        </w:p>
        <w:p w14:paraId="1935A6DB" w14:textId="0AF0A50F" w:rsidR="00C43FA9" w:rsidRPr="00226F9D" w:rsidRDefault="00D155C4">
          <w:pPr>
            <w:pStyle w:val="TOC2"/>
            <w:tabs>
              <w:tab w:val="right" w:leader="dot" w:pos="9622"/>
            </w:tabs>
            <w:rPr>
              <w:rFonts w:ascii="Times New Roman" w:eastAsiaTheme="minorEastAsia" w:hAnsi="Times New Roman" w:cs="Times New Roman"/>
              <w:noProof/>
              <w:lang w:val="en-GB" w:eastAsia="en-GB"/>
            </w:rPr>
          </w:pPr>
          <w:hyperlink w:anchor="_Toc222753937" w:history="1">
            <w:r w:rsidR="00C43FA9" w:rsidRPr="00226F9D">
              <w:rPr>
                <w:rStyle w:val="Hyperlink"/>
                <w:rFonts w:ascii="Times New Roman" w:eastAsia="Yu Gothic Light" w:hAnsi="Times New Roman" w:cs="Times New Roman"/>
                <w:noProof/>
                <w:lang w:val="sr-Cyrl-RS" w:eastAsia="en-GB"/>
              </w:rPr>
              <w:t>Посебни циљ 3:  Унапређена организација и капацитети локалне самоуправе</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_Toc222753937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112</w:t>
            </w:r>
            <w:r w:rsidR="00C43FA9" w:rsidRPr="00226F9D">
              <w:rPr>
                <w:rFonts w:ascii="Times New Roman" w:hAnsi="Times New Roman" w:cs="Times New Roman"/>
                <w:noProof/>
                <w:webHidden/>
              </w:rPr>
              <w:fldChar w:fldCharType="end"/>
            </w:r>
          </w:hyperlink>
        </w:p>
        <w:p w14:paraId="3A4EEC5C" w14:textId="06074D59" w:rsidR="00C43FA9" w:rsidRPr="00226F9D" w:rsidRDefault="00D155C4">
          <w:pPr>
            <w:pStyle w:val="TOC2"/>
            <w:tabs>
              <w:tab w:val="right" w:leader="dot" w:pos="9622"/>
            </w:tabs>
            <w:rPr>
              <w:rFonts w:ascii="Times New Roman" w:eastAsiaTheme="minorEastAsia" w:hAnsi="Times New Roman" w:cs="Times New Roman"/>
              <w:noProof/>
              <w:lang w:val="en-GB" w:eastAsia="en-GB"/>
            </w:rPr>
          </w:pPr>
          <w:hyperlink w:anchor="_Toc222753938" w:history="1">
            <w:r w:rsidR="00C43FA9" w:rsidRPr="00226F9D">
              <w:rPr>
                <w:rStyle w:val="Hyperlink"/>
                <w:rFonts w:ascii="Times New Roman" w:eastAsia="Yu Gothic Light" w:hAnsi="Times New Roman" w:cs="Times New Roman"/>
                <w:noProof/>
                <w:lang w:val="sr-Cyrl-RS" w:eastAsia="en-GB"/>
              </w:rPr>
              <w:t>Посебни циљ 4: Унапређење квалитета и доступности услуга локалних органа управе, комуналних услуга и услуга јавних установа</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_Toc222753938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114</w:t>
            </w:r>
            <w:r w:rsidR="00C43FA9" w:rsidRPr="00226F9D">
              <w:rPr>
                <w:rFonts w:ascii="Times New Roman" w:hAnsi="Times New Roman" w:cs="Times New Roman"/>
                <w:noProof/>
                <w:webHidden/>
              </w:rPr>
              <w:fldChar w:fldCharType="end"/>
            </w:r>
          </w:hyperlink>
        </w:p>
        <w:p w14:paraId="00CE663C" w14:textId="62E1F880" w:rsidR="00C43FA9" w:rsidRPr="00226F9D" w:rsidRDefault="00D155C4">
          <w:pPr>
            <w:pStyle w:val="TOC2"/>
            <w:tabs>
              <w:tab w:val="right" w:leader="dot" w:pos="9622"/>
            </w:tabs>
            <w:rPr>
              <w:rFonts w:ascii="Times New Roman" w:eastAsiaTheme="minorEastAsia" w:hAnsi="Times New Roman" w:cs="Times New Roman"/>
              <w:noProof/>
              <w:lang w:val="en-GB" w:eastAsia="en-GB"/>
            </w:rPr>
          </w:pPr>
          <w:hyperlink w:anchor="_Toc222753939" w:history="1">
            <w:r w:rsidR="00C43FA9" w:rsidRPr="00226F9D">
              <w:rPr>
                <w:rStyle w:val="Hyperlink"/>
                <w:rFonts w:ascii="Times New Roman" w:hAnsi="Times New Roman" w:cs="Times New Roman"/>
                <w:iCs/>
                <w:noProof/>
                <w:lang w:val="sr-Cyrl-RS" w:eastAsia="en-GB"/>
              </w:rPr>
              <w:t xml:space="preserve">Прилог </w:t>
            </w:r>
            <w:r w:rsidR="00C43FA9" w:rsidRPr="00226F9D">
              <w:rPr>
                <w:rStyle w:val="Hyperlink"/>
                <w:rFonts w:ascii="Times New Roman" w:hAnsi="Times New Roman" w:cs="Times New Roman"/>
                <w:iCs/>
                <w:noProof/>
                <w:lang w:val="sr-Latn-RS" w:eastAsia="en-GB"/>
              </w:rPr>
              <w:t>2</w:t>
            </w:r>
            <w:r w:rsidR="00C43FA9" w:rsidRPr="00226F9D">
              <w:rPr>
                <w:rStyle w:val="Hyperlink"/>
                <w:rFonts w:ascii="Times New Roman" w:hAnsi="Times New Roman" w:cs="Times New Roman"/>
                <w:iCs/>
                <w:noProof/>
                <w:lang w:val="sr-Cyrl-RS" w:eastAsia="en-GB"/>
              </w:rPr>
              <w:t>:</w:t>
            </w:r>
            <w:r w:rsidR="00C43FA9" w:rsidRPr="00226F9D">
              <w:rPr>
                <w:rStyle w:val="Hyperlink"/>
                <w:rFonts w:ascii="Times New Roman" w:hAnsi="Times New Roman" w:cs="Times New Roman"/>
                <w:noProof/>
                <w:lang w:val="sr-Cyrl-RS" w:eastAsia="en-GB"/>
              </w:rPr>
              <w:t xml:space="preserve"> Информације о спроведеним консултацијама и јавној расправи</w:t>
            </w:r>
            <w:r w:rsidR="00C43FA9" w:rsidRPr="00226F9D">
              <w:rPr>
                <w:rFonts w:ascii="Times New Roman" w:hAnsi="Times New Roman" w:cs="Times New Roman"/>
                <w:noProof/>
                <w:webHidden/>
              </w:rPr>
              <w:tab/>
            </w:r>
            <w:r w:rsidR="00C43FA9" w:rsidRPr="00226F9D">
              <w:rPr>
                <w:rFonts w:ascii="Times New Roman" w:hAnsi="Times New Roman" w:cs="Times New Roman"/>
                <w:noProof/>
                <w:webHidden/>
              </w:rPr>
              <w:fldChar w:fldCharType="begin"/>
            </w:r>
            <w:r w:rsidR="00C43FA9" w:rsidRPr="00226F9D">
              <w:rPr>
                <w:rFonts w:ascii="Times New Roman" w:hAnsi="Times New Roman" w:cs="Times New Roman"/>
                <w:noProof/>
                <w:webHidden/>
              </w:rPr>
              <w:instrText xml:space="preserve"> PAGEREF _Toc222753939 \h </w:instrText>
            </w:r>
            <w:r w:rsidR="00C43FA9" w:rsidRPr="00226F9D">
              <w:rPr>
                <w:rFonts w:ascii="Times New Roman" w:hAnsi="Times New Roman" w:cs="Times New Roman"/>
                <w:noProof/>
                <w:webHidden/>
              </w:rPr>
            </w:r>
            <w:r w:rsidR="00C43FA9" w:rsidRPr="00226F9D">
              <w:rPr>
                <w:rFonts w:ascii="Times New Roman" w:hAnsi="Times New Roman" w:cs="Times New Roman"/>
                <w:noProof/>
                <w:webHidden/>
              </w:rPr>
              <w:fldChar w:fldCharType="separate"/>
            </w:r>
            <w:r w:rsidR="00F21F7D">
              <w:rPr>
                <w:rFonts w:ascii="Times New Roman" w:hAnsi="Times New Roman" w:cs="Times New Roman"/>
                <w:noProof/>
                <w:webHidden/>
              </w:rPr>
              <w:t>116</w:t>
            </w:r>
            <w:r w:rsidR="00C43FA9" w:rsidRPr="00226F9D">
              <w:rPr>
                <w:rFonts w:ascii="Times New Roman" w:hAnsi="Times New Roman" w:cs="Times New Roman"/>
                <w:noProof/>
                <w:webHidden/>
              </w:rPr>
              <w:fldChar w:fldCharType="end"/>
            </w:r>
          </w:hyperlink>
        </w:p>
        <w:p w14:paraId="7D7AD106" w14:textId="0934B2FD" w:rsidR="00EC2D47" w:rsidRPr="00226F9D" w:rsidRDefault="008E4D40" w:rsidP="00EF3891">
          <w:pPr>
            <w:spacing w:after="80" w:line="240" w:lineRule="auto"/>
            <w:rPr>
              <w:rFonts w:ascii="Times New Roman" w:hAnsi="Times New Roman" w:cs="Times New Roman"/>
            </w:rPr>
          </w:pPr>
          <w:r w:rsidRPr="00226F9D">
            <w:rPr>
              <w:rFonts w:ascii="Times New Roman" w:hAnsi="Times New Roman" w:cs="Times New Roman"/>
              <w:b/>
              <w:bCs/>
              <w:noProof/>
              <w:sz w:val="22"/>
              <w:szCs w:val="22"/>
            </w:rPr>
            <w:fldChar w:fldCharType="end"/>
          </w:r>
        </w:p>
      </w:sdtContent>
    </w:sdt>
    <w:p w14:paraId="6A43D718" w14:textId="393508B2" w:rsidR="00BD0BD3" w:rsidRPr="00226F9D" w:rsidRDefault="00BD0BD3" w:rsidP="00BD0BD3">
      <w:pPr>
        <w:rPr>
          <w:rFonts w:ascii="Times New Roman" w:hAnsi="Times New Roman" w:cs="Times New Roman"/>
          <w:lang w:val="sr-Cyrl-RS"/>
        </w:rPr>
      </w:pPr>
      <w:r w:rsidRPr="00226F9D">
        <w:rPr>
          <w:rFonts w:ascii="Times New Roman" w:hAnsi="Times New Roman" w:cs="Times New Roman"/>
          <w:lang w:val="sr-Latn-RS"/>
        </w:rPr>
        <w:br w:type="page"/>
      </w:r>
    </w:p>
    <w:p w14:paraId="7DADC869" w14:textId="70650BF3" w:rsidR="00885601" w:rsidRPr="00226F9D" w:rsidRDefault="00D848B4" w:rsidP="00561811">
      <w:pPr>
        <w:pStyle w:val="Heading1"/>
        <w:rPr>
          <w:rFonts w:ascii="Times New Roman" w:hAnsi="Times New Roman" w:cs="Times New Roman"/>
          <w:lang w:val="sr-Cyrl-RS"/>
        </w:rPr>
      </w:pPr>
      <w:bookmarkStart w:id="0" w:name="_Toc222753910"/>
      <w:r w:rsidRPr="00226F9D">
        <w:rPr>
          <w:rFonts w:ascii="Times New Roman" w:hAnsi="Times New Roman" w:cs="Times New Roman"/>
        </w:rPr>
        <w:lastRenderedPageBreak/>
        <w:t>Листа скраћеница</w:t>
      </w:r>
      <w:bookmarkEnd w:id="0"/>
    </w:p>
    <w:p w14:paraId="4FC03892" w14:textId="77777777" w:rsidR="001F7E15" w:rsidRPr="00226F9D" w:rsidRDefault="001F7E15" w:rsidP="001F7E15">
      <w:pPr>
        <w:rPr>
          <w:rFonts w:ascii="Times New Roman" w:hAnsi="Times New Roman" w:cs="Times New Roman"/>
          <w:lang w:val="sr-Cyrl-RS"/>
        </w:rPr>
      </w:pPr>
    </w:p>
    <w:tbl>
      <w:tblPr>
        <w:tblW w:w="0" w:type="auto"/>
        <w:jc w:val="center"/>
        <w:tblCellMar>
          <w:top w:w="28" w:type="dxa"/>
          <w:left w:w="57" w:type="dxa"/>
          <w:bottom w:w="28" w:type="dxa"/>
          <w:right w:w="57" w:type="dxa"/>
        </w:tblCellMar>
        <w:tblLook w:val="0000" w:firstRow="0" w:lastRow="0" w:firstColumn="0" w:lastColumn="0" w:noHBand="0" w:noVBand="0"/>
      </w:tblPr>
      <w:tblGrid>
        <w:gridCol w:w="1980"/>
        <w:gridCol w:w="7530"/>
      </w:tblGrid>
      <w:tr w:rsidR="00D848B4" w:rsidRPr="00226F9D" w14:paraId="38F89586" w14:textId="77777777" w:rsidTr="0E5AB833">
        <w:trPr>
          <w:trHeight w:val="44"/>
          <w:jc w:val="center"/>
        </w:trPr>
        <w:tc>
          <w:tcPr>
            <w:tcW w:w="1980" w:type="dxa"/>
          </w:tcPr>
          <w:p w14:paraId="7F1A2EB1" w14:textId="3817B658" w:rsidR="00D848B4" w:rsidRPr="00226F9D" w:rsidRDefault="00D848B4" w:rsidP="00885601">
            <w:pPr>
              <w:spacing w:after="0" w:line="276" w:lineRule="auto"/>
              <w:rPr>
                <w:rFonts w:ascii="Times New Roman" w:eastAsia="Arial" w:hAnsi="Times New Roman" w:cs="Times New Roman"/>
                <w:b/>
                <w:bCs/>
                <w:kern w:val="0"/>
                <w:sz w:val="20"/>
                <w:szCs w:val="20"/>
                <w:lang w:val="sr-Latn-RS" w:eastAsia="en-GB"/>
                <w14:ligatures w14:val="none"/>
              </w:rPr>
            </w:pPr>
            <w:r w:rsidRPr="00226F9D">
              <w:rPr>
                <w:rFonts w:ascii="Times New Roman" w:eastAsia="Arial" w:hAnsi="Times New Roman" w:cs="Times New Roman"/>
                <w:b/>
                <w:bCs/>
                <w:kern w:val="0"/>
                <w:sz w:val="20"/>
                <w:szCs w:val="20"/>
                <w:lang w:val="sr-Cyrl-RS" w:eastAsia="en-GB"/>
                <w14:ligatures w14:val="none"/>
              </w:rPr>
              <w:t>АП</w:t>
            </w:r>
          </w:p>
        </w:tc>
        <w:tc>
          <w:tcPr>
            <w:tcW w:w="7530" w:type="dxa"/>
          </w:tcPr>
          <w:p w14:paraId="4611EE87" w14:textId="00BB2544" w:rsidR="00D848B4" w:rsidRPr="00226F9D" w:rsidRDefault="00D848B4"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Акциони план</w:t>
            </w:r>
          </w:p>
        </w:tc>
      </w:tr>
      <w:tr w:rsidR="00885601" w:rsidRPr="00226F9D" w14:paraId="5C3613F9" w14:textId="77777777" w:rsidTr="0E5AB833">
        <w:trPr>
          <w:trHeight w:val="110"/>
          <w:jc w:val="center"/>
        </w:trPr>
        <w:tc>
          <w:tcPr>
            <w:tcW w:w="1980" w:type="dxa"/>
          </w:tcPr>
          <w:p w14:paraId="4110A023" w14:textId="516DF1E1"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БДП</w:t>
            </w:r>
          </w:p>
        </w:tc>
        <w:tc>
          <w:tcPr>
            <w:tcW w:w="7530" w:type="dxa"/>
          </w:tcPr>
          <w:p w14:paraId="35DC36FB" w14:textId="790162F9"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Бруто друштвени производ</w:t>
            </w:r>
          </w:p>
        </w:tc>
      </w:tr>
      <w:tr w:rsidR="00D848B4" w:rsidRPr="00226F9D" w14:paraId="0422FED0" w14:textId="77777777" w:rsidTr="0E5AB833">
        <w:trPr>
          <w:jc w:val="center"/>
        </w:trPr>
        <w:tc>
          <w:tcPr>
            <w:tcW w:w="1980" w:type="dxa"/>
          </w:tcPr>
          <w:p w14:paraId="338CFF69" w14:textId="77777777" w:rsidR="00D848B4" w:rsidRPr="00226F9D" w:rsidRDefault="00D848B4"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ГИЗ</w:t>
            </w:r>
          </w:p>
        </w:tc>
        <w:tc>
          <w:tcPr>
            <w:tcW w:w="7530" w:type="dxa"/>
          </w:tcPr>
          <w:p w14:paraId="432F2ECB" w14:textId="77777777" w:rsidR="00D848B4" w:rsidRPr="00226F9D" w:rsidRDefault="00D848B4"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Немачка организација за међународну сарадњу</w:t>
            </w:r>
          </w:p>
        </w:tc>
      </w:tr>
      <w:tr w:rsidR="00D848B4" w:rsidRPr="00226F9D" w14:paraId="31DCCE40" w14:textId="77777777" w:rsidTr="0E5AB833">
        <w:trPr>
          <w:jc w:val="center"/>
        </w:trPr>
        <w:tc>
          <w:tcPr>
            <w:tcW w:w="1980" w:type="dxa"/>
          </w:tcPr>
          <w:p w14:paraId="4D96159A" w14:textId="77777777" w:rsidR="00D848B4" w:rsidRPr="00226F9D" w:rsidRDefault="00D848B4"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ЕПЛС</w:t>
            </w:r>
          </w:p>
        </w:tc>
        <w:tc>
          <w:tcPr>
            <w:tcW w:w="7530" w:type="dxa"/>
          </w:tcPr>
          <w:p w14:paraId="11C79CF3" w14:textId="77777777" w:rsidR="00D848B4" w:rsidRPr="00226F9D" w:rsidRDefault="00D848B4"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Европска повеља о локалној самоуправи</w:t>
            </w:r>
          </w:p>
        </w:tc>
      </w:tr>
      <w:tr w:rsidR="00D848B4" w:rsidRPr="00226F9D" w14:paraId="7522A074" w14:textId="77777777" w:rsidTr="0E5AB833">
        <w:trPr>
          <w:jc w:val="center"/>
        </w:trPr>
        <w:tc>
          <w:tcPr>
            <w:tcW w:w="1980" w:type="dxa"/>
          </w:tcPr>
          <w:p w14:paraId="4E6686D0" w14:textId="77BE3EFB" w:rsidR="00D848B4" w:rsidRPr="00226F9D" w:rsidRDefault="00D848B4" w:rsidP="00885601">
            <w:pPr>
              <w:spacing w:after="0" w:line="276" w:lineRule="auto"/>
              <w:rPr>
                <w:rFonts w:ascii="Times New Roman" w:eastAsia="Arial" w:hAnsi="Times New Roman" w:cs="Times New Roman"/>
                <w:b/>
                <w:bCs/>
                <w:kern w:val="0"/>
                <w:sz w:val="20"/>
                <w:szCs w:val="20"/>
                <w:lang w:val="sr-Latn-RS" w:eastAsia="en-GB"/>
                <w14:ligatures w14:val="none"/>
              </w:rPr>
            </w:pPr>
            <w:r w:rsidRPr="00226F9D">
              <w:rPr>
                <w:rFonts w:ascii="Times New Roman" w:eastAsia="Arial" w:hAnsi="Times New Roman" w:cs="Times New Roman"/>
                <w:b/>
                <w:bCs/>
                <w:kern w:val="0"/>
                <w:sz w:val="20"/>
                <w:szCs w:val="20"/>
                <w:lang w:val="sr-Cyrl-RS" w:eastAsia="en-GB"/>
                <w14:ligatures w14:val="none"/>
              </w:rPr>
              <w:t>ЕУ</w:t>
            </w:r>
          </w:p>
        </w:tc>
        <w:tc>
          <w:tcPr>
            <w:tcW w:w="7530" w:type="dxa"/>
          </w:tcPr>
          <w:p w14:paraId="33AFAA3C" w14:textId="26A7358E" w:rsidR="00D848B4" w:rsidRPr="00226F9D" w:rsidRDefault="00D848B4"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Европска унија</w:t>
            </w:r>
          </w:p>
        </w:tc>
      </w:tr>
      <w:tr w:rsidR="00885601" w:rsidRPr="00226F9D" w14:paraId="0331C63C" w14:textId="77777777" w:rsidTr="0E5AB833">
        <w:trPr>
          <w:jc w:val="center"/>
        </w:trPr>
        <w:tc>
          <w:tcPr>
            <w:tcW w:w="1980" w:type="dxa"/>
          </w:tcPr>
          <w:p w14:paraId="04ADEB7C" w14:textId="286D8F80"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ЗЛС</w:t>
            </w:r>
          </w:p>
        </w:tc>
        <w:tc>
          <w:tcPr>
            <w:tcW w:w="7530" w:type="dxa"/>
          </w:tcPr>
          <w:p w14:paraId="1F2FADF8" w14:textId="6C0DB7C1"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Закон о локалној самоуправи</w:t>
            </w:r>
          </w:p>
        </w:tc>
      </w:tr>
      <w:tr w:rsidR="00885601" w:rsidRPr="00226F9D" w14:paraId="579ECE0C" w14:textId="77777777" w:rsidTr="0E5AB833">
        <w:trPr>
          <w:jc w:val="center"/>
        </w:trPr>
        <w:tc>
          <w:tcPr>
            <w:tcW w:w="1980" w:type="dxa"/>
          </w:tcPr>
          <w:p w14:paraId="406B6DD5" w14:textId="0E26EC48"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ЗОФЛС</w:t>
            </w:r>
          </w:p>
        </w:tc>
        <w:tc>
          <w:tcPr>
            <w:tcW w:w="7530" w:type="dxa"/>
          </w:tcPr>
          <w:p w14:paraId="7461664F" w14:textId="654F5974"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Закон о финансирању локалне самоуправе</w:t>
            </w:r>
          </w:p>
        </w:tc>
      </w:tr>
      <w:tr w:rsidR="00885601" w:rsidRPr="00226F9D" w14:paraId="292E44B2" w14:textId="77777777" w:rsidTr="0E5AB833">
        <w:trPr>
          <w:jc w:val="center"/>
        </w:trPr>
        <w:tc>
          <w:tcPr>
            <w:tcW w:w="1980" w:type="dxa"/>
          </w:tcPr>
          <w:p w14:paraId="3F959E45" w14:textId="06434447"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ЗПНИ</w:t>
            </w:r>
          </w:p>
        </w:tc>
        <w:tc>
          <w:tcPr>
            <w:tcW w:w="7530" w:type="dxa"/>
          </w:tcPr>
          <w:p w14:paraId="69E59FBF" w14:textId="30279806"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Закон о порезима на имовину</w:t>
            </w:r>
          </w:p>
        </w:tc>
      </w:tr>
      <w:tr w:rsidR="00885601" w:rsidRPr="00226F9D" w14:paraId="0FF3D722" w14:textId="77777777" w:rsidTr="0E5AB833">
        <w:trPr>
          <w:jc w:val="center"/>
        </w:trPr>
        <w:tc>
          <w:tcPr>
            <w:tcW w:w="1980" w:type="dxa"/>
          </w:tcPr>
          <w:p w14:paraId="139F1FA6" w14:textId="5D9EFB28"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ЗПС</w:t>
            </w:r>
          </w:p>
        </w:tc>
        <w:tc>
          <w:tcPr>
            <w:tcW w:w="7530" w:type="dxa"/>
          </w:tcPr>
          <w:p w14:paraId="5A8DE0BF" w14:textId="79FFF2B2"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Закон о планском систему Републике Србије</w:t>
            </w:r>
          </w:p>
        </w:tc>
      </w:tr>
      <w:tr w:rsidR="00885601" w:rsidRPr="00226F9D" w14:paraId="29DF5652" w14:textId="77777777" w:rsidTr="0E5AB833">
        <w:trPr>
          <w:jc w:val="center"/>
        </w:trPr>
        <w:tc>
          <w:tcPr>
            <w:tcW w:w="1980" w:type="dxa"/>
          </w:tcPr>
          <w:p w14:paraId="0E1B040F" w14:textId="3716238B"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ИКТ</w:t>
            </w:r>
          </w:p>
        </w:tc>
        <w:tc>
          <w:tcPr>
            <w:tcW w:w="7530" w:type="dxa"/>
          </w:tcPr>
          <w:p w14:paraId="3D776EB8" w14:textId="6B0E92AB"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Информационо-комуникационе технологије</w:t>
            </w:r>
          </w:p>
        </w:tc>
      </w:tr>
      <w:tr w:rsidR="00885601" w:rsidRPr="00226F9D" w14:paraId="05ABB575" w14:textId="77777777" w:rsidTr="0E5AB833">
        <w:trPr>
          <w:jc w:val="center"/>
        </w:trPr>
        <w:tc>
          <w:tcPr>
            <w:tcW w:w="1980" w:type="dxa"/>
          </w:tcPr>
          <w:p w14:paraId="16B02F91" w14:textId="675E688E"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ИР</w:t>
            </w:r>
          </w:p>
        </w:tc>
        <w:tc>
          <w:tcPr>
            <w:tcW w:w="7530" w:type="dxa"/>
          </w:tcPr>
          <w:p w14:paraId="001D78B0" w14:textId="291D9BA4"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Интерна ревизија</w:t>
            </w:r>
          </w:p>
        </w:tc>
      </w:tr>
      <w:tr w:rsidR="00885601" w:rsidRPr="00226F9D" w14:paraId="3A7964D0" w14:textId="77777777" w:rsidTr="0E5AB833">
        <w:trPr>
          <w:jc w:val="center"/>
        </w:trPr>
        <w:tc>
          <w:tcPr>
            <w:tcW w:w="1980" w:type="dxa"/>
          </w:tcPr>
          <w:p w14:paraId="0CE9BD09" w14:textId="2BDE005B"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ИСИБ</w:t>
            </w:r>
          </w:p>
        </w:tc>
        <w:tc>
          <w:tcPr>
            <w:tcW w:w="7530" w:type="dxa"/>
          </w:tcPr>
          <w:p w14:paraId="7E05AAE1" w14:textId="6FE89D3F"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Информациони систем извршења буџета</w:t>
            </w:r>
          </w:p>
        </w:tc>
      </w:tr>
      <w:tr w:rsidR="00885601" w:rsidRPr="00226F9D" w14:paraId="0E27F8E0" w14:textId="77777777" w:rsidTr="0E5AB833">
        <w:trPr>
          <w:jc w:val="center"/>
        </w:trPr>
        <w:tc>
          <w:tcPr>
            <w:tcW w:w="1980" w:type="dxa"/>
          </w:tcPr>
          <w:p w14:paraId="7BA9F604" w14:textId="7EC064B1"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ИФКЈ</w:t>
            </w:r>
          </w:p>
        </w:tc>
        <w:tc>
          <w:tcPr>
            <w:tcW w:w="7530" w:type="dxa"/>
          </w:tcPr>
          <w:p w14:paraId="424FE599" w14:textId="49E55C58"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Интерна финансијска контрола у јавном сектору</w:t>
            </w:r>
          </w:p>
        </w:tc>
      </w:tr>
      <w:tr w:rsidR="00885601" w:rsidRPr="00226F9D" w14:paraId="4A99D26D" w14:textId="77777777" w:rsidTr="0E5AB833">
        <w:trPr>
          <w:jc w:val="center"/>
        </w:trPr>
        <w:tc>
          <w:tcPr>
            <w:tcW w:w="1980" w:type="dxa"/>
          </w:tcPr>
          <w:p w14:paraId="3BD756ED" w14:textId="35E3DF00"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ИНТОСАИ</w:t>
            </w:r>
          </w:p>
        </w:tc>
        <w:tc>
          <w:tcPr>
            <w:tcW w:w="7530" w:type="dxa"/>
          </w:tcPr>
          <w:p w14:paraId="4F2E9F15" w14:textId="58831E71"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 xml:space="preserve">Међународна организација врховних ревизорских институција </w:t>
            </w:r>
            <w:r w:rsidRPr="00226F9D">
              <w:rPr>
                <w:rFonts w:ascii="Times New Roman" w:eastAsia="Arial" w:hAnsi="Times New Roman" w:cs="Times New Roman"/>
                <w:kern w:val="0"/>
                <w:sz w:val="20"/>
                <w:szCs w:val="20"/>
                <w:lang w:val="sr-Latn-RS" w:eastAsia="en-GB"/>
                <w14:ligatures w14:val="none"/>
              </w:rPr>
              <w:br/>
            </w:r>
            <w:r w:rsidRPr="00226F9D">
              <w:rPr>
                <w:rFonts w:ascii="Times New Roman" w:eastAsia="Arial" w:hAnsi="Times New Roman" w:cs="Times New Roman"/>
                <w:kern w:val="0"/>
                <w:sz w:val="20"/>
                <w:szCs w:val="20"/>
                <w:lang w:val="sr-Cyrl-RS" w:eastAsia="en-GB"/>
                <w14:ligatures w14:val="none"/>
              </w:rPr>
              <w:t>(енг.</w:t>
            </w:r>
            <w:r w:rsidRPr="00226F9D">
              <w:rPr>
                <w:rFonts w:ascii="Times New Roman" w:eastAsia="Times New Roman" w:hAnsi="Times New Roman" w:cs="Times New Roman"/>
                <w:kern w:val="0"/>
                <w:sz w:val="20"/>
                <w:szCs w:val="20"/>
                <w:lang w:val="sr-Cyrl-RS"/>
                <w14:ligatures w14:val="none"/>
              </w:rPr>
              <w:t xml:space="preserve"> </w:t>
            </w:r>
            <w:r w:rsidRPr="00226F9D">
              <w:rPr>
                <w:rFonts w:ascii="Times New Roman" w:eastAsia="Arial" w:hAnsi="Times New Roman" w:cs="Times New Roman"/>
                <w:kern w:val="0"/>
                <w:sz w:val="20"/>
                <w:szCs w:val="20"/>
                <w:lang w:val="sr-Cyrl-RS" w:eastAsia="en-GB"/>
                <w14:ligatures w14:val="none"/>
              </w:rPr>
              <w:t>The International Organization of Supreme Audit Institutions)</w:t>
            </w:r>
          </w:p>
        </w:tc>
      </w:tr>
      <w:tr w:rsidR="00885601" w:rsidRPr="00226F9D" w14:paraId="3B2AC92C" w14:textId="77777777" w:rsidTr="0E5AB833">
        <w:trPr>
          <w:jc w:val="center"/>
        </w:trPr>
        <w:tc>
          <w:tcPr>
            <w:tcW w:w="1980" w:type="dxa"/>
          </w:tcPr>
          <w:p w14:paraId="0C34B414" w14:textId="01EED0DB" w:rsidR="00885601" w:rsidRPr="00226F9D" w:rsidRDefault="31A758A8" w:rsidP="0E5AB833">
            <w:pPr>
              <w:spacing w:after="0" w:line="276" w:lineRule="auto"/>
              <w:rPr>
                <w:rFonts w:ascii="Times New Roman" w:eastAsia="Arial" w:hAnsi="Times New Roman" w:cs="Times New Roman"/>
                <w:b/>
                <w:bCs/>
                <w:sz w:val="20"/>
                <w:szCs w:val="20"/>
                <w:lang w:val="sr-Cyrl-RS" w:eastAsia="en-GB"/>
              </w:rPr>
            </w:pPr>
            <w:r w:rsidRPr="00226F9D">
              <w:rPr>
                <w:rFonts w:ascii="Times New Roman" w:eastAsia="Arial" w:hAnsi="Times New Roman" w:cs="Times New Roman"/>
                <w:b/>
                <w:bCs/>
                <w:kern w:val="0"/>
                <w:sz w:val="20"/>
                <w:szCs w:val="20"/>
                <w:lang w:val="sr-Cyrl-RS" w:eastAsia="en-GB"/>
                <w14:ligatures w14:val="none"/>
              </w:rPr>
              <w:t>ИПА</w:t>
            </w:r>
          </w:p>
          <w:p w14:paraId="192EEA52" w14:textId="77777777" w:rsidR="008B7184" w:rsidRPr="00226F9D" w:rsidRDefault="008B7184" w:rsidP="00885601">
            <w:pPr>
              <w:spacing w:after="0" w:line="276" w:lineRule="auto"/>
              <w:rPr>
                <w:rFonts w:ascii="Times New Roman" w:eastAsia="Arial" w:hAnsi="Times New Roman" w:cs="Times New Roman"/>
                <w:b/>
                <w:bCs/>
                <w:sz w:val="20"/>
                <w:szCs w:val="20"/>
                <w:lang w:val="sr-Cyrl-RS" w:eastAsia="en-GB"/>
              </w:rPr>
            </w:pPr>
          </w:p>
          <w:p w14:paraId="12828323" w14:textId="2F02CAE8" w:rsidR="00885601" w:rsidRPr="00226F9D" w:rsidRDefault="7E9796E8"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sz w:val="20"/>
                <w:szCs w:val="20"/>
                <w:lang w:val="sr-Cyrl-RS" w:eastAsia="en-GB"/>
              </w:rPr>
              <w:t>ИБК</w:t>
            </w:r>
          </w:p>
        </w:tc>
        <w:tc>
          <w:tcPr>
            <w:tcW w:w="7530" w:type="dxa"/>
          </w:tcPr>
          <w:p w14:paraId="6F13B2B8" w14:textId="4A0DECBC" w:rsidR="00885601" w:rsidRPr="00226F9D" w:rsidRDefault="31A758A8" w:rsidP="0E5AB833">
            <w:pPr>
              <w:spacing w:after="0" w:line="276" w:lineRule="auto"/>
              <w:rPr>
                <w:rFonts w:ascii="Times New Roman" w:eastAsia="Arial" w:hAnsi="Times New Roman" w:cs="Times New Roman"/>
                <w:sz w:val="20"/>
                <w:szCs w:val="20"/>
                <w:lang w:val="sr-Cyrl-RS" w:eastAsia="en-GB"/>
              </w:rPr>
            </w:pPr>
            <w:r w:rsidRPr="00226F9D">
              <w:rPr>
                <w:rFonts w:ascii="Times New Roman" w:eastAsia="Arial" w:hAnsi="Times New Roman" w:cs="Times New Roman"/>
                <w:kern w:val="0"/>
                <w:sz w:val="20"/>
                <w:szCs w:val="20"/>
                <w:lang w:val="sr-Cyrl-RS" w:eastAsia="en-GB"/>
                <w14:ligatures w14:val="none"/>
              </w:rPr>
              <w:t xml:space="preserve">Инструмент за претприступну помоћ </w:t>
            </w:r>
            <w:r w:rsidR="00B7610F" w:rsidRPr="00226F9D">
              <w:rPr>
                <w:rFonts w:ascii="Times New Roman" w:eastAsia="Arial" w:hAnsi="Times New Roman" w:cs="Times New Roman"/>
                <w:kern w:val="0"/>
                <w:sz w:val="20"/>
                <w:szCs w:val="20"/>
                <w:lang w:val="sr-Cyrl-RS" w:eastAsia="en-GB"/>
                <w14:ligatures w14:val="none"/>
              </w:rPr>
              <w:t>(енг. Instrument for Pre-Accession Assistance)</w:t>
            </w:r>
          </w:p>
          <w:p w14:paraId="33ED8C44" w14:textId="34BE117F" w:rsidR="00885601" w:rsidRPr="00226F9D" w:rsidRDefault="147C37F6"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hAnsi="Times New Roman" w:cs="Times New Roman"/>
                <w:sz w:val="20"/>
                <w:szCs w:val="20"/>
                <w:lang w:val="sr-Cyrl-RS"/>
              </w:rPr>
              <w:t>Ин</w:t>
            </w:r>
            <w:r w:rsidR="005A0B96" w:rsidRPr="00226F9D">
              <w:rPr>
                <w:rFonts w:ascii="Times New Roman" w:hAnsi="Times New Roman" w:cs="Times New Roman"/>
                <w:sz w:val="20"/>
                <w:szCs w:val="20"/>
                <w:lang w:val="sr-Cyrl-RS"/>
              </w:rPr>
              <w:t>ди</w:t>
            </w:r>
            <w:r w:rsidRPr="00226F9D">
              <w:rPr>
                <w:rFonts w:ascii="Times New Roman" w:hAnsi="Times New Roman" w:cs="Times New Roman"/>
                <w:sz w:val="20"/>
                <w:szCs w:val="20"/>
                <w:lang w:val="sr-Cyrl-RS"/>
              </w:rPr>
              <w:t>р</w:t>
            </w:r>
            <w:r w:rsidR="005A0B96" w:rsidRPr="00226F9D">
              <w:rPr>
                <w:rFonts w:ascii="Times New Roman" w:hAnsi="Times New Roman" w:cs="Times New Roman"/>
                <w:sz w:val="20"/>
                <w:szCs w:val="20"/>
                <w:lang w:val="sr-Cyrl-RS"/>
              </w:rPr>
              <w:t>ект</w:t>
            </w:r>
            <w:r w:rsidRPr="00226F9D">
              <w:rPr>
                <w:rFonts w:ascii="Times New Roman" w:hAnsi="Times New Roman" w:cs="Times New Roman"/>
                <w:sz w:val="20"/>
                <w:szCs w:val="20"/>
                <w:lang w:val="sr-Cyrl-RS"/>
              </w:rPr>
              <w:t>ни буџетски корисници</w:t>
            </w:r>
          </w:p>
        </w:tc>
      </w:tr>
      <w:tr w:rsidR="00D848B4" w:rsidRPr="00226F9D" w14:paraId="4AF50E99" w14:textId="77777777" w:rsidTr="0E5AB833">
        <w:trPr>
          <w:jc w:val="center"/>
        </w:trPr>
        <w:tc>
          <w:tcPr>
            <w:tcW w:w="1980" w:type="dxa"/>
          </w:tcPr>
          <w:p w14:paraId="5F83A133" w14:textId="54590790" w:rsidR="00D848B4" w:rsidRPr="00226F9D" w:rsidRDefault="00D848B4" w:rsidP="00885601">
            <w:pPr>
              <w:spacing w:after="0" w:line="276" w:lineRule="auto"/>
              <w:rPr>
                <w:rFonts w:ascii="Times New Roman" w:eastAsia="Arial" w:hAnsi="Times New Roman" w:cs="Times New Roman"/>
                <w:b/>
                <w:bCs/>
                <w:kern w:val="0"/>
                <w:sz w:val="20"/>
                <w:szCs w:val="20"/>
                <w:lang w:val="sr-Latn-RS" w:eastAsia="en-GB"/>
                <w14:ligatures w14:val="none"/>
              </w:rPr>
            </w:pPr>
            <w:r w:rsidRPr="00226F9D">
              <w:rPr>
                <w:rFonts w:ascii="Times New Roman" w:eastAsia="Arial" w:hAnsi="Times New Roman" w:cs="Times New Roman"/>
                <w:b/>
                <w:bCs/>
                <w:kern w:val="0"/>
                <w:sz w:val="20"/>
                <w:szCs w:val="20"/>
                <w:lang w:val="sr-Cyrl-RS" w:eastAsia="en-GB"/>
                <w14:ligatures w14:val="none"/>
              </w:rPr>
              <w:t>ЈИС</w:t>
            </w:r>
          </w:p>
        </w:tc>
        <w:tc>
          <w:tcPr>
            <w:tcW w:w="7530" w:type="dxa"/>
          </w:tcPr>
          <w:p w14:paraId="57CC12AB" w14:textId="77777777" w:rsidR="00D848B4" w:rsidRPr="00226F9D" w:rsidRDefault="00D848B4"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Јединствени информациони систем за планирање, праћење спровођења, координацију јавних политика и извештавање</w:t>
            </w:r>
          </w:p>
        </w:tc>
      </w:tr>
      <w:tr w:rsidR="00D848B4" w:rsidRPr="00226F9D" w14:paraId="501D617A" w14:textId="77777777" w:rsidTr="0E5AB833">
        <w:trPr>
          <w:jc w:val="center"/>
        </w:trPr>
        <w:tc>
          <w:tcPr>
            <w:tcW w:w="1980" w:type="dxa"/>
          </w:tcPr>
          <w:p w14:paraId="70BB597F" w14:textId="13726B3B" w:rsidR="00D848B4" w:rsidRPr="00226F9D" w:rsidRDefault="00D848B4" w:rsidP="00885601">
            <w:pPr>
              <w:spacing w:after="0" w:line="276" w:lineRule="auto"/>
              <w:rPr>
                <w:rFonts w:ascii="Times New Roman" w:eastAsia="Arial" w:hAnsi="Times New Roman" w:cs="Times New Roman"/>
                <w:b/>
                <w:bCs/>
                <w:kern w:val="0"/>
                <w:sz w:val="20"/>
                <w:szCs w:val="20"/>
                <w:lang w:val="sr-Latn-RS" w:eastAsia="en-GB"/>
                <w14:ligatures w14:val="none"/>
              </w:rPr>
            </w:pPr>
            <w:r w:rsidRPr="00226F9D">
              <w:rPr>
                <w:rFonts w:ascii="Times New Roman" w:eastAsia="Arial" w:hAnsi="Times New Roman" w:cs="Times New Roman"/>
                <w:b/>
                <w:bCs/>
                <w:kern w:val="0"/>
                <w:sz w:val="20"/>
                <w:szCs w:val="20"/>
                <w:lang w:val="sr-Cyrl-RS" w:eastAsia="en-GB"/>
                <w14:ligatures w14:val="none"/>
              </w:rPr>
              <w:t>ЈЛС</w:t>
            </w:r>
          </w:p>
        </w:tc>
        <w:tc>
          <w:tcPr>
            <w:tcW w:w="7530" w:type="dxa"/>
          </w:tcPr>
          <w:p w14:paraId="2DE5488F" w14:textId="29A0A8A4" w:rsidR="00D848B4" w:rsidRPr="00226F9D" w:rsidRDefault="00D848B4"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Јединица локалне самоуправе</w:t>
            </w:r>
          </w:p>
        </w:tc>
      </w:tr>
      <w:tr w:rsidR="00885601" w:rsidRPr="00226F9D" w14:paraId="30DDA5A1" w14:textId="77777777" w:rsidTr="0E5AB833">
        <w:trPr>
          <w:jc w:val="center"/>
        </w:trPr>
        <w:tc>
          <w:tcPr>
            <w:tcW w:w="1980" w:type="dxa"/>
          </w:tcPr>
          <w:p w14:paraId="5A55D15F" w14:textId="40B0569C"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ЈПП</w:t>
            </w:r>
          </w:p>
        </w:tc>
        <w:tc>
          <w:tcPr>
            <w:tcW w:w="7530" w:type="dxa"/>
          </w:tcPr>
          <w:p w14:paraId="294E0334" w14:textId="10836086"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Јавно-приватно партнерство</w:t>
            </w:r>
          </w:p>
        </w:tc>
      </w:tr>
      <w:tr w:rsidR="00885601" w:rsidRPr="00226F9D" w14:paraId="16C2FBBB" w14:textId="77777777" w:rsidTr="0E5AB833">
        <w:trPr>
          <w:jc w:val="center"/>
        </w:trPr>
        <w:tc>
          <w:tcPr>
            <w:tcW w:w="1980" w:type="dxa"/>
          </w:tcPr>
          <w:p w14:paraId="375C9270" w14:textId="47F76FF8"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ЈУМ</w:t>
            </w:r>
          </w:p>
        </w:tc>
        <w:tc>
          <w:tcPr>
            <w:tcW w:w="7530" w:type="dxa"/>
          </w:tcPr>
          <w:p w14:paraId="756AA182" w14:textId="1B1ABBF0"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Јединствено управно место</w:t>
            </w:r>
          </w:p>
        </w:tc>
      </w:tr>
      <w:tr w:rsidR="00885601" w:rsidRPr="00226F9D" w14:paraId="5F451217" w14:textId="77777777" w:rsidTr="0E5AB833">
        <w:trPr>
          <w:jc w:val="center"/>
        </w:trPr>
        <w:tc>
          <w:tcPr>
            <w:tcW w:w="1980" w:type="dxa"/>
          </w:tcPr>
          <w:p w14:paraId="04203891" w14:textId="7A8F5A00"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КИТЕУ</w:t>
            </w:r>
          </w:p>
        </w:tc>
        <w:tc>
          <w:tcPr>
            <w:tcW w:w="7530" w:type="dxa"/>
          </w:tcPr>
          <w:p w14:paraId="6326B6F0" w14:textId="6BA8B60F"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Канцеларија за информационе технологије и електронску управу</w:t>
            </w:r>
          </w:p>
        </w:tc>
      </w:tr>
      <w:tr w:rsidR="00885601" w:rsidRPr="00226F9D" w14:paraId="36B11C97" w14:textId="77777777" w:rsidTr="0E5AB833">
        <w:trPr>
          <w:jc w:val="center"/>
        </w:trPr>
        <w:tc>
          <w:tcPr>
            <w:tcW w:w="1980" w:type="dxa"/>
          </w:tcPr>
          <w:p w14:paraId="6B8AFDB4" w14:textId="687CBB31"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КОСО</w:t>
            </w:r>
          </w:p>
        </w:tc>
        <w:tc>
          <w:tcPr>
            <w:tcW w:w="7530" w:type="dxa"/>
          </w:tcPr>
          <w:p w14:paraId="4E33DCF9" w14:textId="425D4F6A"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Оквир за успостављање система ФУК</w:t>
            </w:r>
          </w:p>
        </w:tc>
      </w:tr>
      <w:tr w:rsidR="00885601" w:rsidRPr="00226F9D" w14:paraId="40E35D81" w14:textId="77777777" w:rsidTr="0E5AB833">
        <w:trPr>
          <w:jc w:val="center"/>
        </w:trPr>
        <w:tc>
          <w:tcPr>
            <w:tcW w:w="1980" w:type="dxa"/>
          </w:tcPr>
          <w:p w14:paraId="46BC5C1E" w14:textId="1426371F"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КОМДЕЛ</w:t>
            </w:r>
          </w:p>
        </w:tc>
        <w:tc>
          <w:tcPr>
            <w:tcW w:w="7530" w:type="dxa"/>
          </w:tcPr>
          <w:p w14:paraId="4326C1BE" w14:textId="10BC79FD"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Пословно удружење комуналних предузећа</w:t>
            </w:r>
          </w:p>
        </w:tc>
      </w:tr>
      <w:tr w:rsidR="00D848B4" w:rsidRPr="00226F9D" w14:paraId="1D6F65A6" w14:textId="77777777" w:rsidTr="0E5AB833">
        <w:trPr>
          <w:jc w:val="center"/>
        </w:trPr>
        <w:tc>
          <w:tcPr>
            <w:tcW w:w="1980" w:type="dxa"/>
          </w:tcPr>
          <w:p w14:paraId="4027AAAA" w14:textId="27B8B835" w:rsidR="00D848B4" w:rsidRPr="00226F9D" w:rsidRDefault="00D848B4" w:rsidP="00885601">
            <w:pPr>
              <w:spacing w:after="0" w:line="276" w:lineRule="auto"/>
              <w:rPr>
                <w:rFonts w:ascii="Times New Roman" w:eastAsia="Arial" w:hAnsi="Times New Roman" w:cs="Times New Roman"/>
                <w:b/>
                <w:bCs/>
                <w:kern w:val="0"/>
                <w:sz w:val="20"/>
                <w:szCs w:val="20"/>
                <w:lang w:val="sr-Latn-RS" w:eastAsia="en-GB"/>
                <w14:ligatures w14:val="none"/>
              </w:rPr>
            </w:pPr>
            <w:r w:rsidRPr="00226F9D">
              <w:rPr>
                <w:rFonts w:ascii="Times New Roman" w:eastAsia="Arial" w:hAnsi="Times New Roman" w:cs="Times New Roman"/>
                <w:b/>
                <w:bCs/>
                <w:kern w:val="0"/>
                <w:sz w:val="20"/>
                <w:szCs w:val="20"/>
                <w:lang w:val="sr-Cyrl-RS" w:eastAsia="en-GB"/>
                <w14:ligatures w14:val="none"/>
              </w:rPr>
              <w:t>ЛЕР</w:t>
            </w:r>
          </w:p>
        </w:tc>
        <w:tc>
          <w:tcPr>
            <w:tcW w:w="7530" w:type="dxa"/>
          </w:tcPr>
          <w:p w14:paraId="7DA426BF" w14:textId="0C0E9D64" w:rsidR="00D848B4" w:rsidRPr="00226F9D" w:rsidRDefault="00D848B4"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Локални економски развој</w:t>
            </w:r>
          </w:p>
        </w:tc>
      </w:tr>
      <w:tr w:rsidR="00885601" w:rsidRPr="00226F9D" w14:paraId="6FF3B1C9" w14:textId="77777777" w:rsidTr="0E5AB833">
        <w:trPr>
          <w:jc w:val="center"/>
        </w:trPr>
        <w:tc>
          <w:tcPr>
            <w:tcW w:w="1980" w:type="dxa"/>
          </w:tcPr>
          <w:p w14:paraId="2DCB831D" w14:textId="3AFD4C3F"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ЛПА</w:t>
            </w:r>
          </w:p>
        </w:tc>
        <w:tc>
          <w:tcPr>
            <w:tcW w:w="7530" w:type="dxa"/>
          </w:tcPr>
          <w:p w14:paraId="7371CDDE" w14:textId="07277204"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Локална пореска администрација</w:t>
            </w:r>
          </w:p>
        </w:tc>
      </w:tr>
      <w:tr w:rsidR="00885601" w:rsidRPr="00226F9D" w14:paraId="4EDD75FB" w14:textId="77777777" w:rsidTr="0E5AB833">
        <w:trPr>
          <w:jc w:val="center"/>
        </w:trPr>
        <w:tc>
          <w:tcPr>
            <w:tcW w:w="1980" w:type="dxa"/>
          </w:tcPr>
          <w:p w14:paraId="11F4B029" w14:textId="2262DC9D"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color w:val="000000"/>
                <w:kern w:val="0"/>
                <w:sz w:val="20"/>
                <w:szCs w:val="20"/>
                <w:lang w:val="sr-Cyrl-RS" w:eastAsia="en-GB"/>
                <w14:ligatures w14:val="none"/>
              </w:rPr>
              <w:t>ЛС</w:t>
            </w:r>
          </w:p>
        </w:tc>
        <w:tc>
          <w:tcPr>
            <w:tcW w:w="7530" w:type="dxa"/>
          </w:tcPr>
          <w:p w14:paraId="7316DB06" w14:textId="0F4DB07D"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Локална самоуправа</w:t>
            </w:r>
          </w:p>
        </w:tc>
      </w:tr>
      <w:tr w:rsidR="00885601" w:rsidRPr="00226F9D" w14:paraId="77048759" w14:textId="77777777" w:rsidTr="0E5AB833">
        <w:trPr>
          <w:jc w:val="center"/>
        </w:trPr>
        <w:tc>
          <w:tcPr>
            <w:tcW w:w="1980" w:type="dxa"/>
          </w:tcPr>
          <w:p w14:paraId="44A40207" w14:textId="45B630B3"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color w:val="000000"/>
                <w:kern w:val="0"/>
                <w:sz w:val="20"/>
                <w:szCs w:val="20"/>
                <w:lang w:val="sr-Cyrl-RS" w:eastAsia="en-GB"/>
                <w14:ligatures w14:val="none"/>
              </w:rPr>
              <w:t>ЛТИ</w:t>
            </w:r>
          </w:p>
        </w:tc>
        <w:tc>
          <w:tcPr>
            <w:tcW w:w="7530" w:type="dxa"/>
          </w:tcPr>
          <w:p w14:paraId="62EE9CDC" w14:textId="32786542"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Индекс транспарентности локалне самоуправе</w:t>
            </w:r>
          </w:p>
        </w:tc>
      </w:tr>
      <w:tr w:rsidR="00885601" w:rsidRPr="00226F9D" w14:paraId="098B0A8F" w14:textId="77777777" w:rsidTr="0E5AB833">
        <w:trPr>
          <w:jc w:val="center"/>
        </w:trPr>
        <w:tc>
          <w:tcPr>
            <w:tcW w:w="1980" w:type="dxa"/>
          </w:tcPr>
          <w:p w14:paraId="1D65225E" w14:textId="2989650A" w:rsidR="003D1657" w:rsidRPr="00226F9D" w:rsidRDefault="00885601" w:rsidP="00885601">
            <w:pPr>
              <w:spacing w:after="0" w:line="276" w:lineRule="auto"/>
              <w:rPr>
                <w:rFonts w:ascii="Times New Roman" w:eastAsia="Arial" w:hAnsi="Times New Roman" w:cs="Times New Roman"/>
                <w:b/>
                <w:bCs/>
                <w:color w:val="000000"/>
                <w:kern w:val="0"/>
                <w:sz w:val="20"/>
                <w:szCs w:val="20"/>
                <w:lang w:val="sr-Latn-RS" w:eastAsia="en-GB"/>
                <w14:ligatures w14:val="none"/>
              </w:rPr>
            </w:pPr>
            <w:r w:rsidRPr="00226F9D">
              <w:rPr>
                <w:rFonts w:ascii="Times New Roman" w:eastAsia="Arial" w:hAnsi="Times New Roman" w:cs="Times New Roman"/>
                <w:b/>
                <w:bCs/>
                <w:color w:val="000000"/>
                <w:kern w:val="0"/>
                <w:sz w:val="20"/>
                <w:szCs w:val="20"/>
                <w:lang w:val="sr-Cyrl-RS" w:eastAsia="en-GB"/>
                <w14:ligatures w14:val="none"/>
              </w:rPr>
              <w:t>ЛИПА</w:t>
            </w:r>
          </w:p>
        </w:tc>
        <w:tc>
          <w:tcPr>
            <w:tcW w:w="7530" w:type="dxa"/>
          </w:tcPr>
          <w:p w14:paraId="4BE41F21" w14:textId="4FD15125"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Локални индекс партиципативности</w:t>
            </w:r>
          </w:p>
        </w:tc>
      </w:tr>
      <w:tr w:rsidR="00885601" w:rsidRPr="00226F9D" w14:paraId="1B4F799B" w14:textId="77777777" w:rsidTr="0E5AB833">
        <w:trPr>
          <w:jc w:val="center"/>
        </w:trPr>
        <w:tc>
          <w:tcPr>
            <w:tcW w:w="1980" w:type="dxa"/>
          </w:tcPr>
          <w:p w14:paraId="16384A30" w14:textId="6C6CC1DB"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color w:val="000000"/>
                <w:kern w:val="0"/>
                <w:sz w:val="20"/>
                <w:szCs w:val="20"/>
                <w:lang w:val="sr-Cyrl-RS" w:eastAsia="en-GB"/>
                <w14:ligatures w14:val="none"/>
              </w:rPr>
              <w:t>МГСИ</w:t>
            </w:r>
          </w:p>
        </w:tc>
        <w:tc>
          <w:tcPr>
            <w:tcW w:w="7530" w:type="dxa"/>
          </w:tcPr>
          <w:p w14:paraId="0882C1BF" w14:textId="2C22CCD0"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Министарство грађевинарства, саобраћаја и инфраструктуре</w:t>
            </w:r>
          </w:p>
        </w:tc>
      </w:tr>
      <w:tr w:rsidR="00885601" w:rsidRPr="00226F9D" w14:paraId="6530CA70" w14:textId="77777777" w:rsidTr="0E5AB833">
        <w:trPr>
          <w:trHeight w:val="66"/>
          <w:jc w:val="center"/>
        </w:trPr>
        <w:tc>
          <w:tcPr>
            <w:tcW w:w="1980" w:type="dxa"/>
          </w:tcPr>
          <w:p w14:paraId="2A06CD47" w14:textId="2355EFD0" w:rsidR="00885601" w:rsidRPr="00226F9D" w:rsidRDefault="00885601"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МТО</w:t>
            </w:r>
          </w:p>
        </w:tc>
        <w:tc>
          <w:tcPr>
            <w:tcW w:w="7530" w:type="dxa"/>
          </w:tcPr>
          <w:p w14:paraId="61FDEB17" w14:textId="4E180F45"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Министарство туризма и омладине</w:t>
            </w:r>
          </w:p>
        </w:tc>
      </w:tr>
      <w:tr w:rsidR="00D848B4" w:rsidRPr="00226F9D" w14:paraId="51EA713C" w14:textId="77777777" w:rsidTr="0E5AB833">
        <w:trPr>
          <w:jc w:val="center"/>
        </w:trPr>
        <w:tc>
          <w:tcPr>
            <w:tcW w:w="1980" w:type="dxa"/>
          </w:tcPr>
          <w:p w14:paraId="43BE1AE5" w14:textId="56E3B3EF"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МДУЛС</w:t>
            </w:r>
          </w:p>
        </w:tc>
        <w:tc>
          <w:tcPr>
            <w:tcW w:w="7530" w:type="dxa"/>
          </w:tcPr>
          <w:p w14:paraId="6877AB10" w14:textId="0E4DB9F5" w:rsidR="00D848B4" w:rsidRPr="00226F9D" w:rsidRDefault="00D848B4" w:rsidP="00885601">
            <w:pPr>
              <w:spacing w:after="0" w:line="276" w:lineRule="auto"/>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Министарство државне управе и локалне самоуправе</w:t>
            </w:r>
          </w:p>
        </w:tc>
      </w:tr>
      <w:tr w:rsidR="003D1657" w:rsidRPr="00226F9D" w14:paraId="66F37E1D" w14:textId="77777777" w:rsidTr="0E5AB833">
        <w:trPr>
          <w:jc w:val="center"/>
        </w:trPr>
        <w:tc>
          <w:tcPr>
            <w:tcW w:w="1980" w:type="dxa"/>
          </w:tcPr>
          <w:p w14:paraId="625149AD" w14:textId="518FE52F" w:rsidR="003D1657" w:rsidRPr="00226F9D" w:rsidRDefault="003D1657"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МЕИ</w:t>
            </w:r>
          </w:p>
        </w:tc>
        <w:tc>
          <w:tcPr>
            <w:tcW w:w="7530" w:type="dxa"/>
          </w:tcPr>
          <w:p w14:paraId="63845666" w14:textId="27A2095B" w:rsidR="003D1657" w:rsidRPr="00226F9D" w:rsidRDefault="003D1657" w:rsidP="00885601">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Министарство за европске интеграције</w:t>
            </w:r>
          </w:p>
        </w:tc>
      </w:tr>
      <w:tr w:rsidR="00D848B4" w:rsidRPr="00226F9D" w14:paraId="501CCA1F" w14:textId="77777777" w:rsidTr="0E5AB833">
        <w:trPr>
          <w:jc w:val="center"/>
        </w:trPr>
        <w:tc>
          <w:tcPr>
            <w:tcW w:w="1980" w:type="dxa"/>
          </w:tcPr>
          <w:p w14:paraId="08F1698D" w14:textId="22301459"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МОС</w:t>
            </w:r>
          </w:p>
        </w:tc>
        <w:tc>
          <w:tcPr>
            <w:tcW w:w="7530" w:type="dxa"/>
          </w:tcPr>
          <w:p w14:paraId="6D5AD150" w14:textId="0A3EB19A" w:rsidR="00D848B4" w:rsidRPr="00226F9D" w:rsidRDefault="00D848B4" w:rsidP="00885601">
            <w:pPr>
              <w:spacing w:after="0" w:line="276" w:lineRule="auto"/>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Међуопштинска сарадња</w:t>
            </w:r>
          </w:p>
        </w:tc>
      </w:tr>
      <w:tr w:rsidR="003D1657" w:rsidRPr="00226F9D" w14:paraId="3444C285" w14:textId="77777777" w:rsidTr="0E5AB833">
        <w:trPr>
          <w:jc w:val="center"/>
        </w:trPr>
        <w:tc>
          <w:tcPr>
            <w:tcW w:w="1980" w:type="dxa"/>
          </w:tcPr>
          <w:p w14:paraId="1BA23727" w14:textId="7E03EE6A" w:rsidR="003D1657" w:rsidRPr="00226F9D" w:rsidRDefault="003D1657" w:rsidP="003D1657">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МИНПРИВ</w:t>
            </w:r>
          </w:p>
        </w:tc>
        <w:tc>
          <w:tcPr>
            <w:tcW w:w="7530" w:type="dxa"/>
          </w:tcPr>
          <w:p w14:paraId="392AA690" w14:textId="55B30091" w:rsidR="003D1657" w:rsidRPr="00226F9D" w:rsidRDefault="003D1657" w:rsidP="003D1657">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Министарство привреде</w:t>
            </w:r>
          </w:p>
        </w:tc>
      </w:tr>
      <w:tr w:rsidR="003D1657" w:rsidRPr="00226F9D" w14:paraId="7891874C" w14:textId="77777777" w:rsidTr="0E5AB833">
        <w:trPr>
          <w:jc w:val="center"/>
        </w:trPr>
        <w:tc>
          <w:tcPr>
            <w:tcW w:w="1980" w:type="dxa"/>
          </w:tcPr>
          <w:p w14:paraId="2FF8EA75" w14:textId="77DE5C74" w:rsidR="003D1657" w:rsidRPr="00226F9D" w:rsidRDefault="003D1657" w:rsidP="003D1657">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МРЗБСП</w:t>
            </w:r>
          </w:p>
        </w:tc>
        <w:tc>
          <w:tcPr>
            <w:tcW w:w="7530" w:type="dxa"/>
          </w:tcPr>
          <w:p w14:paraId="7B474791" w14:textId="4F299B7C" w:rsidR="003D1657" w:rsidRPr="00226F9D" w:rsidRDefault="003D1657" w:rsidP="003D1657">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Министарство за рад, запошљавање, борачка и социјална питања</w:t>
            </w:r>
          </w:p>
        </w:tc>
      </w:tr>
      <w:tr w:rsidR="003D1657" w:rsidRPr="00226F9D" w14:paraId="47EE1D48" w14:textId="77777777" w:rsidTr="0E5AB833">
        <w:trPr>
          <w:jc w:val="center"/>
        </w:trPr>
        <w:tc>
          <w:tcPr>
            <w:tcW w:w="1980" w:type="dxa"/>
          </w:tcPr>
          <w:p w14:paraId="32B6D6C8" w14:textId="097AE985" w:rsidR="003D1657" w:rsidRPr="00226F9D" w:rsidRDefault="003D1657"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МПГ</w:t>
            </w:r>
          </w:p>
        </w:tc>
        <w:tc>
          <w:tcPr>
            <w:tcW w:w="7530" w:type="dxa"/>
          </w:tcPr>
          <w:p w14:paraId="2B5A72AD" w14:textId="043B2498" w:rsidR="003D1657" w:rsidRPr="00226F9D" w:rsidRDefault="003D1657" w:rsidP="00885601">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Међуминистарска пројектна група</w:t>
            </w:r>
          </w:p>
        </w:tc>
      </w:tr>
      <w:tr w:rsidR="00D848B4" w:rsidRPr="00226F9D" w14:paraId="6ECEBBD4" w14:textId="77777777" w:rsidTr="0E5AB833">
        <w:trPr>
          <w:jc w:val="center"/>
        </w:trPr>
        <w:tc>
          <w:tcPr>
            <w:tcW w:w="1980" w:type="dxa"/>
          </w:tcPr>
          <w:p w14:paraId="5FC6630F" w14:textId="3A7DF39A"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МФИН</w:t>
            </w:r>
          </w:p>
        </w:tc>
        <w:tc>
          <w:tcPr>
            <w:tcW w:w="7530" w:type="dxa"/>
          </w:tcPr>
          <w:p w14:paraId="36C64195" w14:textId="0B0784CA" w:rsidR="00D848B4" w:rsidRPr="00226F9D" w:rsidRDefault="00D848B4" w:rsidP="00885601">
            <w:pPr>
              <w:spacing w:after="0" w:line="276" w:lineRule="auto"/>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Министарство финансија</w:t>
            </w:r>
          </w:p>
        </w:tc>
      </w:tr>
      <w:tr w:rsidR="003D1657" w:rsidRPr="00226F9D" w14:paraId="68CA972C" w14:textId="77777777" w:rsidTr="0E5AB833">
        <w:trPr>
          <w:jc w:val="center"/>
        </w:trPr>
        <w:tc>
          <w:tcPr>
            <w:tcW w:w="1980" w:type="dxa"/>
          </w:tcPr>
          <w:p w14:paraId="5EB88A85" w14:textId="36D318E3" w:rsidR="003D1657" w:rsidRPr="00226F9D" w:rsidRDefault="003D1657" w:rsidP="003D1657">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МЗЖС</w:t>
            </w:r>
          </w:p>
        </w:tc>
        <w:tc>
          <w:tcPr>
            <w:tcW w:w="7530" w:type="dxa"/>
          </w:tcPr>
          <w:p w14:paraId="68A6F9D0" w14:textId="2E6D2B9C" w:rsidR="003D1657" w:rsidRPr="00226F9D" w:rsidRDefault="003D1657" w:rsidP="003D1657">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Министарство заштите животне средине</w:t>
            </w:r>
          </w:p>
        </w:tc>
      </w:tr>
      <w:tr w:rsidR="003D1657" w:rsidRPr="00226F9D" w14:paraId="05194670" w14:textId="77777777" w:rsidTr="0E5AB833">
        <w:trPr>
          <w:jc w:val="center"/>
        </w:trPr>
        <w:tc>
          <w:tcPr>
            <w:tcW w:w="1980" w:type="dxa"/>
          </w:tcPr>
          <w:p w14:paraId="3B1F657A" w14:textId="5B6E96E7" w:rsidR="003D1657" w:rsidRPr="00226F9D" w:rsidRDefault="003D1657" w:rsidP="003D1657">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МПШВ</w:t>
            </w:r>
          </w:p>
        </w:tc>
        <w:tc>
          <w:tcPr>
            <w:tcW w:w="7530" w:type="dxa"/>
          </w:tcPr>
          <w:p w14:paraId="3E84BB7B" w14:textId="2D2ECDD3" w:rsidR="003D1657" w:rsidRPr="00226F9D" w:rsidRDefault="003D1657" w:rsidP="003D1657">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Министарство пољопривреде шумарства и водопривреде</w:t>
            </w:r>
          </w:p>
        </w:tc>
      </w:tr>
      <w:tr w:rsidR="003D1657" w:rsidRPr="00226F9D" w14:paraId="250CC671" w14:textId="77777777" w:rsidTr="0E5AB833">
        <w:trPr>
          <w:jc w:val="center"/>
        </w:trPr>
        <w:tc>
          <w:tcPr>
            <w:tcW w:w="1980" w:type="dxa"/>
          </w:tcPr>
          <w:p w14:paraId="3ED05991" w14:textId="3C9FFEF9" w:rsidR="003D1657" w:rsidRPr="00226F9D" w:rsidRDefault="003D1657" w:rsidP="003D1657">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lastRenderedPageBreak/>
              <w:t>МЗ</w:t>
            </w:r>
          </w:p>
        </w:tc>
        <w:tc>
          <w:tcPr>
            <w:tcW w:w="7530" w:type="dxa"/>
          </w:tcPr>
          <w:p w14:paraId="5A08F786" w14:textId="779ADC6F" w:rsidR="003D1657" w:rsidRPr="00226F9D" w:rsidRDefault="003D1657" w:rsidP="003D1657">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Министарство здравља</w:t>
            </w:r>
          </w:p>
        </w:tc>
      </w:tr>
      <w:tr w:rsidR="00D848B4" w:rsidRPr="00226F9D" w14:paraId="1BBB3180" w14:textId="77777777" w:rsidTr="0E5AB833">
        <w:trPr>
          <w:jc w:val="center"/>
        </w:trPr>
        <w:tc>
          <w:tcPr>
            <w:tcW w:w="1980" w:type="dxa"/>
          </w:tcPr>
          <w:p w14:paraId="458373AE" w14:textId="10AEC3EA"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НАЈУ</w:t>
            </w:r>
          </w:p>
        </w:tc>
        <w:tc>
          <w:tcPr>
            <w:tcW w:w="7530" w:type="dxa"/>
          </w:tcPr>
          <w:p w14:paraId="2AE7DAA2" w14:textId="350EB7D2" w:rsidR="00D848B4" w:rsidRPr="00226F9D" w:rsidRDefault="00D848B4" w:rsidP="00885601">
            <w:pPr>
              <w:spacing w:after="0" w:line="276" w:lineRule="auto"/>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Национална академија за јавну управу</w:t>
            </w:r>
          </w:p>
        </w:tc>
      </w:tr>
      <w:tr w:rsidR="00885601" w:rsidRPr="00226F9D" w14:paraId="361EEECF" w14:textId="77777777" w:rsidTr="0E5AB833">
        <w:trPr>
          <w:jc w:val="center"/>
        </w:trPr>
        <w:tc>
          <w:tcPr>
            <w:tcW w:w="1980" w:type="dxa"/>
          </w:tcPr>
          <w:p w14:paraId="74B6D4B5" w14:textId="65DD96C4"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НАКЗМ</w:t>
            </w:r>
          </w:p>
        </w:tc>
        <w:tc>
          <w:tcPr>
            <w:tcW w:w="7530" w:type="dxa"/>
          </w:tcPr>
          <w:p w14:paraId="250B1B31" w14:textId="0EBAF326" w:rsidR="00885601" w:rsidRPr="00226F9D" w:rsidRDefault="00885601" w:rsidP="00885601">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Национална асоцијација канцеларија за младе</w:t>
            </w:r>
          </w:p>
        </w:tc>
      </w:tr>
      <w:tr w:rsidR="00D848B4" w:rsidRPr="00226F9D" w14:paraId="78445761" w14:textId="77777777" w:rsidTr="0E5AB833">
        <w:trPr>
          <w:jc w:val="center"/>
        </w:trPr>
        <w:tc>
          <w:tcPr>
            <w:tcW w:w="1980" w:type="dxa"/>
          </w:tcPr>
          <w:p w14:paraId="7766BB43" w14:textId="77777777" w:rsidR="00D848B4" w:rsidRPr="00226F9D" w:rsidRDefault="00D848B4" w:rsidP="00885601">
            <w:pPr>
              <w:spacing w:after="0" w:line="276" w:lineRule="auto"/>
              <w:rPr>
                <w:rFonts w:ascii="Times New Roman" w:eastAsia="Arial"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ОЕБС</w:t>
            </w:r>
          </w:p>
        </w:tc>
        <w:tc>
          <w:tcPr>
            <w:tcW w:w="7530" w:type="dxa"/>
          </w:tcPr>
          <w:p w14:paraId="3B2AE949" w14:textId="77777777" w:rsidR="00D848B4" w:rsidRPr="00226F9D" w:rsidRDefault="00D848B4"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Организација за европску безбедност и сарадњу</w:t>
            </w:r>
          </w:p>
        </w:tc>
      </w:tr>
      <w:tr w:rsidR="00D848B4" w:rsidRPr="00226F9D" w14:paraId="06B403B8" w14:textId="77777777" w:rsidTr="0E5AB833">
        <w:trPr>
          <w:jc w:val="center"/>
        </w:trPr>
        <w:tc>
          <w:tcPr>
            <w:tcW w:w="1980" w:type="dxa"/>
          </w:tcPr>
          <w:p w14:paraId="0FC6B8BF" w14:textId="3A6E0A5B"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ПКС</w:t>
            </w:r>
          </w:p>
        </w:tc>
        <w:tc>
          <w:tcPr>
            <w:tcW w:w="7530" w:type="dxa"/>
          </w:tcPr>
          <w:p w14:paraId="62BCF947" w14:textId="2A902A37" w:rsidR="00D848B4" w:rsidRPr="00226F9D" w:rsidRDefault="00D848B4"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Привредна комора Србије</w:t>
            </w:r>
          </w:p>
        </w:tc>
      </w:tr>
      <w:tr w:rsidR="00885601" w:rsidRPr="00226F9D" w14:paraId="1E5A5C24" w14:textId="77777777" w:rsidTr="0E5AB833">
        <w:trPr>
          <w:jc w:val="center"/>
        </w:trPr>
        <w:tc>
          <w:tcPr>
            <w:tcW w:w="1980" w:type="dxa"/>
          </w:tcPr>
          <w:p w14:paraId="7865C696" w14:textId="11F720AA"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ПР</w:t>
            </w:r>
            <w:r w:rsidR="006C7375" w:rsidRPr="00226F9D">
              <w:rPr>
                <w:rFonts w:ascii="Times New Roman" w:eastAsia="Times New Roman" w:hAnsi="Times New Roman" w:cs="Times New Roman"/>
                <w:b/>
                <w:bCs/>
                <w:kern w:val="0"/>
                <w:sz w:val="20"/>
                <w:szCs w:val="20"/>
                <w:lang w:val="sr-Cyrl-RS" w:eastAsia="en-GB"/>
                <w14:ligatures w14:val="none"/>
              </w:rPr>
              <w:t>С</w:t>
            </w:r>
            <w:r w:rsidRPr="00226F9D">
              <w:rPr>
                <w:rFonts w:ascii="Times New Roman" w:eastAsia="Times New Roman" w:hAnsi="Times New Roman" w:cs="Times New Roman"/>
                <w:b/>
                <w:bCs/>
                <w:kern w:val="0"/>
                <w:sz w:val="20"/>
                <w:szCs w:val="20"/>
                <w:lang w:val="sr-Cyrl-RS" w:eastAsia="en-GB"/>
                <w14:ligatures w14:val="none"/>
              </w:rPr>
              <w:t>ЛС</w:t>
            </w:r>
          </w:p>
        </w:tc>
        <w:tc>
          <w:tcPr>
            <w:tcW w:w="7530" w:type="dxa"/>
          </w:tcPr>
          <w:p w14:paraId="73805C1B" w14:textId="5F50050B"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Програм за реформу система локалне самоуправе у Републици Србији</w:t>
            </w:r>
          </w:p>
        </w:tc>
      </w:tr>
      <w:tr w:rsidR="00885601" w:rsidRPr="00226F9D" w14:paraId="0E50E1F5" w14:textId="77777777" w:rsidTr="0E5AB833">
        <w:trPr>
          <w:jc w:val="center"/>
        </w:trPr>
        <w:tc>
          <w:tcPr>
            <w:tcW w:w="1980" w:type="dxa"/>
          </w:tcPr>
          <w:p w14:paraId="4D8ECA1F" w14:textId="55BCE21E"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ППСУ</w:t>
            </w:r>
          </w:p>
        </w:tc>
        <w:tc>
          <w:tcPr>
            <w:tcW w:w="7530" w:type="dxa"/>
          </w:tcPr>
          <w:p w14:paraId="79ECD915" w14:textId="1BDE64EB"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 xml:space="preserve">Посебан програма стручног усавршавања </w:t>
            </w:r>
          </w:p>
        </w:tc>
      </w:tr>
      <w:tr w:rsidR="00885601" w:rsidRPr="00226F9D" w14:paraId="4A50AAA0" w14:textId="77777777" w:rsidTr="0E5AB833">
        <w:trPr>
          <w:jc w:val="center"/>
        </w:trPr>
        <w:tc>
          <w:tcPr>
            <w:tcW w:w="1980" w:type="dxa"/>
          </w:tcPr>
          <w:p w14:paraId="4295F055" w14:textId="4A3B74AF"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ПИМИС</w:t>
            </w:r>
          </w:p>
        </w:tc>
        <w:tc>
          <w:tcPr>
            <w:tcW w:w="7530" w:type="dxa"/>
          </w:tcPr>
          <w:p w14:paraId="0D31CB4B" w14:textId="3DD250C1"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Интегрисана база капиталних пројеката</w:t>
            </w:r>
          </w:p>
        </w:tc>
      </w:tr>
      <w:tr w:rsidR="00885601" w:rsidRPr="00226F9D" w14:paraId="18AEB9B7" w14:textId="77777777" w:rsidTr="0E5AB833">
        <w:trPr>
          <w:jc w:val="center"/>
        </w:trPr>
        <w:tc>
          <w:tcPr>
            <w:tcW w:w="1980" w:type="dxa"/>
          </w:tcPr>
          <w:p w14:paraId="743EE46C" w14:textId="65F84AF8"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ПЦ</w:t>
            </w:r>
          </w:p>
        </w:tc>
        <w:tc>
          <w:tcPr>
            <w:tcW w:w="7530" w:type="dxa"/>
          </w:tcPr>
          <w:p w14:paraId="2BCDFEA5" w14:textId="4870DD98"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Посебни циљ</w:t>
            </w:r>
          </w:p>
        </w:tc>
      </w:tr>
      <w:tr w:rsidR="00885601" w:rsidRPr="00226F9D" w14:paraId="65950F80" w14:textId="77777777" w:rsidTr="0E5AB833">
        <w:trPr>
          <w:jc w:val="center"/>
        </w:trPr>
        <w:tc>
          <w:tcPr>
            <w:tcW w:w="1980" w:type="dxa"/>
          </w:tcPr>
          <w:p w14:paraId="47FDA5B9" w14:textId="0160ED6E"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РЕЛОФ</w:t>
            </w:r>
          </w:p>
        </w:tc>
        <w:tc>
          <w:tcPr>
            <w:tcW w:w="7530" w:type="dxa"/>
          </w:tcPr>
          <w:p w14:paraId="68CB980D" w14:textId="2CF1F61F"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Пројекат „Реформа локалних финансија у Србији“</w:t>
            </w:r>
          </w:p>
        </w:tc>
      </w:tr>
      <w:tr w:rsidR="00885601" w:rsidRPr="00226F9D" w14:paraId="4BDD16A8" w14:textId="77777777" w:rsidTr="0E5AB833">
        <w:trPr>
          <w:jc w:val="center"/>
        </w:trPr>
        <w:tc>
          <w:tcPr>
            <w:tcW w:w="1980" w:type="dxa"/>
          </w:tcPr>
          <w:p w14:paraId="21DC9005" w14:textId="7E81468F"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Arial" w:hAnsi="Times New Roman" w:cs="Times New Roman"/>
                <w:b/>
                <w:bCs/>
                <w:kern w:val="0"/>
                <w:sz w:val="20"/>
                <w:szCs w:val="20"/>
                <w:lang w:val="sr-Cyrl-RS" w:eastAsia="en-GB"/>
                <w14:ligatures w14:val="none"/>
              </w:rPr>
              <w:t>РИК</w:t>
            </w:r>
          </w:p>
        </w:tc>
        <w:tc>
          <w:tcPr>
            <w:tcW w:w="7530" w:type="dxa"/>
          </w:tcPr>
          <w:p w14:paraId="258DCC23" w14:textId="597BDE4C"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Републичка изборна комисија</w:t>
            </w:r>
          </w:p>
        </w:tc>
      </w:tr>
      <w:tr w:rsidR="00885601" w:rsidRPr="00226F9D" w14:paraId="7ADF9CCB" w14:textId="77777777" w:rsidTr="0E5AB833">
        <w:trPr>
          <w:jc w:val="center"/>
        </w:trPr>
        <w:tc>
          <w:tcPr>
            <w:tcW w:w="1980" w:type="dxa"/>
          </w:tcPr>
          <w:p w14:paraId="77A73177" w14:textId="407CE598"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РС</w:t>
            </w:r>
          </w:p>
        </w:tc>
        <w:tc>
          <w:tcPr>
            <w:tcW w:w="7530" w:type="dxa"/>
          </w:tcPr>
          <w:p w14:paraId="6421AC65" w14:textId="000BFE0D"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Република Србија</w:t>
            </w:r>
          </w:p>
        </w:tc>
      </w:tr>
      <w:tr w:rsidR="00885601" w:rsidRPr="00226F9D" w14:paraId="7ECF5384" w14:textId="77777777" w:rsidTr="0E5AB833">
        <w:trPr>
          <w:jc w:val="center"/>
        </w:trPr>
        <w:tc>
          <w:tcPr>
            <w:tcW w:w="1980" w:type="dxa"/>
          </w:tcPr>
          <w:p w14:paraId="47147878" w14:textId="1280D103"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РСЈП</w:t>
            </w:r>
          </w:p>
        </w:tc>
        <w:tc>
          <w:tcPr>
            <w:tcW w:w="7530" w:type="dxa"/>
          </w:tcPr>
          <w:p w14:paraId="775E7C31" w14:textId="671DF689"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Републички секретаријат за јавне политике</w:t>
            </w:r>
          </w:p>
        </w:tc>
      </w:tr>
      <w:tr w:rsidR="00885601" w:rsidRPr="00226F9D" w14:paraId="0ACC57FB" w14:textId="77777777" w:rsidTr="0E5AB833">
        <w:trPr>
          <w:jc w:val="center"/>
        </w:trPr>
        <w:tc>
          <w:tcPr>
            <w:tcW w:w="1980" w:type="dxa"/>
          </w:tcPr>
          <w:p w14:paraId="67E254D8" w14:textId="72DF1CEE"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РАП</w:t>
            </w:r>
          </w:p>
        </w:tc>
        <w:tc>
          <w:tcPr>
            <w:tcW w:w="7530" w:type="dxa"/>
          </w:tcPr>
          <w:p w14:paraId="70DDDF4C" w14:textId="0387E05C"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Регистар административних поступака</w:t>
            </w:r>
          </w:p>
        </w:tc>
      </w:tr>
      <w:tr w:rsidR="00885601" w:rsidRPr="00226F9D" w14:paraId="3100FB76" w14:textId="77777777" w:rsidTr="0E5AB833">
        <w:trPr>
          <w:jc w:val="center"/>
        </w:trPr>
        <w:tc>
          <w:tcPr>
            <w:tcW w:w="1980" w:type="dxa"/>
          </w:tcPr>
          <w:p w14:paraId="1B2E1F68" w14:textId="7465C32E"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РРА</w:t>
            </w:r>
          </w:p>
        </w:tc>
        <w:tc>
          <w:tcPr>
            <w:tcW w:w="7530" w:type="dxa"/>
          </w:tcPr>
          <w:p w14:paraId="5377ABA7" w14:textId="0EB6CA78"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Регионалне развојне агенције</w:t>
            </w:r>
          </w:p>
        </w:tc>
      </w:tr>
      <w:tr w:rsidR="00D848B4" w:rsidRPr="00226F9D" w14:paraId="34441A2C" w14:textId="77777777" w:rsidTr="0E5AB833">
        <w:trPr>
          <w:jc w:val="center"/>
        </w:trPr>
        <w:tc>
          <w:tcPr>
            <w:tcW w:w="1980" w:type="dxa"/>
          </w:tcPr>
          <w:p w14:paraId="3C5C6316" w14:textId="07CED535"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СДЦ</w:t>
            </w:r>
          </w:p>
        </w:tc>
        <w:tc>
          <w:tcPr>
            <w:tcW w:w="7530" w:type="dxa"/>
          </w:tcPr>
          <w:p w14:paraId="24FDB637" w14:textId="24D5FDB7" w:rsidR="00D848B4" w:rsidRPr="00226F9D" w:rsidRDefault="00D848B4"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Швајцарска агенција за развој и сарадњу</w:t>
            </w:r>
          </w:p>
        </w:tc>
      </w:tr>
      <w:tr w:rsidR="00885601" w:rsidRPr="00226F9D" w14:paraId="01B00D07" w14:textId="77777777" w:rsidTr="0E5AB833">
        <w:trPr>
          <w:jc w:val="center"/>
        </w:trPr>
        <w:tc>
          <w:tcPr>
            <w:tcW w:w="1980" w:type="dxa"/>
          </w:tcPr>
          <w:p w14:paraId="74CD053C" w14:textId="1C6D0145" w:rsidR="00885601" w:rsidRPr="00226F9D" w:rsidRDefault="00885601"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СКГО – ЕУ ХРМ 3</w:t>
            </w:r>
          </w:p>
        </w:tc>
        <w:tc>
          <w:tcPr>
            <w:tcW w:w="7530" w:type="dxa"/>
          </w:tcPr>
          <w:p w14:paraId="784ECA33" w14:textId="65B5BADE" w:rsidR="00885601" w:rsidRPr="00226F9D" w:rsidRDefault="00885601"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Пројекат „ЕУ за управљање људским ресурсима у локалној самоуправи – фаза 3“</w:t>
            </w:r>
          </w:p>
        </w:tc>
      </w:tr>
      <w:tr w:rsidR="00885601" w:rsidRPr="00226F9D" w14:paraId="46FD4C12" w14:textId="77777777" w:rsidTr="0E5AB833">
        <w:trPr>
          <w:jc w:val="center"/>
        </w:trPr>
        <w:tc>
          <w:tcPr>
            <w:tcW w:w="1980" w:type="dxa"/>
          </w:tcPr>
          <w:p w14:paraId="3751472E" w14:textId="6C76A151" w:rsidR="00885601" w:rsidRPr="00226F9D" w:rsidRDefault="00885601"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eastAsia="en-GB"/>
                <w14:ligatures w14:val="none"/>
              </w:rPr>
              <w:t xml:space="preserve">СКГО-ЕУ </w:t>
            </w:r>
            <w:r w:rsidRPr="00226F9D">
              <w:rPr>
                <w:rFonts w:ascii="Times New Roman" w:eastAsia="Times New Roman" w:hAnsi="Times New Roman" w:cs="Times New Roman"/>
                <w:b/>
                <w:bCs/>
                <w:kern w:val="0"/>
                <w:sz w:val="20"/>
                <w:szCs w:val="20"/>
                <w:lang w:eastAsia="en-GB"/>
                <w14:ligatures w14:val="none"/>
              </w:rPr>
              <w:br/>
            </w:r>
            <w:r w:rsidRPr="00226F9D">
              <w:rPr>
                <w:rFonts w:ascii="Times New Roman" w:eastAsia="Times New Roman" w:hAnsi="Times New Roman" w:cs="Times New Roman"/>
                <w:b/>
                <w:bCs/>
                <w:kern w:val="0"/>
                <w:sz w:val="20"/>
                <w:szCs w:val="20"/>
                <w:lang w:val="sr-Cyrl-RS" w:eastAsia="en-GB"/>
                <w14:ligatures w14:val="none"/>
              </w:rPr>
              <w:t>(</w:t>
            </w:r>
            <w:r w:rsidRPr="00226F9D">
              <w:rPr>
                <w:rFonts w:ascii="Times New Roman" w:eastAsia="Times New Roman" w:hAnsi="Times New Roman" w:cs="Times New Roman"/>
                <w:b/>
                <w:bCs/>
                <w:kern w:val="0"/>
                <w:sz w:val="20"/>
                <w:szCs w:val="20"/>
                <w:lang w:eastAsia="en-GB"/>
                <w14:ligatures w14:val="none"/>
              </w:rPr>
              <w:t>ЕУ Интегра</w:t>
            </w:r>
            <w:r w:rsidRPr="00226F9D">
              <w:rPr>
                <w:rFonts w:ascii="Times New Roman" w:eastAsia="Times New Roman" w:hAnsi="Times New Roman" w:cs="Times New Roman"/>
                <w:b/>
                <w:bCs/>
                <w:kern w:val="0"/>
                <w:sz w:val="20"/>
                <w:szCs w:val="20"/>
                <w:lang w:val="sr-Cyrl-RS" w:eastAsia="en-GB"/>
                <w14:ligatures w14:val="none"/>
              </w:rPr>
              <w:t>)</w:t>
            </w:r>
          </w:p>
        </w:tc>
        <w:tc>
          <w:tcPr>
            <w:tcW w:w="7530" w:type="dxa"/>
          </w:tcPr>
          <w:p w14:paraId="44247DDC" w14:textId="1A30D966" w:rsidR="00885601" w:rsidRPr="00226F9D" w:rsidRDefault="00885601" w:rsidP="00885601">
            <w:pPr>
              <w:spacing w:after="0" w:line="276" w:lineRule="auto"/>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Програм „ЕУ подршка интегралном територијалном развоју - ЕУ Интегра</w:t>
            </w:r>
          </w:p>
        </w:tc>
      </w:tr>
      <w:tr w:rsidR="00885601" w:rsidRPr="00226F9D" w14:paraId="54C2EEEB" w14:textId="77777777" w:rsidTr="0E5AB833">
        <w:trPr>
          <w:jc w:val="center"/>
        </w:trPr>
        <w:tc>
          <w:tcPr>
            <w:tcW w:w="1980" w:type="dxa"/>
          </w:tcPr>
          <w:p w14:paraId="1B9D1840" w14:textId="31C60640"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СИГМА/</w:t>
            </w:r>
            <w:r w:rsidRPr="00226F9D">
              <w:rPr>
                <w:rFonts w:ascii="Times New Roman" w:eastAsia="Times New Roman" w:hAnsi="Times New Roman" w:cs="Times New Roman"/>
                <w:b/>
                <w:bCs/>
                <w:kern w:val="0"/>
                <w:sz w:val="20"/>
                <w:szCs w:val="20"/>
                <w:lang w:val="sr-Latn-RS" w:eastAsia="en-GB"/>
                <w14:ligatures w14:val="none"/>
              </w:rPr>
              <w:t>SIGMA</w:t>
            </w:r>
          </w:p>
        </w:tc>
        <w:tc>
          <w:tcPr>
            <w:tcW w:w="7530" w:type="dxa"/>
          </w:tcPr>
          <w:p w14:paraId="74B81322" w14:textId="3D64DC9B" w:rsidR="00885601" w:rsidRPr="00226F9D" w:rsidRDefault="00885601" w:rsidP="00885601">
            <w:pPr>
              <w:spacing w:after="0" w:line="276" w:lineRule="auto"/>
              <w:rPr>
                <w:rFonts w:ascii="Times New Roman" w:eastAsia="Arial"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Програм подршке унапређењу у владавини и управљању при ОЕБС</w:t>
            </w:r>
          </w:p>
        </w:tc>
      </w:tr>
      <w:tr w:rsidR="00D848B4" w:rsidRPr="00226F9D" w14:paraId="31868D39" w14:textId="77777777" w:rsidTr="0E5AB833">
        <w:trPr>
          <w:trHeight w:val="59"/>
          <w:jc w:val="center"/>
        </w:trPr>
        <w:tc>
          <w:tcPr>
            <w:tcW w:w="1980" w:type="dxa"/>
          </w:tcPr>
          <w:p w14:paraId="635D8FF1" w14:textId="7EE64041"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СКГО</w:t>
            </w:r>
          </w:p>
        </w:tc>
        <w:tc>
          <w:tcPr>
            <w:tcW w:w="7530" w:type="dxa"/>
          </w:tcPr>
          <w:p w14:paraId="63E70A64" w14:textId="3AD455A4" w:rsidR="00D848B4" w:rsidRPr="00226F9D" w:rsidRDefault="00D848B4" w:rsidP="00885601">
            <w:pPr>
              <w:spacing w:after="0" w:line="276" w:lineRule="auto"/>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Стална конференција градова и општина – Савез градова и општина Србије</w:t>
            </w:r>
          </w:p>
        </w:tc>
      </w:tr>
      <w:tr w:rsidR="00885601" w:rsidRPr="00226F9D" w14:paraId="78FF4084" w14:textId="77777777" w:rsidTr="0E5AB833">
        <w:trPr>
          <w:trHeight w:val="59"/>
          <w:jc w:val="center"/>
        </w:trPr>
        <w:tc>
          <w:tcPr>
            <w:tcW w:w="1980" w:type="dxa"/>
          </w:tcPr>
          <w:p w14:paraId="3D9A7462" w14:textId="0CA9CAF1" w:rsidR="00885601" w:rsidRPr="00226F9D" w:rsidRDefault="00885601"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СПИРИ</w:t>
            </w:r>
          </w:p>
        </w:tc>
        <w:tc>
          <w:tcPr>
            <w:tcW w:w="7530" w:type="dxa"/>
          </w:tcPr>
          <w:p w14:paraId="696F96F6" w14:textId="68DB2982" w:rsidR="00885601" w:rsidRPr="00226F9D" w:rsidRDefault="00885601" w:rsidP="00885601">
            <w:pPr>
              <w:spacing w:after="0" w:line="276" w:lineRule="auto"/>
              <w:rPr>
                <w:rFonts w:ascii="Times New Roman" w:eastAsia="Arial" w:hAnsi="Times New Roman" w:cs="Times New Roman"/>
                <w:kern w:val="0"/>
                <w:sz w:val="20"/>
                <w:szCs w:val="20"/>
                <w:lang w:val="sr-Latn-RS" w:eastAsia="en-GB"/>
                <w14:ligatures w14:val="none"/>
              </w:rPr>
            </w:pPr>
            <w:r w:rsidRPr="00226F9D">
              <w:rPr>
                <w:rFonts w:ascii="Times New Roman" w:eastAsia="Arial" w:hAnsi="Times New Roman" w:cs="Times New Roman"/>
                <w:kern w:val="0"/>
                <w:sz w:val="20"/>
                <w:szCs w:val="20"/>
                <w:lang w:val="sr-Cyrl-RS" w:eastAsia="en-GB"/>
                <w14:ligatures w14:val="none"/>
              </w:rPr>
              <w:t>Систем за припрему, извршење, рачуноводство и извештавање</w:t>
            </w:r>
          </w:p>
        </w:tc>
      </w:tr>
      <w:tr w:rsidR="00885601" w:rsidRPr="00226F9D" w14:paraId="119D540A" w14:textId="77777777" w:rsidTr="0E5AB833">
        <w:trPr>
          <w:trHeight w:val="59"/>
          <w:jc w:val="center"/>
        </w:trPr>
        <w:tc>
          <w:tcPr>
            <w:tcW w:w="1980" w:type="dxa"/>
          </w:tcPr>
          <w:p w14:paraId="5D6FDC32" w14:textId="3523D06C"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СРЈУ</w:t>
            </w:r>
          </w:p>
        </w:tc>
        <w:tc>
          <w:tcPr>
            <w:tcW w:w="7530" w:type="dxa"/>
          </w:tcPr>
          <w:p w14:paraId="275F6473" w14:textId="4492FB04" w:rsidR="00885601" w:rsidRPr="00226F9D" w:rsidRDefault="00885601" w:rsidP="00885601">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Стратегија реформе јавне управе</w:t>
            </w:r>
          </w:p>
        </w:tc>
      </w:tr>
      <w:tr w:rsidR="00D848B4" w:rsidRPr="00226F9D" w14:paraId="07923987" w14:textId="77777777" w:rsidTr="0E5AB833">
        <w:trPr>
          <w:trHeight w:val="59"/>
          <w:jc w:val="center"/>
        </w:trPr>
        <w:tc>
          <w:tcPr>
            <w:tcW w:w="1980" w:type="dxa"/>
          </w:tcPr>
          <w:p w14:paraId="097FE0EA" w14:textId="2489351B"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УЉР</w:t>
            </w:r>
          </w:p>
        </w:tc>
        <w:tc>
          <w:tcPr>
            <w:tcW w:w="7530" w:type="dxa"/>
          </w:tcPr>
          <w:p w14:paraId="12E21D7F" w14:textId="2EAC56C3" w:rsidR="00D848B4" w:rsidRPr="00226F9D" w:rsidRDefault="00D848B4" w:rsidP="00885601">
            <w:pPr>
              <w:spacing w:after="0" w:line="276" w:lineRule="auto"/>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Управљање људским ресурсима</w:t>
            </w:r>
          </w:p>
        </w:tc>
      </w:tr>
      <w:tr w:rsidR="00885601" w:rsidRPr="00226F9D" w14:paraId="61FE8193" w14:textId="77777777" w:rsidTr="0E5AB833">
        <w:trPr>
          <w:trHeight w:val="59"/>
          <w:jc w:val="center"/>
        </w:trPr>
        <w:tc>
          <w:tcPr>
            <w:tcW w:w="1980" w:type="dxa"/>
          </w:tcPr>
          <w:p w14:paraId="634F791B" w14:textId="6DCECDCC"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УН</w:t>
            </w:r>
          </w:p>
        </w:tc>
        <w:tc>
          <w:tcPr>
            <w:tcW w:w="7530" w:type="dxa"/>
          </w:tcPr>
          <w:p w14:paraId="7AE5EE93" w14:textId="32778815" w:rsidR="00885601" w:rsidRPr="00226F9D" w:rsidRDefault="00885601" w:rsidP="00885601">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Arial" w:hAnsi="Times New Roman" w:cs="Times New Roman"/>
                <w:kern w:val="0"/>
                <w:sz w:val="20"/>
                <w:szCs w:val="20"/>
                <w:lang w:val="sr-Cyrl-RS" w:eastAsia="en-GB"/>
                <w14:ligatures w14:val="none"/>
              </w:rPr>
              <w:t>Уједињене нације</w:t>
            </w:r>
          </w:p>
        </w:tc>
      </w:tr>
      <w:tr w:rsidR="00D848B4" w:rsidRPr="00226F9D" w14:paraId="42EBDCA8" w14:textId="77777777" w:rsidTr="0E5AB833">
        <w:trPr>
          <w:trHeight w:val="59"/>
          <w:jc w:val="center"/>
        </w:trPr>
        <w:tc>
          <w:tcPr>
            <w:tcW w:w="1980" w:type="dxa"/>
          </w:tcPr>
          <w:p w14:paraId="0FB59FDA" w14:textId="77777777"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ФУК</w:t>
            </w:r>
          </w:p>
        </w:tc>
        <w:tc>
          <w:tcPr>
            <w:tcW w:w="7530" w:type="dxa"/>
          </w:tcPr>
          <w:p w14:paraId="45C21D53" w14:textId="77777777" w:rsidR="00D848B4" w:rsidRPr="00226F9D" w:rsidRDefault="00D848B4" w:rsidP="00885601">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Финансијско управљање и контрола</w:t>
            </w:r>
          </w:p>
        </w:tc>
      </w:tr>
      <w:tr w:rsidR="00D848B4" w:rsidRPr="00226F9D" w14:paraId="3F5C3CBC" w14:textId="77777777" w:rsidTr="0E5AB833">
        <w:trPr>
          <w:trHeight w:val="287"/>
          <w:jc w:val="center"/>
        </w:trPr>
        <w:tc>
          <w:tcPr>
            <w:tcW w:w="1980" w:type="dxa"/>
          </w:tcPr>
          <w:p w14:paraId="6EC01832" w14:textId="099155D0" w:rsidR="00D848B4" w:rsidRPr="00226F9D" w:rsidRDefault="00D848B4" w:rsidP="00885601">
            <w:pPr>
              <w:spacing w:after="0" w:line="276" w:lineRule="auto"/>
              <w:rPr>
                <w:rFonts w:ascii="Times New Roman" w:eastAsia="Times New Roman" w:hAnsi="Times New Roman" w:cs="Times New Roman"/>
                <w:b/>
                <w:bCs/>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ЦЈХ</w:t>
            </w:r>
          </w:p>
        </w:tc>
        <w:tc>
          <w:tcPr>
            <w:tcW w:w="7530" w:type="dxa"/>
          </w:tcPr>
          <w:p w14:paraId="2A92087C" w14:textId="581A71EC" w:rsidR="00D848B4" w:rsidRPr="00226F9D" w:rsidRDefault="00D848B4" w:rsidP="00885601">
            <w:pPr>
              <w:spacing w:after="0" w:line="276" w:lineRule="auto"/>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Централна јединица за хармонизацију</w:t>
            </w:r>
          </w:p>
        </w:tc>
      </w:tr>
      <w:tr w:rsidR="00885601" w:rsidRPr="00226F9D" w14:paraId="6266C634" w14:textId="77777777" w:rsidTr="0E5AB833">
        <w:trPr>
          <w:trHeight w:val="287"/>
          <w:jc w:val="center"/>
        </w:trPr>
        <w:tc>
          <w:tcPr>
            <w:tcW w:w="1980" w:type="dxa"/>
          </w:tcPr>
          <w:p w14:paraId="7028AF10" w14:textId="2BD35274" w:rsidR="00885601" w:rsidRPr="00226F9D" w:rsidRDefault="00885601" w:rsidP="00885601">
            <w:pPr>
              <w:spacing w:after="0" w:line="276" w:lineRule="auto"/>
              <w:rPr>
                <w:rFonts w:ascii="Times New Roman" w:eastAsia="Times New Roman" w:hAnsi="Times New Roman" w:cs="Times New Roman"/>
                <w:b/>
                <w:bCs/>
                <w:kern w:val="0"/>
                <w:sz w:val="20"/>
                <w:szCs w:val="20"/>
                <w:lang w:val="sr-Cyrl-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ЦОР</w:t>
            </w:r>
          </w:p>
        </w:tc>
        <w:tc>
          <w:tcPr>
            <w:tcW w:w="7530" w:type="dxa"/>
          </w:tcPr>
          <w:p w14:paraId="63D0F57E" w14:textId="344BB98F" w:rsidR="00885601" w:rsidRPr="00226F9D" w:rsidRDefault="00885601" w:rsidP="00885601">
            <w:pPr>
              <w:spacing w:after="0" w:line="276" w:lineRule="auto"/>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Циљеви одрживог развоја</w:t>
            </w:r>
          </w:p>
        </w:tc>
      </w:tr>
    </w:tbl>
    <w:p w14:paraId="09601BC3" w14:textId="77777777" w:rsidR="00C67040" w:rsidRPr="00226F9D" w:rsidRDefault="00C67040" w:rsidP="00C67040">
      <w:pPr>
        <w:rPr>
          <w:rFonts w:ascii="Times New Roman" w:hAnsi="Times New Roman" w:cs="Times New Roman"/>
          <w:lang w:val="sr-Latn-RS"/>
        </w:rPr>
      </w:pPr>
    </w:p>
    <w:p w14:paraId="6B1395EC" w14:textId="77777777" w:rsidR="00885601" w:rsidRPr="00226F9D" w:rsidRDefault="00885601" w:rsidP="00C67040">
      <w:pPr>
        <w:rPr>
          <w:rFonts w:ascii="Times New Roman" w:hAnsi="Times New Roman" w:cs="Times New Roman"/>
          <w:lang w:val="sr-Latn-RS"/>
        </w:rPr>
      </w:pPr>
    </w:p>
    <w:p w14:paraId="58EBBEAF" w14:textId="44886EB5" w:rsidR="00FB70CD" w:rsidRPr="00226F9D" w:rsidRDefault="00FB70CD">
      <w:pPr>
        <w:rPr>
          <w:rFonts w:ascii="Times New Roman" w:hAnsi="Times New Roman" w:cs="Times New Roman"/>
          <w:lang w:val="sr-Cyrl-RS"/>
        </w:rPr>
      </w:pPr>
      <w:r w:rsidRPr="00226F9D">
        <w:rPr>
          <w:rFonts w:ascii="Times New Roman" w:hAnsi="Times New Roman" w:cs="Times New Roman"/>
          <w:lang w:val="sr-Cyrl-RS"/>
        </w:rPr>
        <w:br w:type="page"/>
      </w:r>
    </w:p>
    <w:p w14:paraId="410BFA28" w14:textId="77777777" w:rsidR="00480A43" w:rsidRPr="00226F9D" w:rsidRDefault="00480A43" w:rsidP="00C67040">
      <w:pPr>
        <w:rPr>
          <w:rFonts w:ascii="Times New Roman" w:hAnsi="Times New Roman" w:cs="Times New Roman"/>
          <w:lang w:val="sr-Cyrl-RS"/>
        </w:rPr>
      </w:pPr>
    </w:p>
    <w:p w14:paraId="6267F5B9" w14:textId="1696C4D1" w:rsidR="00480A43" w:rsidRPr="00226F9D" w:rsidRDefault="00480A43" w:rsidP="00C67040">
      <w:pPr>
        <w:rPr>
          <w:rFonts w:ascii="Times New Roman" w:hAnsi="Times New Roman" w:cs="Times New Roman"/>
          <w:lang w:val="sr-Cyrl-RS"/>
        </w:rPr>
      </w:pPr>
    </w:p>
    <w:p w14:paraId="3A1E8F89" w14:textId="0388B9A9" w:rsidR="00E75D5A" w:rsidRPr="00226F9D" w:rsidRDefault="004E4EA6" w:rsidP="005B0999">
      <w:pPr>
        <w:pStyle w:val="Heading1"/>
        <w:rPr>
          <w:rFonts w:ascii="Times New Roman" w:hAnsi="Times New Roman" w:cs="Times New Roman"/>
        </w:rPr>
      </w:pPr>
      <w:bookmarkStart w:id="1" w:name="_Toc222753911"/>
      <w:r w:rsidRPr="00226F9D">
        <w:rPr>
          <w:rFonts w:ascii="Times New Roman" w:hAnsi="Times New Roman" w:cs="Times New Roman"/>
        </w:rPr>
        <w:t xml:space="preserve">I </w:t>
      </w:r>
      <w:r w:rsidR="00C27AE6" w:rsidRPr="00226F9D">
        <w:rPr>
          <w:rFonts w:ascii="Times New Roman" w:hAnsi="Times New Roman" w:cs="Times New Roman"/>
        </w:rPr>
        <w:t>Увод</w:t>
      </w:r>
      <w:bookmarkEnd w:id="1"/>
    </w:p>
    <w:p w14:paraId="66F7888D" w14:textId="77777777" w:rsidR="006B59F4" w:rsidRPr="00226F9D" w:rsidRDefault="006B59F4" w:rsidP="006B59F4">
      <w:pPr>
        <w:spacing w:after="0" w:line="240" w:lineRule="auto"/>
        <w:jc w:val="both"/>
        <w:rPr>
          <w:rFonts w:ascii="Times New Roman" w:hAnsi="Times New Roman" w:cs="Times New Roman"/>
          <w:lang w:val="sr-Cyrl-RS"/>
        </w:rPr>
      </w:pPr>
    </w:p>
    <w:p w14:paraId="20E9BAD7" w14:textId="7C490978" w:rsidR="77E48F80" w:rsidRPr="00226F9D" w:rsidRDefault="1711E8A1" w:rsidP="2FD62FD4">
      <w:pPr>
        <w:spacing w:after="0" w:line="240" w:lineRule="auto"/>
        <w:jc w:val="both"/>
        <w:rPr>
          <w:rFonts w:ascii="Times New Roman" w:eastAsia="Arial" w:hAnsi="Times New Roman" w:cs="Times New Roman"/>
          <w:lang w:val="sr-Cyrl-RS"/>
        </w:rPr>
      </w:pPr>
      <w:r w:rsidRPr="00226F9D">
        <w:rPr>
          <w:rFonts w:ascii="Times New Roman" w:hAnsi="Times New Roman" w:cs="Times New Roman"/>
          <w:lang w:val="sr-Cyrl-RS"/>
        </w:rPr>
        <w:t xml:space="preserve">У процесу стратешког промишљања и поставке оквира за реформу јавне управе у Републици Србији за десетогодишњи период </w:t>
      </w:r>
      <w:r w:rsidRPr="00226F9D">
        <w:rPr>
          <w:rFonts w:ascii="Times New Roman" w:hAnsi="Times New Roman" w:cs="Times New Roman"/>
          <w:lang w:val="sr-Latn-RS"/>
        </w:rPr>
        <w:t>од 2021. до 2030. године</w:t>
      </w:r>
      <w:r w:rsidRPr="00226F9D">
        <w:rPr>
          <w:rFonts w:ascii="Times New Roman" w:hAnsi="Times New Roman" w:cs="Times New Roman"/>
          <w:lang w:val="sr-Cyrl-RS"/>
        </w:rPr>
        <w:t>, опредељен је приступ за формулисање посебног документа јавне политике посвећеног реформисању система локалне самоуправе</w:t>
      </w:r>
      <w:r w:rsidR="00E35DE0" w:rsidRPr="00226F9D">
        <w:rPr>
          <w:rStyle w:val="FootnoteReference"/>
          <w:rFonts w:ascii="Times New Roman" w:hAnsi="Times New Roman" w:cs="Times New Roman"/>
          <w:lang w:val="sr-Cyrl-RS"/>
        </w:rPr>
        <w:footnoteReference w:id="2"/>
      </w:r>
      <w:r w:rsidR="5CBA77D6" w:rsidRPr="00226F9D">
        <w:rPr>
          <w:rStyle w:val="FootnoteReference"/>
          <w:rFonts w:ascii="Times New Roman" w:hAnsi="Times New Roman" w:cs="Times New Roman"/>
          <w:lang w:val="sr-Cyrl-RS"/>
        </w:rPr>
        <w:t xml:space="preserve">. </w:t>
      </w:r>
      <w:r w:rsidR="5CBA77D6" w:rsidRPr="00226F9D">
        <w:rPr>
          <w:rFonts w:ascii="Times New Roman" w:eastAsia="Arial" w:hAnsi="Times New Roman" w:cs="Times New Roman"/>
          <w:lang w:val="sr-Cyrl-RS"/>
        </w:rPr>
        <w:t>У том смислу, Програм за реформу система локалне самоуправе (</w:t>
      </w:r>
      <w:r w:rsidR="00201706" w:rsidRPr="00226F9D">
        <w:rPr>
          <w:rFonts w:ascii="Times New Roman" w:eastAsia="Arial" w:hAnsi="Times New Roman" w:cs="Times New Roman"/>
          <w:lang w:val="sr-Cyrl-RS"/>
        </w:rPr>
        <w:t xml:space="preserve">у даљем тексту: </w:t>
      </w:r>
      <w:r w:rsidR="5CBA77D6" w:rsidRPr="00226F9D">
        <w:rPr>
          <w:rFonts w:ascii="Times New Roman" w:eastAsia="Arial" w:hAnsi="Times New Roman" w:cs="Times New Roman"/>
          <w:lang w:val="sr-Cyrl-RS"/>
        </w:rPr>
        <w:t>ПРСЛС) у Републици Србији за период од 2021. до 2025. године</w:t>
      </w:r>
      <w:r w:rsidR="005E4954" w:rsidRPr="00226F9D">
        <w:rPr>
          <w:rStyle w:val="FootnoteReference"/>
          <w:rFonts w:ascii="Times New Roman" w:eastAsia="Arial" w:hAnsi="Times New Roman" w:cs="Times New Roman"/>
          <w:lang w:val="sr-Cyrl-RS"/>
        </w:rPr>
        <w:footnoteReference w:id="3"/>
      </w:r>
      <w:r w:rsidR="5CBA77D6" w:rsidRPr="00226F9D">
        <w:rPr>
          <w:rFonts w:ascii="Times New Roman" w:eastAsia="Arial" w:hAnsi="Times New Roman" w:cs="Times New Roman"/>
          <w:lang w:val="sr-Cyrl-RS"/>
        </w:rPr>
        <w:t xml:space="preserve">, представљао је први документ јавне политике у домаћем планском систему, којим је на целовит и свеобухватан начин утврђен политички и плански оквир за развијање система локалне самоуправе. Постављен је као </w:t>
      </w:r>
      <w:r w:rsidR="5CBA77D6" w:rsidRPr="00226F9D">
        <w:rPr>
          <w:rFonts w:ascii="Times New Roman" w:eastAsia="Arial" w:hAnsi="Times New Roman" w:cs="Times New Roman"/>
          <w:lang w:val="sr-Latn-RS"/>
        </w:rPr>
        <w:t>интегрални део Стратегије реформе јавне управе</w:t>
      </w:r>
      <w:r w:rsidR="5CBA77D6" w:rsidRPr="00226F9D">
        <w:rPr>
          <w:rFonts w:ascii="Times New Roman" w:eastAsia="Arial" w:hAnsi="Times New Roman" w:cs="Times New Roman"/>
          <w:lang w:val="sr-Cyrl-RS"/>
        </w:rPr>
        <w:t xml:space="preserve"> (</w:t>
      </w:r>
      <w:r w:rsidR="00201706" w:rsidRPr="00226F9D">
        <w:rPr>
          <w:rFonts w:ascii="Times New Roman" w:eastAsia="Arial" w:hAnsi="Times New Roman" w:cs="Times New Roman"/>
          <w:lang w:val="sr-Cyrl-RS"/>
        </w:rPr>
        <w:t xml:space="preserve">у даљем тексту: </w:t>
      </w:r>
      <w:r w:rsidR="5CBA77D6" w:rsidRPr="00226F9D">
        <w:rPr>
          <w:rFonts w:ascii="Times New Roman" w:eastAsia="Arial" w:hAnsi="Times New Roman" w:cs="Times New Roman"/>
          <w:lang w:val="sr-Cyrl-RS"/>
        </w:rPr>
        <w:t>СРЈУ)</w:t>
      </w:r>
      <w:r w:rsidR="005E4954" w:rsidRPr="00226F9D">
        <w:rPr>
          <w:rStyle w:val="FootnoteReference"/>
          <w:rFonts w:ascii="Times New Roman" w:eastAsia="Arial" w:hAnsi="Times New Roman" w:cs="Times New Roman"/>
          <w:lang w:val="sr-Cyrl-RS"/>
        </w:rPr>
        <w:footnoteReference w:id="4"/>
      </w:r>
      <w:r w:rsidR="5CBA77D6" w:rsidRPr="00226F9D">
        <w:rPr>
          <w:rFonts w:ascii="Times New Roman" w:eastAsia="Arial" w:hAnsi="Times New Roman" w:cs="Times New Roman"/>
          <w:lang w:val="sr-Cyrl-RS"/>
        </w:rPr>
        <w:t xml:space="preserve"> којим се</w:t>
      </w:r>
      <w:r w:rsidR="5CBA77D6" w:rsidRPr="00226F9D">
        <w:rPr>
          <w:rFonts w:ascii="Times New Roman" w:eastAsia="Aptos" w:hAnsi="Times New Roman" w:cs="Times New Roman"/>
          <w:lang w:val="sr-Cyrl-RS"/>
        </w:rPr>
        <w:t xml:space="preserve"> </w:t>
      </w:r>
      <w:r w:rsidR="5CBA77D6" w:rsidRPr="00226F9D">
        <w:rPr>
          <w:rFonts w:ascii="Times New Roman" w:eastAsia="Arial" w:hAnsi="Times New Roman" w:cs="Times New Roman"/>
          <w:lang w:val="sr-Cyrl-RS"/>
        </w:rPr>
        <w:t>разрађује Посебни циљ 8 из обухвата Стратегије и тај посебни циљ преузет је као Општи циљ ПРСЛС. Имајући у виду да је закључно са 2025. годином орочен период примене првог ПРСЛС (који је обухватао и два сукцесивна Акциона плана за 2021-2023.</w:t>
      </w:r>
      <w:r w:rsidR="005E4954" w:rsidRPr="00226F9D">
        <w:rPr>
          <w:rStyle w:val="FootnoteReference"/>
          <w:rFonts w:ascii="Times New Roman" w:eastAsia="Arial" w:hAnsi="Times New Roman" w:cs="Times New Roman"/>
          <w:lang w:val="sr-Cyrl-RS"/>
        </w:rPr>
        <w:footnoteReference w:id="5"/>
      </w:r>
      <w:r w:rsidR="5CBA77D6" w:rsidRPr="00226F9D">
        <w:rPr>
          <w:rFonts w:ascii="Times New Roman" w:eastAsia="Arial" w:hAnsi="Times New Roman" w:cs="Times New Roman"/>
          <w:lang w:val="sr-Cyrl-RS"/>
        </w:rPr>
        <w:t xml:space="preserve"> и 2024-2025.</w:t>
      </w:r>
      <w:r w:rsidR="005E4954" w:rsidRPr="00226F9D">
        <w:rPr>
          <w:rStyle w:val="FootnoteReference"/>
          <w:rFonts w:ascii="Times New Roman" w:eastAsia="Arial" w:hAnsi="Times New Roman" w:cs="Times New Roman"/>
          <w:lang w:val="sr-Cyrl-RS"/>
        </w:rPr>
        <w:footnoteReference w:id="6"/>
      </w:r>
      <w:r w:rsidR="5CBA77D6" w:rsidRPr="00226F9D">
        <w:rPr>
          <w:rFonts w:ascii="Times New Roman" w:eastAsia="Arial" w:hAnsi="Times New Roman" w:cs="Times New Roman"/>
          <w:lang w:val="sr-Cyrl-RS"/>
        </w:rPr>
        <w:t xml:space="preserve">), припремљен је други по реду, петогодишњи Програм за период од 2026. до 2030. године којим се заокружује временски хоризонт и плански оквир у складу са СРЈУ. У континуитету са претходним, нови ПРСЛС 2026-2030 са пратећим петогодишњим Акционим планом, конкретизује даље мере и активности у правцу остваривања циљева и визије уклопљених у шири реформски контекст.   </w:t>
      </w:r>
    </w:p>
    <w:p w14:paraId="505C9C60" w14:textId="2C481FDA" w:rsidR="745DD83B" w:rsidRPr="00226F9D" w:rsidRDefault="745DD83B" w:rsidP="745DD83B">
      <w:pPr>
        <w:spacing w:after="0" w:line="240" w:lineRule="auto"/>
        <w:jc w:val="both"/>
        <w:rPr>
          <w:rFonts w:ascii="Times New Roman" w:hAnsi="Times New Roman" w:cs="Times New Roman"/>
          <w:lang w:val="sr-Cyrl-RS"/>
        </w:rPr>
      </w:pPr>
    </w:p>
    <w:p w14:paraId="27FF8293" w14:textId="43FD8DA1" w:rsidR="008A4368" w:rsidRPr="00226F9D" w:rsidRDefault="00593A8A" w:rsidP="006B59F4">
      <w:pPr>
        <w:spacing w:after="0" w:line="240" w:lineRule="auto"/>
        <w:jc w:val="both"/>
        <w:rPr>
          <w:rFonts w:ascii="Times New Roman" w:hAnsi="Times New Roman" w:cs="Times New Roman"/>
          <w:lang w:val="sr-Latn-RS"/>
        </w:rPr>
      </w:pPr>
      <w:r w:rsidRPr="00226F9D">
        <w:rPr>
          <w:rFonts w:ascii="Times New Roman" w:hAnsi="Times New Roman" w:cs="Times New Roman"/>
          <w:lang w:val="sr-Cyrl-RS"/>
        </w:rPr>
        <w:t>Програм за реформу система локалне самоуправе у Републици Србији за период 2026–2030. годин</w:t>
      </w:r>
      <w:r w:rsidR="0F029165" w:rsidRPr="00226F9D">
        <w:rPr>
          <w:rFonts w:ascii="Times New Roman" w:hAnsi="Times New Roman" w:cs="Times New Roman"/>
          <w:lang w:val="sr-Cyrl-RS"/>
        </w:rPr>
        <w:t>e</w:t>
      </w:r>
      <w:r w:rsidRPr="00226F9D">
        <w:rPr>
          <w:rFonts w:ascii="Times New Roman" w:hAnsi="Times New Roman" w:cs="Times New Roman"/>
          <w:lang w:val="sr-Cyrl-RS"/>
        </w:rPr>
        <w:t xml:space="preserve"> представља кључни документ</w:t>
      </w:r>
      <w:r w:rsidR="003474CE" w:rsidRPr="00226F9D">
        <w:rPr>
          <w:rFonts w:ascii="Times New Roman" w:hAnsi="Times New Roman" w:cs="Times New Roman"/>
          <w:lang w:val="sr-Cyrl-RS"/>
        </w:rPr>
        <w:t xml:space="preserve"> јавне политике који је</w:t>
      </w:r>
      <w:r w:rsidRPr="00226F9D">
        <w:rPr>
          <w:rFonts w:ascii="Times New Roman" w:hAnsi="Times New Roman" w:cs="Times New Roman"/>
          <w:lang w:val="sr-Cyrl-RS"/>
        </w:rPr>
        <w:t xml:space="preserve"> усмерен на јачање улоге локалних власти у укупном друштвеном и економском развоју земље. Његова суштина је да обезбеди стабилан и модеран систем локалне управе који ће бити усклађен са европским стандардима, финансијски одржив и довољно снажан да грађанима и привреди пружа квалитетне, транспарентне и доступне услуге. Овај документ је настао као одговор на изазове уочене у претходном програмском периоду и п</w:t>
      </w:r>
      <w:r w:rsidR="00AD684D" w:rsidRPr="00226F9D">
        <w:rPr>
          <w:rFonts w:ascii="Times New Roman" w:hAnsi="Times New Roman" w:cs="Times New Roman"/>
          <w:lang w:val="sr-Cyrl-RS"/>
        </w:rPr>
        <w:t>редвиђа</w:t>
      </w:r>
      <w:r w:rsidRPr="00226F9D">
        <w:rPr>
          <w:rFonts w:ascii="Times New Roman" w:hAnsi="Times New Roman" w:cs="Times New Roman"/>
          <w:lang w:val="sr-Cyrl-RS"/>
        </w:rPr>
        <w:t xml:space="preserve"> реформе које треба да омогуће да локална самоуправа постане истински носилац демократског развоја и равномерног напретка Србије.</w:t>
      </w:r>
    </w:p>
    <w:p w14:paraId="79A66C5B" w14:textId="77777777" w:rsidR="003924BE" w:rsidRPr="00226F9D" w:rsidRDefault="003924BE" w:rsidP="006B59F4">
      <w:pPr>
        <w:spacing w:after="0" w:line="240" w:lineRule="auto"/>
        <w:jc w:val="both"/>
        <w:rPr>
          <w:rFonts w:ascii="Times New Roman" w:hAnsi="Times New Roman" w:cs="Times New Roman"/>
          <w:lang w:val="sr-Latn-RS"/>
        </w:rPr>
      </w:pPr>
    </w:p>
    <w:p w14:paraId="04A0517D" w14:textId="3BA0DCD7" w:rsidR="00BA05C4" w:rsidRPr="00226F9D" w:rsidRDefault="00BA05C4"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Програм препознаје да </w:t>
      </w:r>
      <w:r w:rsidR="00880373" w:rsidRPr="00226F9D">
        <w:rPr>
          <w:rFonts w:ascii="Times New Roman" w:hAnsi="Times New Roman" w:cs="Times New Roman"/>
          <w:lang w:val="sr-Cyrl-RS"/>
        </w:rPr>
        <w:t xml:space="preserve">је </w:t>
      </w:r>
      <w:r w:rsidRPr="00226F9D">
        <w:rPr>
          <w:rFonts w:ascii="Times New Roman" w:hAnsi="Times New Roman" w:cs="Times New Roman"/>
          <w:lang w:val="sr-Cyrl-RS"/>
        </w:rPr>
        <w:t>ефикасна локална самоуправа темељ демократије на локалном нивоу</w:t>
      </w:r>
      <w:r w:rsidR="00916F5F"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и предуслов успешне интеграције </w:t>
      </w:r>
      <w:r w:rsidR="00E67053" w:rsidRPr="00226F9D">
        <w:rPr>
          <w:rFonts w:ascii="Times New Roman" w:hAnsi="Times New Roman" w:cs="Times New Roman"/>
          <w:lang w:val="sr-Cyrl-RS"/>
        </w:rPr>
        <w:t xml:space="preserve">Републике </w:t>
      </w:r>
      <w:r w:rsidRPr="00226F9D">
        <w:rPr>
          <w:rFonts w:ascii="Times New Roman" w:hAnsi="Times New Roman" w:cs="Times New Roman"/>
          <w:lang w:val="sr-Cyrl-RS"/>
        </w:rPr>
        <w:t>Србије</w:t>
      </w:r>
      <w:r w:rsidR="00E67053" w:rsidRPr="00226F9D">
        <w:rPr>
          <w:rFonts w:ascii="Times New Roman" w:hAnsi="Times New Roman" w:cs="Times New Roman"/>
          <w:lang w:val="sr-Cyrl-RS"/>
        </w:rPr>
        <w:t xml:space="preserve"> у Европску унију</w:t>
      </w:r>
      <w:r w:rsidRPr="00226F9D">
        <w:rPr>
          <w:rFonts w:ascii="Times New Roman" w:hAnsi="Times New Roman" w:cs="Times New Roman"/>
          <w:lang w:val="sr-Cyrl-RS"/>
        </w:rPr>
        <w:t>. Зато је усмерен на јачање фискалне аутономије, унапређење транспарентности и одговорности у раду локалних власти, развој људских ресурса, дигиталну трансформацију и иновативне облике међуопштинске сарадње. Посебна пажња посвећена је равномерном развоју, односно смањењу територијалних и социјалних неједнакости, како би сви грађани, без обзира на место становања, имали једнак приступ квалитетним јавним услугама.</w:t>
      </w:r>
    </w:p>
    <w:p w14:paraId="2BE126D9" w14:textId="77777777" w:rsidR="00BA05C4" w:rsidRPr="00226F9D" w:rsidRDefault="00BA05C4" w:rsidP="006B59F4">
      <w:pPr>
        <w:spacing w:after="0" w:line="240" w:lineRule="auto"/>
        <w:jc w:val="both"/>
        <w:rPr>
          <w:rFonts w:ascii="Times New Roman" w:hAnsi="Times New Roman" w:cs="Times New Roman"/>
          <w:lang w:val="sr-Cyrl-RS"/>
        </w:rPr>
      </w:pPr>
    </w:p>
    <w:p w14:paraId="5A393C08" w14:textId="384E72A6" w:rsidR="00593A8A" w:rsidRPr="00226F9D" w:rsidRDefault="00593A8A"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У први план ставља се јачање</w:t>
      </w:r>
      <w:r w:rsidR="001A00F8" w:rsidRPr="00226F9D">
        <w:rPr>
          <w:rFonts w:ascii="Times New Roman" w:hAnsi="Times New Roman" w:cs="Times New Roman"/>
          <w:lang w:val="sr-Cyrl-RS"/>
        </w:rPr>
        <w:t xml:space="preserve"> системско</w:t>
      </w:r>
      <w:r w:rsidR="00E67053" w:rsidRPr="00226F9D">
        <w:rPr>
          <w:rFonts w:ascii="Times New Roman" w:hAnsi="Times New Roman" w:cs="Times New Roman"/>
          <w:lang w:val="sr-Cyrl-RS"/>
        </w:rPr>
        <w:t>г</w:t>
      </w:r>
      <w:r w:rsidRPr="00226F9D">
        <w:rPr>
          <w:rFonts w:ascii="Times New Roman" w:hAnsi="Times New Roman" w:cs="Times New Roman"/>
          <w:lang w:val="sr-Cyrl-RS"/>
        </w:rPr>
        <w:t xml:space="preserve"> правног и институционалног оквира. Циљ је да се унапред</w:t>
      </w:r>
      <w:r w:rsidR="001A00F8" w:rsidRPr="00226F9D">
        <w:rPr>
          <w:rFonts w:ascii="Times New Roman" w:hAnsi="Times New Roman" w:cs="Times New Roman"/>
          <w:lang w:val="sr-Cyrl-RS"/>
        </w:rPr>
        <w:t xml:space="preserve">е системске поставке </w:t>
      </w:r>
      <w:r w:rsidR="003C53F8" w:rsidRPr="00226F9D">
        <w:rPr>
          <w:rFonts w:ascii="Times New Roman" w:hAnsi="Times New Roman" w:cs="Times New Roman"/>
          <w:lang w:val="sr-Cyrl-RS"/>
        </w:rPr>
        <w:t xml:space="preserve">локалне самоуправе у Србији. </w:t>
      </w:r>
      <w:r w:rsidRPr="00226F9D">
        <w:rPr>
          <w:rFonts w:ascii="Times New Roman" w:hAnsi="Times New Roman" w:cs="Times New Roman"/>
          <w:lang w:val="sr-Cyrl-RS"/>
        </w:rPr>
        <w:t>Посебн</w:t>
      </w:r>
      <w:r w:rsidR="003C53F8" w:rsidRPr="00226F9D">
        <w:rPr>
          <w:rFonts w:ascii="Times New Roman" w:hAnsi="Times New Roman" w:cs="Times New Roman"/>
          <w:lang w:val="sr-Cyrl-RS"/>
        </w:rPr>
        <w:t xml:space="preserve">о су важне реформе </w:t>
      </w:r>
      <w:r w:rsidR="00DB450C" w:rsidRPr="00226F9D">
        <w:rPr>
          <w:rFonts w:ascii="Times New Roman" w:hAnsi="Times New Roman" w:cs="Times New Roman"/>
          <w:lang w:val="sr-Cyrl-RS"/>
        </w:rPr>
        <w:t xml:space="preserve">закона који уређују основе система локалне самоуправе и унапређење примене принципа доброг управљања у остваривању локалне самоуправе, </w:t>
      </w:r>
      <w:r w:rsidR="00A228C3" w:rsidRPr="00226F9D">
        <w:rPr>
          <w:rFonts w:ascii="Times New Roman" w:hAnsi="Times New Roman" w:cs="Times New Roman"/>
          <w:lang w:val="sr-Cyrl-RS"/>
        </w:rPr>
        <w:t xml:space="preserve">како би се јачало </w:t>
      </w:r>
      <w:r w:rsidRPr="00226F9D">
        <w:rPr>
          <w:rFonts w:ascii="Times New Roman" w:hAnsi="Times New Roman" w:cs="Times New Roman"/>
          <w:lang w:val="sr-Cyrl-RS"/>
        </w:rPr>
        <w:t>поверење у</w:t>
      </w:r>
      <w:r w:rsidR="00A228C3" w:rsidRPr="00226F9D">
        <w:rPr>
          <w:rFonts w:ascii="Times New Roman" w:hAnsi="Times New Roman" w:cs="Times New Roman"/>
          <w:lang w:val="sr-Cyrl-RS"/>
        </w:rPr>
        <w:t xml:space="preserve"> локалне</w:t>
      </w:r>
      <w:r w:rsidRPr="00226F9D">
        <w:rPr>
          <w:rFonts w:ascii="Times New Roman" w:hAnsi="Times New Roman" w:cs="Times New Roman"/>
          <w:lang w:val="sr-Cyrl-RS"/>
        </w:rPr>
        <w:t xml:space="preserve"> институције и осигура</w:t>
      </w:r>
      <w:r w:rsidR="009A2BA3" w:rsidRPr="00226F9D">
        <w:rPr>
          <w:rFonts w:ascii="Times New Roman" w:hAnsi="Times New Roman" w:cs="Times New Roman"/>
          <w:lang w:val="sr-Cyrl-RS"/>
        </w:rPr>
        <w:t>л</w:t>
      </w:r>
      <w:r w:rsidR="00921A0B" w:rsidRPr="00226F9D">
        <w:rPr>
          <w:rFonts w:ascii="Times New Roman" w:hAnsi="Times New Roman" w:cs="Times New Roman"/>
          <w:lang w:val="sr-Cyrl-RS"/>
        </w:rPr>
        <w:t>е</w:t>
      </w:r>
      <w:r w:rsidRPr="00226F9D">
        <w:rPr>
          <w:rFonts w:ascii="Times New Roman" w:hAnsi="Times New Roman" w:cs="Times New Roman"/>
          <w:lang w:val="sr-Cyrl-RS"/>
        </w:rPr>
        <w:t xml:space="preserve"> квалитетније јавне политике.</w:t>
      </w:r>
    </w:p>
    <w:p w14:paraId="5D118288" w14:textId="77777777" w:rsidR="001A00F8" w:rsidRPr="00226F9D" w:rsidRDefault="001A00F8" w:rsidP="006B59F4">
      <w:pPr>
        <w:spacing w:after="0" w:line="240" w:lineRule="auto"/>
        <w:jc w:val="both"/>
        <w:rPr>
          <w:rFonts w:ascii="Times New Roman" w:hAnsi="Times New Roman" w:cs="Times New Roman"/>
          <w:lang w:val="sr-Cyrl-RS"/>
        </w:rPr>
      </w:pPr>
    </w:p>
    <w:p w14:paraId="60C0D79F" w14:textId="3A715997" w:rsidR="00593A8A" w:rsidRPr="00226F9D" w:rsidRDefault="00593A8A"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Други приоритет односи се на унапређење система финансирања локалне самоуправе. Стабилни и предвидиви приходи су предуслов за извршавање надлежности, а у том контексту Програм предвиђа јачање </w:t>
      </w:r>
      <w:r w:rsidR="00262550" w:rsidRPr="00226F9D">
        <w:rPr>
          <w:rFonts w:ascii="Times New Roman" w:hAnsi="Times New Roman" w:cs="Times New Roman"/>
          <w:lang w:val="sr-Cyrl-RS"/>
        </w:rPr>
        <w:t xml:space="preserve">и </w:t>
      </w:r>
      <w:r w:rsidRPr="00226F9D">
        <w:rPr>
          <w:rFonts w:ascii="Times New Roman" w:hAnsi="Times New Roman" w:cs="Times New Roman"/>
          <w:lang w:val="sr-Cyrl-RS"/>
        </w:rPr>
        <w:t>фискалне аутономије</w:t>
      </w:r>
      <w:r w:rsidR="00262550" w:rsidRPr="00226F9D">
        <w:rPr>
          <w:rFonts w:ascii="Times New Roman" w:hAnsi="Times New Roman" w:cs="Times New Roman"/>
          <w:lang w:val="sr-Cyrl-RS"/>
        </w:rPr>
        <w:t xml:space="preserve"> и финансијске дисциплине</w:t>
      </w:r>
      <w:r w:rsidRPr="00226F9D">
        <w:rPr>
          <w:rFonts w:ascii="Times New Roman" w:hAnsi="Times New Roman" w:cs="Times New Roman"/>
          <w:lang w:val="sr-Cyrl-RS"/>
        </w:rPr>
        <w:t>, реформу система трансфера и уједначавања, као и боље коришћење изворних прихода. Стратешка намера је да се обезбеди</w:t>
      </w:r>
      <w:r w:rsidR="00262550" w:rsidRPr="00226F9D">
        <w:rPr>
          <w:rFonts w:ascii="Times New Roman" w:hAnsi="Times New Roman" w:cs="Times New Roman"/>
          <w:lang w:val="sr-Cyrl-RS"/>
        </w:rPr>
        <w:t xml:space="preserve"> транспарентност локалних јавних финансија,</w:t>
      </w:r>
      <w:r w:rsidRPr="00226F9D">
        <w:rPr>
          <w:rFonts w:ascii="Times New Roman" w:hAnsi="Times New Roman" w:cs="Times New Roman"/>
          <w:lang w:val="sr-Cyrl-RS"/>
        </w:rPr>
        <w:t xml:space="preserve"> финансијска одрживост, већи обим капиталних инвестиција и равномерније финансирање развоја различитих локалних заједница.</w:t>
      </w:r>
    </w:p>
    <w:p w14:paraId="00A0B860" w14:textId="77777777" w:rsidR="009A2BA3" w:rsidRPr="00226F9D" w:rsidRDefault="009A2BA3" w:rsidP="006B59F4">
      <w:pPr>
        <w:spacing w:after="0" w:line="240" w:lineRule="auto"/>
        <w:jc w:val="both"/>
        <w:rPr>
          <w:rFonts w:ascii="Times New Roman" w:hAnsi="Times New Roman" w:cs="Times New Roman"/>
          <w:lang w:val="sr-Cyrl-RS"/>
        </w:rPr>
      </w:pPr>
    </w:p>
    <w:p w14:paraId="611CCAFF" w14:textId="1257FC90" w:rsidR="00593A8A" w:rsidRPr="00226F9D" w:rsidRDefault="00397539"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Трећи правац реформе, </w:t>
      </w:r>
      <w:r w:rsidR="00921A0B" w:rsidRPr="00226F9D">
        <w:rPr>
          <w:rFonts w:ascii="Times New Roman" w:hAnsi="Times New Roman" w:cs="Times New Roman"/>
          <w:lang w:val="sr-Cyrl-RS"/>
        </w:rPr>
        <w:t>усмерен је на</w:t>
      </w:r>
      <w:r w:rsidR="00593A8A" w:rsidRPr="00226F9D">
        <w:rPr>
          <w:rFonts w:ascii="Times New Roman" w:hAnsi="Times New Roman" w:cs="Times New Roman"/>
          <w:lang w:val="sr-Cyrl-RS"/>
        </w:rPr>
        <w:t xml:space="preserve"> изградњ</w:t>
      </w:r>
      <w:r w:rsidR="00921A0B" w:rsidRPr="00226F9D">
        <w:rPr>
          <w:rFonts w:ascii="Times New Roman" w:hAnsi="Times New Roman" w:cs="Times New Roman"/>
          <w:lang w:val="sr-Cyrl-RS"/>
        </w:rPr>
        <w:t>у</w:t>
      </w:r>
      <w:r w:rsidR="00593A8A" w:rsidRPr="00226F9D">
        <w:rPr>
          <w:rFonts w:ascii="Times New Roman" w:hAnsi="Times New Roman" w:cs="Times New Roman"/>
          <w:lang w:val="sr-Cyrl-RS"/>
        </w:rPr>
        <w:t xml:space="preserve"> институционалних и кадровских капацитета. Развој система управљања људским ресурсима заснованог на компетенцијама, унапређење стручног усавршавања и успостављање правичног и одрживог система плата представљају основе професионализације локалне управе.</w:t>
      </w:r>
      <w:r w:rsidR="00C354D2" w:rsidRPr="00226F9D">
        <w:rPr>
          <w:rFonts w:ascii="Times New Roman" w:hAnsi="Times New Roman" w:cs="Times New Roman"/>
          <w:lang w:val="sr-Cyrl-RS"/>
        </w:rPr>
        <w:t xml:space="preserve"> </w:t>
      </w:r>
      <w:r w:rsidR="00593A8A" w:rsidRPr="00226F9D">
        <w:rPr>
          <w:rFonts w:ascii="Times New Roman" w:hAnsi="Times New Roman" w:cs="Times New Roman"/>
          <w:lang w:val="sr-Cyrl-RS"/>
        </w:rPr>
        <w:t>Циљ је да локалне самоуправе буду кадровски стабилне и опремљене знањем и вештинама неопходним за спровођење сложених јавних политика.</w:t>
      </w:r>
      <w:r w:rsidR="00C354D2" w:rsidRPr="00226F9D">
        <w:rPr>
          <w:rFonts w:ascii="Times New Roman" w:hAnsi="Times New Roman" w:cs="Times New Roman"/>
          <w:lang w:val="sr-Cyrl-RS"/>
        </w:rPr>
        <w:t xml:space="preserve"> </w:t>
      </w:r>
    </w:p>
    <w:p w14:paraId="648EC346" w14:textId="77777777" w:rsidR="009A2BA3" w:rsidRPr="00226F9D" w:rsidRDefault="009A2BA3" w:rsidP="006B59F4">
      <w:pPr>
        <w:spacing w:after="0" w:line="240" w:lineRule="auto"/>
        <w:jc w:val="both"/>
        <w:rPr>
          <w:rFonts w:ascii="Times New Roman" w:hAnsi="Times New Roman" w:cs="Times New Roman"/>
          <w:lang w:val="sr-Cyrl-RS"/>
        </w:rPr>
      </w:pPr>
    </w:p>
    <w:p w14:paraId="28A4897B" w14:textId="772B7534" w:rsidR="00593A8A" w:rsidRPr="00226F9D" w:rsidRDefault="00593A8A"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Четврти стуб реформе односи се на модернизацију јавних услуга и комуналних делатности. Дигитализација управних поступака, увођење савремених технологија и стандардизација услуга имају за циљ да грађани и привреда добију услуге које су једноставније, брже и доступне на читавој територији Србије. Посебно место у овом процесу има развој међуопштинске сарадње као начина да се рационалније користе ресурси и обезбеди једнак квалитет услуга без обзира на величину или развијеност локалне заједнице.</w:t>
      </w:r>
    </w:p>
    <w:p w14:paraId="0AE4A332" w14:textId="77777777" w:rsidR="002C462C" w:rsidRPr="00226F9D" w:rsidRDefault="002C462C" w:rsidP="006B59F4">
      <w:pPr>
        <w:spacing w:after="0" w:line="240" w:lineRule="auto"/>
        <w:jc w:val="both"/>
        <w:rPr>
          <w:rFonts w:ascii="Times New Roman" w:hAnsi="Times New Roman" w:cs="Times New Roman"/>
          <w:lang w:val="sr-Cyrl-RS"/>
        </w:rPr>
      </w:pPr>
    </w:p>
    <w:p w14:paraId="4B3AFC4A" w14:textId="37BFABA8" w:rsidR="00593A8A" w:rsidRPr="00226F9D" w:rsidRDefault="00593A8A"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Стратешка визија Програма јесте изградња локалне самоуправе која је демократска, финансијски стабилна и кадровски оспособљена, која делује у складу са принципима доброг управљања и активно укључује грађане у одлучивање. У том смислу, градови и општине постају равноправни партнери државе у креирању јавних политика, носиоци европских интеграција и темељ равномерног и одрживог развоја Србије</w:t>
      </w:r>
      <w:r w:rsidR="00A66A2E" w:rsidRPr="00226F9D">
        <w:rPr>
          <w:rFonts w:ascii="Times New Roman" w:hAnsi="Times New Roman" w:cs="Times New Roman"/>
          <w:lang w:val="sr-Cyrl-RS"/>
        </w:rPr>
        <w:t>.</w:t>
      </w:r>
    </w:p>
    <w:p w14:paraId="0AC5F95F" w14:textId="77777777" w:rsidR="00393D88" w:rsidRPr="00226F9D" w:rsidRDefault="00393D88" w:rsidP="006B59F4">
      <w:pPr>
        <w:spacing w:after="0" w:line="240" w:lineRule="auto"/>
        <w:jc w:val="both"/>
        <w:rPr>
          <w:rFonts w:ascii="Times New Roman" w:hAnsi="Times New Roman" w:cs="Times New Roman"/>
          <w:lang w:val="sr-Cyrl-RS"/>
        </w:rPr>
      </w:pPr>
    </w:p>
    <w:p w14:paraId="71ABF7CC" w14:textId="67CBB400" w:rsidR="00393D88" w:rsidRPr="00226F9D" w:rsidRDefault="00393D88" w:rsidP="006B59F4">
      <w:pPr>
        <w:spacing w:after="0" w:line="240" w:lineRule="auto"/>
        <w:jc w:val="both"/>
        <w:rPr>
          <w:rFonts w:ascii="Times New Roman" w:hAnsi="Times New Roman" w:cs="Times New Roman"/>
          <w:lang w:val="sr-Latn-RS"/>
        </w:rPr>
      </w:pPr>
      <w:r w:rsidRPr="00226F9D">
        <w:rPr>
          <w:rFonts w:ascii="Times New Roman" w:hAnsi="Times New Roman" w:cs="Times New Roman"/>
          <w:lang w:val="sr-Cyrl-RS"/>
        </w:rPr>
        <w:t>П</w:t>
      </w:r>
      <w:r w:rsidR="00F10CC9" w:rsidRPr="00226F9D">
        <w:rPr>
          <w:rFonts w:ascii="Times New Roman" w:hAnsi="Times New Roman" w:cs="Times New Roman"/>
          <w:lang w:val="sr-Cyrl-RS"/>
        </w:rPr>
        <w:t xml:space="preserve">рограм за реформу система локалне самоуправе </w:t>
      </w:r>
      <w:r w:rsidR="004A3FCB" w:rsidRPr="00226F9D">
        <w:rPr>
          <w:rFonts w:ascii="Times New Roman" w:hAnsi="Times New Roman" w:cs="Times New Roman"/>
          <w:lang w:val="sr-Cyrl-RS"/>
        </w:rPr>
        <w:t>у Републици Србији за период</w:t>
      </w:r>
      <w:r w:rsidRPr="00226F9D">
        <w:rPr>
          <w:rFonts w:ascii="Times New Roman" w:hAnsi="Times New Roman" w:cs="Times New Roman"/>
          <w:lang w:val="sr-Cyrl-RS"/>
        </w:rPr>
        <w:t xml:space="preserve"> 2026-2030 </w:t>
      </w:r>
      <w:r w:rsidR="00AB21A0" w:rsidRPr="00226F9D">
        <w:rPr>
          <w:rFonts w:ascii="Times New Roman" w:hAnsi="Times New Roman" w:cs="Times New Roman"/>
          <w:lang w:val="sr-Cyrl-RS"/>
        </w:rPr>
        <w:t xml:space="preserve">представља </w:t>
      </w:r>
      <w:r w:rsidR="00750FEE" w:rsidRPr="00226F9D">
        <w:rPr>
          <w:rFonts w:ascii="Times New Roman" w:hAnsi="Times New Roman" w:cs="Times New Roman"/>
          <w:lang w:val="sr-Cyrl-RS"/>
        </w:rPr>
        <w:t xml:space="preserve">неопходан, </w:t>
      </w:r>
      <w:r w:rsidR="00AB21A0" w:rsidRPr="00226F9D">
        <w:rPr>
          <w:rFonts w:ascii="Times New Roman" w:hAnsi="Times New Roman" w:cs="Times New Roman"/>
          <w:lang w:val="sr-Cyrl-RS"/>
        </w:rPr>
        <w:t>логичан наставак и надоградњу јавне политике у овој области</w:t>
      </w:r>
      <w:r w:rsidR="00161F4F" w:rsidRPr="00226F9D">
        <w:rPr>
          <w:rFonts w:ascii="Times New Roman" w:hAnsi="Times New Roman" w:cs="Times New Roman"/>
          <w:lang w:val="sr-Cyrl-RS"/>
        </w:rPr>
        <w:t xml:space="preserve">, </w:t>
      </w:r>
      <w:r w:rsidR="00997250" w:rsidRPr="00226F9D">
        <w:rPr>
          <w:rFonts w:ascii="Times New Roman" w:hAnsi="Times New Roman" w:cs="Times New Roman"/>
          <w:lang w:val="sr-Cyrl-RS"/>
        </w:rPr>
        <w:t xml:space="preserve">којом се надаље учвршћује координација </w:t>
      </w:r>
      <w:r w:rsidR="005C33A0" w:rsidRPr="00226F9D">
        <w:rPr>
          <w:rFonts w:ascii="Times New Roman" w:hAnsi="Times New Roman" w:cs="Times New Roman"/>
          <w:lang w:val="sr-Cyrl-RS"/>
        </w:rPr>
        <w:t xml:space="preserve">бројних актера, носилаца јавних </w:t>
      </w:r>
      <w:r w:rsidR="00342F2A" w:rsidRPr="00226F9D">
        <w:rPr>
          <w:rFonts w:ascii="Times New Roman" w:hAnsi="Times New Roman" w:cs="Times New Roman"/>
          <w:lang w:val="sr-Cyrl-RS"/>
        </w:rPr>
        <w:t xml:space="preserve">овлашћења и легитимних интереса </w:t>
      </w:r>
      <w:r w:rsidR="006126EA" w:rsidRPr="00226F9D">
        <w:rPr>
          <w:rFonts w:ascii="Times New Roman" w:hAnsi="Times New Roman" w:cs="Times New Roman"/>
          <w:lang w:val="sr-Cyrl-RS"/>
        </w:rPr>
        <w:t xml:space="preserve">од значаја за развој локалне самоуправе у Републици Србији. </w:t>
      </w:r>
      <w:r w:rsidR="009F4693" w:rsidRPr="00226F9D">
        <w:rPr>
          <w:rFonts w:ascii="Times New Roman" w:hAnsi="Times New Roman" w:cs="Times New Roman"/>
          <w:lang w:val="sr-Cyrl-RS"/>
        </w:rPr>
        <w:t xml:space="preserve">Стога је и процес израде новог Програма </w:t>
      </w:r>
      <w:r w:rsidR="00F52665" w:rsidRPr="00226F9D">
        <w:rPr>
          <w:rFonts w:ascii="Times New Roman" w:hAnsi="Times New Roman" w:cs="Times New Roman"/>
          <w:lang w:val="sr-Cyrl-RS"/>
        </w:rPr>
        <w:t xml:space="preserve">спроведен кроз </w:t>
      </w:r>
      <w:r w:rsidR="009F4693" w:rsidRPr="00226F9D">
        <w:rPr>
          <w:rFonts w:ascii="Times New Roman" w:hAnsi="Times New Roman" w:cs="Times New Roman"/>
          <w:lang w:val="sr-Cyrl-RS"/>
        </w:rPr>
        <w:t>широк</w:t>
      </w:r>
      <w:r w:rsidR="00C5313B" w:rsidRPr="00226F9D">
        <w:rPr>
          <w:rFonts w:ascii="Times New Roman" w:hAnsi="Times New Roman" w:cs="Times New Roman"/>
          <w:lang w:val="sr-Cyrl-RS"/>
        </w:rPr>
        <w:t xml:space="preserve">е и динамичне </w:t>
      </w:r>
      <w:r w:rsidR="009F4693" w:rsidRPr="00226F9D">
        <w:rPr>
          <w:rFonts w:ascii="Times New Roman" w:hAnsi="Times New Roman" w:cs="Times New Roman"/>
          <w:lang w:val="sr-Cyrl-RS"/>
        </w:rPr>
        <w:t>консулт</w:t>
      </w:r>
      <w:r w:rsidR="003F5CA0" w:rsidRPr="00226F9D">
        <w:rPr>
          <w:rFonts w:ascii="Times New Roman" w:hAnsi="Times New Roman" w:cs="Times New Roman"/>
          <w:lang w:val="sr-Cyrl-RS"/>
        </w:rPr>
        <w:t>ације</w:t>
      </w:r>
      <w:r w:rsidR="00A16DFB" w:rsidRPr="00226F9D">
        <w:rPr>
          <w:rFonts w:ascii="Times New Roman" w:hAnsi="Times New Roman" w:cs="Times New Roman"/>
          <w:lang w:val="sr-Cyrl-RS"/>
        </w:rPr>
        <w:t xml:space="preserve">, како у обухвату </w:t>
      </w:r>
      <w:r w:rsidR="00972298" w:rsidRPr="00226F9D">
        <w:rPr>
          <w:rFonts w:ascii="Times New Roman" w:hAnsi="Times New Roman" w:cs="Times New Roman"/>
          <w:lang w:val="sr-Cyrl-RS"/>
        </w:rPr>
        <w:t xml:space="preserve">посебне тематске радне </w:t>
      </w:r>
      <w:r w:rsidR="00CD3757" w:rsidRPr="00226F9D">
        <w:rPr>
          <w:rFonts w:ascii="Times New Roman" w:hAnsi="Times New Roman" w:cs="Times New Roman"/>
          <w:lang w:val="sr-Cyrl-RS"/>
        </w:rPr>
        <w:t>Под</w:t>
      </w:r>
      <w:r w:rsidR="00972298" w:rsidRPr="00226F9D">
        <w:rPr>
          <w:rFonts w:ascii="Times New Roman" w:hAnsi="Times New Roman" w:cs="Times New Roman"/>
          <w:lang w:val="sr-Cyrl-RS"/>
        </w:rPr>
        <w:t>групе</w:t>
      </w:r>
      <w:r w:rsidR="00A027A8" w:rsidRPr="00226F9D">
        <w:rPr>
          <w:rFonts w:ascii="Times New Roman" w:hAnsi="Times New Roman" w:cs="Times New Roman"/>
          <w:lang w:val="sr-Cyrl-RS"/>
        </w:rPr>
        <w:t xml:space="preserve">, тако и кроз допринос </w:t>
      </w:r>
      <w:r w:rsidR="0096573F" w:rsidRPr="00226F9D">
        <w:rPr>
          <w:rFonts w:ascii="Times New Roman" w:hAnsi="Times New Roman" w:cs="Times New Roman"/>
          <w:lang w:val="sr-Cyrl-RS"/>
        </w:rPr>
        <w:t>развојних партнера</w:t>
      </w:r>
      <w:r w:rsidR="00A11DF4" w:rsidRPr="00226F9D">
        <w:rPr>
          <w:rFonts w:ascii="Times New Roman" w:hAnsi="Times New Roman" w:cs="Times New Roman"/>
          <w:lang w:val="sr-Cyrl-RS"/>
        </w:rPr>
        <w:t xml:space="preserve">, </w:t>
      </w:r>
      <w:r w:rsidR="00F5489D" w:rsidRPr="00226F9D">
        <w:rPr>
          <w:rFonts w:ascii="Times New Roman" w:hAnsi="Times New Roman" w:cs="Times New Roman"/>
          <w:lang w:val="sr-Cyrl-RS"/>
        </w:rPr>
        <w:t xml:space="preserve">актера </w:t>
      </w:r>
      <w:r w:rsidR="005464A2" w:rsidRPr="00226F9D">
        <w:rPr>
          <w:rFonts w:ascii="Times New Roman" w:hAnsi="Times New Roman" w:cs="Times New Roman"/>
          <w:lang w:val="sr-Cyrl-RS"/>
        </w:rPr>
        <w:t>са различитих нивоа власти</w:t>
      </w:r>
      <w:r w:rsidR="00696CF8" w:rsidRPr="00226F9D">
        <w:rPr>
          <w:rFonts w:ascii="Times New Roman" w:hAnsi="Times New Roman" w:cs="Times New Roman"/>
          <w:lang w:val="sr-Cyrl-RS"/>
        </w:rPr>
        <w:t>,</w:t>
      </w:r>
      <w:r w:rsidR="005464A2" w:rsidRPr="00226F9D">
        <w:rPr>
          <w:rFonts w:ascii="Times New Roman" w:hAnsi="Times New Roman" w:cs="Times New Roman"/>
          <w:lang w:val="sr-Cyrl-RS"/>
        </w:rPr>
        <w:t xml:space="preserve"> </w:t>
      </w:r>
      <w:r w:rsidR="00A11DF4" w:rsidRPr="00226F9D">
        <w:rPr>
          <w:rFonts w:ascii="Times New Roman" w:hAnsi="Times New Roman" w:cs="Times New Roman"/>
          <w:lang w:val="sr-Cyrl-RS"/>
        </w:rPr>
        <w:t xml:space="preserve">партнерских организација </w:t>
      </w:r>
      <w:r w:rsidR="000E3D9A" w:rsidRPr="00226F9D">
        <w:rPr>
          <w:rFonts w:ascii="Times New Roman" w:hAnsi="Times New Roman" w:cs="Times New Roman"/>
          <w:lang w:val="sr-Cyrl-RS"/>
        </w:rPr>
        <w:t>и</w:t>
      </w:r>
      <w:r w:rsidR="007E1341" w:rsidRPr="00226F9D">
        <w:rPr>
          <w:rFonts w:ascii="Times New Roman" w:hAnsi="Times New Roman" w:cs="Times New Roman"/>
          <w:lang w:val="sr-Cyrl-RS"/>
        </w:rPr>
        <w:t xml:space="preserve"> заинтересоване јавности</w:t>
      </w:r>
      <w:r w:rsidR="00293D18" w:rsidRPr="00226F9D">
        <w:rPr>
          <w:rFonts w:ascii="Times New Roman" w:hAnsi="Times New Roman" w:cs="Times New Roman"/>
          <w:lang w:val="sr-Cyrl-RS"/>
        </w:rPr>
        <w:t>.</w:t>
      </w:r>
      <w:r w:rsidR="005F76F2" w:rsidRPr="00226F9D">
        <w:rPr>
          <w:rFonts w:ascii="Times New Roman" w:hAnsi="Times New Roman" w:cs="Times New Roman"/>
          <w:lang w:val="sr-Cyrl-RS"/>
        </w:rPr>
        <w:t xml:space="preserve"> Детаљи </w:t>
      </w:r>
      <w:r w:rsidR="00E8328C" w:rsidRPr="00226F9D">
        <w:rPr>
          <w:rFonts w:ascii="Times New Roman" w:hAnsi="Times New Roman" w:cs="Times New Roman"/>
          <w:lang w:val="sr-Cyrl-RS"/>
        </w:rPr>
        <w:t>о укљученим актерима</w:t>
      </w:r>
      <w:r w:rsidR="00006681" w:rsidRPr="00226F9D">
        <w:rPr>
          <w:rFonts w:ascii="Times New Roman" w:hAnsi="Times New Roman" w:cs="Times New Roman"/>
          <w:lang w:val="sr-Cyrl-RS"/>
        </w:rPr>
        <w:t>, заинтересованим странама и циљним групама</w:t>
      </w:r>
      <w:r w:rsidR="002C3A54" w:rsidRPr="00226F9D">
        <w:rPr>
          <w:rFonts w:ascii="Times New Roman" w:hAnsi="Times New Roman" w:cs="Times New Roman"/>
          <w:lang w:val="sr-Cyrl-RS"/>
        </w:rPr>
        <w:t xml:space="preserve">, предочени су у одељку 3 поглавља </w:t>
      </w:r>
      <w:r w:rsidR="002C3A54" w:rsidRPr="00226F9D">
        <w:rPr>
          <w:rFonts w:ascii="Times New Roman" w:hAnsi="Times New Roman" w:cs="Times New Roman"/>
          <w:lang w:val="sr-Latn-RS"/>
        </w:rPr>
        <w:t>V</w:t>
      </w:r>
      <w:r w:rsidR="00F17E92" w:rsidRPr="00226F9D">
        <w:rPr>
          <w:rFonts w:ascii="Times New Roman" w:hAnsi="Times New Roman" w:cs="Times New Roman"/>
          <w:lang w:val="sr-Cyrl-RS"/>
        </w:rPr>
        <w:t xml:space="preserve"> у наставку Програма, а динамика израде </w:t>
      </w:r>
      <w:r w:rsidR="007A2D7B" w:rsidRPr="00226F9D">
        <w:rPr>
          <w:rFonts w:ascii="Times New Roman" w:hAnsi="Times New Roman" w:cs="Times New Roman"/>
          <w:lang w:val="sr-Cyrl-RS"/>
        </w:rPr>
        <w:t>са корацима у погледу спроведених консултација и јавне ра</w:t>
      </w:r>
      <w:r w:rsidR="004E3CAB" w:rsidRPr="00226F9D">
        <w:rPr>
          <w:rFonts w:ascii="Times New Roman" w:hAnsi="Times New Roman" w:cs="Times New Roman"/>
          <w:lang w:val="sr-Cyrl-RS"/>
        </w:rPr>
        <w:t>справе</w:t>
      </w:r>
      <w:r w:rsidR="006518D2" w:rsidRPr="00226F9D">
        <w:rPr>
          <w:rFonts w:ascii="Times New Roman" w:hAnsi="Times New Roman" w:cs="Times New Roman"/>
          <w:lang w:val="sr-Cyrl-RS"/>
        </w:rPr>
        <w:t xml:space="preserve">, представљена је у прилогу 2 овог документа. </w:t>
      </w:r>
      <w:r w:rsidR="00293D18" w:rsidRPr="00226F9D">
        <w:rPr>
          <w:rFonts w:ascii="Times New Roman" w:hAnsi="Times New Roman" w:cs="Times New Roman"/>
          <w:lang w:val="sr-Cyrl-RS"/>
        </w:rPr>
        <w:t xml:space="preserve"> </w:t>
      </w:r>
      <w:r w:rsidR="000E3D9A" w:rsidRPr="00226F9D">
        <w:rPr>
          <w:rFonts w:ascii="Times New Roman" w:hAnsi="Times New Roman" w:cs="Times New Roman"/>
          <w:lang w:val="sr-Cyrl-RS"/>
        </w:rPr>
        <w:t xml:space="preserve"> </w:t>
      </w:r>
    </w:p>
    <w:p w14:paraId="58627C44" w14:textId="77777777" w:rsidR="005A52C7" w:rsidRPr="00226F9D" w:rsidRDefault="005A52C7" w:rsidP="006B59F4">
      <w:pPr>
        <w:spacing w:after="0" w:line="240" w:lineRule="auto"/>
        <w:jc w:val="both"/>
        <w:rPr>
          <w:rFonts w:ascii="Times New Roman" w:hAnsi="Times New Roman" w:cs="Times New Roman"/>
          <w:lang w:val="sr-Latn-RS"/>
        </w:rPr>
      </w:pPr>
    </w:p>
    <w:p w14:paraId="7103DF4E" w14:textId="77777777" w:rsidR="00BD0BD3" w:rsidRPr="00226F9D" w:rsidRDefault="00BD0BD3" w:rsidP="006B59F4">
      <w:pPr>
        <w:spacing w:after="0" w:line="240" w:lineRule="auto"/>
        <w:jc w:val="both"/>
        <w:rPr>
          <w:rFonts w:ascii="Times New Roman" w:hAnsi="Times New Roman" w:cs="Times New Roman"/>
          <w:lang w:val="sr-Latn-RS"/>
        </w:rPr>
      </w:pPr>
    </w:p>
    <w:p w14:paraId="0065BCA5" w14:textId="796BA8C0" w:rsidR="00BD0BD3" w:rsidRPr="00226F9D" w:rsidRDefault="00BD0BD3">
      <w:pPr>
        <w:rPr>
          <w:rFonts w:ascii="Times New Roman" w:hAnsi="Times New Roman" w:cs="Times New Roman"/>
          <w:lang w:val="sr-Latn-RS"/>
        </w:rPr>
      </w:pPr>
      <w:r w:rsidRPr="00226F9D">
        <w:rPr>
          <w:rFonts w:ascii="Times New Roman" w:hAnsi="Times New Roman" w:cs="Times New Roman"/>
          <w:lang w:val="sr-Latn-RS"/>
        </w:rPr>
        <w:br w:type="page"/>
      </w:r>
    </w:p>
    <w:p w14:paraId="20A7497E" w14:textId="77777777" w:rsidR="00BD0BD3" w:rsidRPr="00226F9D" w:rsidRDefault="00BD0BD3" w:rsidP="00BD0BD3">
      <w:pPr>
        <w:rPr>
          <w:rFonts w:ascii="Times New Roman" w:hAnsi="Times New Roman" w:cs="Times New Roman"/>
          <w:lang w:val="sr-Cyrl-RS"/>
        </w:rPr>
      </w:pPr>
    </w:p>
    <w:p w14:paraId="4CBB1B5F" w14:textId="77777777" w:rsidR="00BD0BD3" w:rsidRPr="00226F9D" w:rsidRDefault="00BD0BD3" w:rsidP="00BD0BD3">
      <w:pPr>
        <w:rPr>
          <w:rFonts w:ascii="Times New Roman" w:hAnsi="Times New Roman" w:cs="Times New Roman"/>
          <w:lang w:val="sr-Cyrl-RS"/>
        </w:rPr>
      </w:pPr>
    </w:p>
    <w:p w14:paraId="5D5C63BD" w14:textId="51AEC7F9" w:rsidR="00E75D5A" w:rsidRPr="00226F9D" w:rsidRDefault="004E4EA6" w:rsidP="005B0999">
      <w:pPr>
        <w:pStyle w:val="Heading1"/>
        <w:rPr>
          <w:rFonts w:ascii="Times New Roman" w:hAnsi="Times New Roman" w:cs="Times New Roman"/>
        </w:rPr>
      </w:pPr>
      <w:bookmarkStart w:id="2" w:name="_Toc222753912"/>
      <w:r w:rsidRPr="00226F9D">
        <w:rPr>
          <w:rFonts w:ascii="Times New Roman" w:hAnsi="Times New Roman" w:cs="Times New Roman"/>
        </w:rPr>
        <w:t xml:space="preserve">II </w:t>
      </w:r>
      <w:r w:rsidR="00EC2D47" w:rsidRPr="00226F9D">
        <w:rPr>
          <w:rFonts w:ascii="Times New Roman" w:hAnsi="Times New Roman" w:cs="Times New Roman"/>
        </w:rPr>
        <w:t>Преглед и а</w:t>
      </w:r>
      <w:r w:rsidR="00E75D5A" w:rsidRPr="00226F9D">
        <w:rPr>
          <w:rFonts w:ascii="Times New Roman" w:hAnsi="Times New Roman" w:cs="Times New Roman"/>
        </w:rPr>
        <w:t>нализа</w:t>
      </w:r>
      <w:r w:rsidR="00EC2D47" w:rsidRPr="00226F9D">
        <w:rPr>
          <w:rFonts w:ascii="Times New Roman" w:hAnsi="Times New Roman" w:cs="Times New Roman"/>
        </w:rPr>
        <w:t xml:space="preserve"> постојећег</w:t>
      </w:r>
      <w:r w:rsidR="00E75D5A" w:rsidRPr="00226F9D">
        <w:rPr>
          <w:rFonts w:ascii="Times New Roman" w:hAnsi="Times New Roman" w:cs="Times New Roman"/>
        </w:rPr>
        <w:t xml:space="preserve"> стања</w:t>
      </w:r>
      <w:bookmarkEnd w:id="2"/>
    </w:p>
    <w:p w14:paraId="2831084D" w14:textId="77777777" w:rsidR="003D1657" w:rsidRPr="00226F9D" w:rsidRDefault="003D1657" w:rsidP="003D1657">
      <w:pPr>
        <w:spacing w:after="0" w:line="240" w:lineRule="auto"/>
        <w:jc w:val="both"/>
        <w:rPr>
          <w:rFonts w:ascii="Times New Roman" w:hAnsi="Times New Roman" w:cs="Times New Roman"/>
          <w:lang w:val="sr-Cyrl-RS"/>
        </w:rPr>
      </w:pPr>
    </w:p>
    <w:p w14:paraId="7C184690" w14:textId="77777777" w:rsidR="003D1657" w:rsidRPr="00226F9D" w:rsidRDefault="003D1657" w:rsidP="003D1657">
      <w:pPr>
        <w:spacing w:after="0" w:line="240" w:lineRule="auto"/>
        <w:jc w:val="both"/>
        <w:rPr>
          <w:rFonts w:ascii="Times New Roman" w:hAnsi="Times New Roman" w:cs="Times New Roman"/>
          <w:lang w:val="sr-Cyrl-RS"/>
        </w:rPr>
      </w:pPr>
    </w:p>
    <w:p w14:paraId="6D726171" w14:textId="4DDD50A2" w:rsidR="00E72096" w:rsidRPr="00226F9D" w:rsidRDefault="6245E10D"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Систем локалне самоуправе у Републици Србији </w:t>
      </w:r>
      <w:r w:rsidR="336EBB27" w:rsidRPr="00226F9D">
        <w:rPr>
          <w:rFonts w:ascii="Times New Roman" w:hAnsi="Times New Roman" w:cs="Times New Roman"/>
          <w:lang w:val="sr-Cyrl-RS"/>
        </w:rPr>
        <w:t xml:space="preserve">има веома широк правни оквир који је усклађен и са кључним европским документима, посебно </w:t>
      </w:r>
      <w:r w:rsidR="04559919" w:rsidRPr="00226F9D">
        <w:rPr>
          <w:rFonts w:ascii="Times New Roman" w:hAnsi="Times New Roman" w:cs="Times New Roman"/>
          <w:lang w:val="sr-Cyrl-RS"/>
        </w:rPr>
        <w:t xml:space="preserve">са </w:t>
      </w:r>
      <w:r w:rsidR="336EBB27" w:rsidRPr="00226F9D">
        <w:rPr>
          <w:rFonts w:ascii="Times New Roman" w:hAnsi="Times New Roman" w:cs="Times New Roman"/>
          <w:lang w:val="sr-Cyrl-RS"/>
        </w:rPr>
        <w:t>Европском повељом о локалној самоуправи (</w:t>
      </w:r>
      <w:r w:rsidR="00D82D29" w:rsidRPr="00226F9D">
        <w:rPr>
          <w:rFonts w:ascii="Times New Roman" w:hAnsi="Times New Roman" w:cs="Times New Roman"/>
          <w:lang w:val="sr-Cyrl-RS"/>
        </w:rPr>
        <w:t xml:space="preserve">у даљем тексту: </w:t>
      </w:r>
      <w:r w:rsidR="336EBB27" w:rsidRPr="00226F9D">
        <w:rPr>
          <w:rFonts w:ascii="Times New Roman" w:hAnsi="Times New Roman" w:cs="Times New Roman"/>
          <w:lang w:val="sr-Cyrl-RS"/>
        </w:rPr>
        <w:t>ЕПЛС) коју је Србија ратификовала у већој мери</w:t>
      </w:r>
      <w:r w:rsidR="005E4954" w:rsidRPr="00226F9D">
        <w:rPr>
          <w:rStyle w:val="FootnoteReference"/>
          <w:rFonts w:ascii="Times New Roman" w:hAnsi="Times New Roman" w:cs="Times New Roman"/>
          <w:lang w:val="sr-Cyrl-RS"/>
        </w:rPr>
        <w:footnoteReference w:id="7"/>
      </w:r>
      <w:r w:rsidR="336EBB27" w:rsidRPr="00226F9D">
        <w:rPr>
          <w:rFonts w:ascii="Times New Roman" w:hAnsi="Times New Roman" w:cs="Times New Roman"/>
          <w:lang w:val="sr-Cyrl-RS"/>
        </w:rPr>
        <w:t xml:space="preserve">. </w:t>
      </w:r>
      <w:r w:rsidR="4E76E12B" w:rsidRPr="00226F9D">
        <w:rPr>
          <w:rFonts w:ascii="Times New Roman" w:hAnsi="Times New Roman" w:cs="Times New Roman"/>
          <w:lang w:val="sr-Cyrl-RS"/>
        </w:rPr>
        <w:t>Кључни правни акти који уређују локалну самоуправу у Репу</w:t>
      </w:r>
      <w:r w:rsidR="00923B66">
        <w:rPr>
          <w:rFonts w:ascii="Times New Roman" w:hAnsi="Times New Roman" w:cs="Times New Roman"/>
          <w:lang w:val="sr-Cyrl-RS"/>
        </w:rPr>
        <w:t>блици Србији</w:t>
      </w:r>
      <w:r w:rsidR="4E76E12B" w:rsidRPr="00226F9D">
        <w:rPr>
          <w:rFonts w:ascii="Times New Roman" w:hAnsi="Times New Roman" w:cs="Times New Roman"/>
          <w:lang w:val="sr-Cyrl-RS"/>
        </w:rPr>
        <w:t xml:space="preserve"> су Устав Републике Србије</w:t>
      </w:r>
      <w:r w:rsidR="001355CB" w:rsidRPr="00226F9D">
        <w:rPr>
          <w:rStyle w:val="FootnoteReference"/>
          <w:rFonts w:ascii="Times New Roman" w:hAnsi="Times New Roman" w:cs="Times New Roman"/>
          <w:lang w:val="sr-Cyrl-RS"/>
        </w:rPr>
        <w:footnoteReference w:id="8"/>
      </w:r>
      <w:r w:rsidR="4E76E12B" w:rsidRPr="00226F9D">
        <w:rPr>
          <w:rFonts w:ascii="Times New Roman" w:hAnsi="Times New Roman" w:cs="Times New Roman"/>
          <w:lang w:val="sr-Cyrl-RS"/>
        </w:rPr>
        <w:t xml:space="preserve"> </w:t>
      </w:r>
      <w:bookmarkStart w:id="3" w:name="_ftnref1"/>
      <w:r w:rsidR="4E76E12B" w:rsidRPr="00226F9D">
        <w:rPr>
          <w:rFonts w:ascii="Times New Roman" w:hAnsi="Times New Roman" w:cs="Times New Roman"/>
          <w:lang w:val="sr-Cyrl-RS"/>
        </w:rPr>
        <w:t xml:space="preserve">и </w:t>
      </w:r>
      <w:bookmarkEnd w:id="3"/>
      <w:r w:rsidR="4E76E12B" w:rsidRPr="00226F9D">
        <w:rPr>
          <w:rFonts w:ascii="Times New Roman" w:hAnsi="Times New Roman" w:cs="Times New Roman"/>
          <w:lang w:val="sr-Cyrl-RS"/>
        </w:rPr>
        <w:t>Закон о локалној самоуправи (</w:t>
      </w:r>
      <w:r w:rsidR="00686AF1" w:rsidRPr="00226F9D">
        <w:rPr>
          <w:rFonts w:ascii="Times New Roman" w:hAnsi="Times New Roman" w:cs="Times New Roman"/>
          <w:lang w:val="sr-Cyrl-RS"/>
        </w:rPr>
        <w:t>у даљем тек</w:t>
      </w:r>
      <w:r w:rsidR="00825A3A" w:rsidRPr="00226F9D">
        <w:rPr>
          <w:rFonts w:ascii="Times New Roman" w:hAnsi="Times New Roman" w:cs="Times New Roman"/>
          <w:lang w:val="sr-Cyrl-RS"/>
        </w:rPr>
        <w:t>с</w:t>
      </w:r>
      <w:r w:rsidR="00686AF1" w:rsidRPr="00226F9D">
        <w:rPr>
          <w:rFonts w:ascii="Times New Roman" w:hAnsi="Times New Roman" w:cs="Times New Roman"/>
          <w:lang w:val="sr-Cyrl-RS"/>
        </w:rPr>
        <w:t xml:space="preserve">ту: </w:t>
      </w:r>
      <w:r w:rsidR="4E76E12B" w:rsidRPr="00226F9D">
        <w:rPr>
          <w:rFonts w:ascii="Times New Roman" w:hAnsi="Times New Roman" w:cs="Times New Roman"/>
          <w:lang w:val="sr-Cyrl-RS"/>
        </w:rPr>
        <w:t>ЗЛС)</w:t>
      </w:r>
      <w:r w:rsidR="0066591E" w:rsidRPr="00226F9D">
        <w:rPr>
          <w:rStyle w:val="FootnoteReference"/>
          <w:rFonts w:ascii="Times New Roman" w:hAnsi="Times New Roman" w:cs="Times New Roman"/>
          <w:lang w:val="sr-Cyrl-RS"/>
        </w:rPr>
        <w:footnoteReference w:id="9"/>
      </w:r>
      <w:r w:rsidR="4E76E12B" w:rsidRPr="00226F9D">
        <w:rPr>
          <w:rFonts w:ascii="Times New Roman" w:hAnsi="Times New Roman" w:cs="Times New Roman"/>
          <w:lang w:val="sr-Cyrl-RS"/>
        </w:rPr>
        <w:t>, допуњени низом других закона као што су Закон о локалним изборима</w:t>
      </w:r>
      <w:r w:rsidR="0066591E" w:rsidRPr="00226F9D">
        <w:rPr>
          <w:rStyle w:val="FootnoteReference"/>
          <w:rFonts w:ascii="Times New Roman" w:hAnsi="Times New Roman" w:cs="Times New Roman"/>
          <w:lang w:val="sr-Cyrl-RS"/>
        </w:rPr>
        <w:footnoteReference w:id="10"/>
      </w:r>
      <w:r w:rsidR="4E76E12B" w:rsidRPr="00226F9D">
        <w:rPr>
          <w:rFonts w:ascii="Times New Roman" w:hAnsi="Times New Roman" w:cs="Times New Roman"/>
          <w:lang w:val="sr-Cyrl-RS"/>
        </w:rPr>
        <w:t>, Закон о територијалној организацији Србије</w:t>
      </w:r>
      <w:r w:rsidR="00071EC1" w:rsidRPr="00226F9D">
        <w:rPr>
          <w:rStyle w:val="FootnoteReference"/>
          <w:rFonts w:ascii="Times New Roman" w:hAnsi="Times New Roman" w:cs="Times New Roman"/>
          <w:lang w:val="sr-Cyrl-RS"/>
        </w:rPr>
        <w:footnoteReference w:id="11"/>
      </w:r>
      <w:r w:rsidR="4E76E12B" w:rsidRPr="00226F9D">
        <w:rPr>
          <w:rFonts w:ascii="Times New Roman" w:hAnsi="Times New Roman" w:cs="Times New Roman"/>
          <w:lang w:val="sr-Cyrl-RS"/>
        </w:rPr>
        <w:t>, Закон о финансирању локалне самоуправе (</w:t>
      </w:r>
      <w:r w:rsidR="00686AF1" w:rsidRPr="00226F9D">
        <w:rPr>
          <w:rFonts w:ascii="Times New Roman" w:hAnsi="Times New Roman" w:cs="Times New Roman"/>
          <w:lang w:val="sr-Cyrl-RS"/>
        </w:rPr>
        <w:t xml:space="preserve">у даљем тексту: </w:t>
      </w:r>
      <w:r w:rsidR="4E76E12B" w:rsidRPr="00226F9D">
        <w:rPr>
          <w:rFonts w:ascii="Times New Roman" w:hAnsi="Times New Roman" w:cs="Times New Roman"/>
          <w:lang w:val="sr-Cyrl-RS"/>
        </w:rPr>
        <w:t>ЗОФЛ</w:t>
      </w:r>
      <w:r w:rsidR="277A1679" w:rsidRPr="00226F9D">
        <w:rPr>
          <w:rFonts w:ascii="Times New Roman" w:hAnsi="Times New Roman" w:cs="Times New Roman"/>
          <w:lang w:val="sr-Cyrl-RS"/>
        </w:rPr>
        <w:t>С</w:t>
      </w:r>
      <w:r w:rsidR="4E76E12B" w:rsidRPr="00226F9D">
        <w:rPr>
          <w:rFonts w:ascii="Times New Roman" w:hAnsi="Times New Roman" w:cs="Times New Roman"/>
          <w:lang w:val="sr-Cyrl-RS"/>
        </w:rPr>
        <w:t>)</w:t>
      </w:r>
      <w:r w:rsidR="00DD0B3D" w:rsidRPr="00226F9D">
        <w:rPr>
          <w:rStyle w:val="FootnoteReference"/>
          <w:rFonts w:ascii="Times New Roman" w:hAnsi="Times New Roman" w:cs="Times New Roman"/>
          <w:lang w:val="sr-Cyrl-RS"/>
        </w:rPr>
        <w:footnoteReference w:id="12"/>
      </w:r>
      <w:r w:rsidR="009456A5" w:rsidRPr="00226F9D">
        <w:rPr>
          <w:rFonts w:ascii="Times New Roman" w:hAnsi="Times New Roman" w:cs="Times New Roman"/>
          <w:lang w:val="sr-Cyrl-RS"/>
        </w:rPr>
        <w:t>,</w:t>
      </w:r>
      <w:r w:rsidR="004E6695" w:rsidRPr="00226F9D">
        <w:rPr>
          <w:rFonts w:ascii="Times New Roman" w:hAnsi="Times New Roman" w:cs="Times New Roman"/>
          <w:lang w:val="sr-Cyrl-RS"/>
        </w:rPr>
        <w:t xml:space="preserve"> </w:t>
      </w:r>
      <w:r w:rsidR="4E76E12B" w:rsidRPr="00226F9D">
        <w:rPr>
          <w:rFonts w:ascii="Times New Roman" w:hAnsi="Times New Roman" w:cs="Times New Roman"/>
          <w:lang w:val="sr-Cyrl-RS"/>
        </w:rPr>
        <w:t>Закон о референдуму и народној иницијативи</w:t>
      </w:r>
      <w:r w:rsidR="00857754" w:rsidRPr="00226F9D">
        <w:rPr>
          <w:rStyle w:val="FootnoteReference"/>
          <w:rFonts w:ascii="Times New Roman" w:hAnsi="Times New Roman" w:cs="Times New Roman"/>
          <w:lang w:val="sr-Cyrl-RS"/>
        </w:rPr>
        <w:footnoteReference w:id="13"/>
      </w:r>
      <w:r w:rsidR="4E76E12B" w:rsidRPr="00226F9D">
        <w:rPr>
          <w:rFonts w:ascii="Times New Roman" w:hAnsi="Times New Roman" w:cs="Times New Roman"/>
          <w:lang w:val="sr-Cyrl-RS"/>
        </w:rPr>
        <w:t>, Закон о главном граду</w:t>
      </w:r>
      <w:r w:rsidR="00CA79C1" w:rsidRPr="00226F9D">
        <w:rPr>
          <w:rStyle w:val="FootnoteReference"/>
          <w:rFonts w:ascii="Times New Roman" w:hAnsi="Times New Roman" w:cs="Times New Roman"/>
          <w:lang w:val="sr-Cyrl-RS"/>
        </w:rPr>
        <w:footnoteReference w:id="14"/>
      </w:r>
      <w:r w:rsidR="4E76E12B" w:rsidRPr="00226F9D">
        <w:rPr>
          <w:rFonts w:ascii="Times New Roman" w:hAnsi="Times New Roman" w:cs="Times New Roman"/>
          <w:lang w:val="sr-Cyrl-RS"/>
        </w:rPr>
        <w:t xml:space="preserve"> или Закон о запосленима у аутономним покрајинама и јединицама локалне самоуправе</w:t>
      </w:r>
      <w:r w:rsidR="00CA79C1" w:rsidRPr="00226F9D">
        <w:rPr>
          <w:rStyle w:val="FootnoteReference"/>
          <w:rFonts w:ascii="Times New Roman" w:hAnsi="Times New Roman" w:cs="Times New Roman"/>
          <w:lang w:val="sr-Cyrl-RS"/>
        </w:rPr>
        <w:footnoteReference w:id="15"/>
      </w:r>
      <w:r w:rsidR="4E76E12B" w:rsidRPr="00226F9D">
        <w:rPr>
          <w:rFonts w:ascii="Times New Roman" w:hAnsi="Times New Roman" w:cs="Times New Roman"/>
          <w:lang w:val="sr-Cyrl-RS"/>
        </w:rPr>
        <w:t xml:space="preserve">. </w:t>
      </w:r>
      <w:r w:rsidR="409988F9" w:rsidRPr="00226F9D">
        <w:rPr>
          <w:rFonts w:ascii="Times New Roman" w:hAnsi="Times New Roman" w:cs="Times New Roman"/>
          <w:lang w:val="sr-Cyrl-RS"/>
        </w:rPr>
        <w:t>Секторска питања</w:t>
      </w:r>
      <w:r w:rsidR="6143A85F" w:rsidRPr="00226F9D">
        <w:rPr>
          <w:rFonts w:ascii="Times New Roman" w:hAnsi="Times New Roman" w:cs="Times New Roman"/>
          <w:lang w:val="sr-Cyrl-RS"/>
        </w:rPr>
        <w:t>,</w:t>
      </w:r>
      <w:r w:rsidR="409988F9" w:rsidRPr="00226F9D">
        <w:rPr>
          <w:rFonts w:ascii="Times New Roman" w:hAnsi="Times New Roman" w:cs="Times New Roman"/>
          <w:lang w:val="sr-Cyrl-RS"/>
        </w:rPr>
        <w:t xml:space="preserve"> односно првенствено остваривање надлежности и одговорности локалне самоуправе за поједине друштвено економске области, уређена су секторским прописима</w:t>
      </w:r>
      <w:r w:rsidR="00E72096" w:rsidRPr="00226F9D">
        <w:rPr>
          <w:rStyle w:val="FootnoteReference"/>
          <w:rFonts w:ascii="Times New Roman" w:hAnsi="Times New Roman" w:cs="Times New Roman"/>
          <w:lang w:val="sr-Cyrl-RS"/>
        </w:rPr>
        <w:footnoteReference w:id="16"/>
      </w:r>
      <w:r w:rsidR="40F99E09" w:rsidRPr="00226F9D">
        <w:rPr>
          <w:rFonts w:ascii="Times New Roman" w:hAnsi="Times New Roman" w:cs="Times New Roman"/>
          <w:lang w:val="sr-Cyrl-RS"/>
        </w:rPr>
        <w:t>.</w:t>
      </w:r>
    </w:p>
    <w:p w14:paraId="5EAD3D84" w14:textId="77777777" w:rsidR="00E72096" w:rsidRPr="00226F9D" w:rsidRDefault="00E72096" w:rsidP="006B59F4">
      <w:pPr>
        <w:spacing w:after="0" w:line="240" w:lineRule="auto"/>
        <w:jc w:val="both"/>
        <w:rPr>
          <w:rFonts w:ascii="Times New Roman" w:hAnsi="Times New Roman" w:cs="Times New Roman"/>
          <w:lang w:val="sr-Cyrl-RS"/>
        </w:rPr>
      </w:pPr>
    </w:p>
    <w:p w14:paraId="4BE92DE9" w14:textId="087CD2A5" w:rsidR="00A66116" w:rsidRPr="00226F9D" w:rsidRDefault="00A66116"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Кључни европски документ за област локалне самоуправе је Европска повеља о локалној самоуправи из 1985. године</w:t>
      </w:r>
      <w:r w:rsidR="003A4565" w:rsidRPr="00226F9D">
        <w:rPr>
          <w:rFonts w:ascii="Times New Roman" w:hAnsi="Times New Roman" w:cs="Times New Roman"/>
          <w:lang w:val="sr-Latn-RS"/>
        </w:rPr>
        <w:t xml:space="preserve"> </w:t>
      </w:r>
      <w:r w:rsidR="003A4565" w:rsidRPr="00226F9D">
        <w:rPr>
          <w:rFonts w:ascii="Times New Roman" w:hAnsi="Times New Roman" w:cs="Times New Roman"/>
          <w:lang w:val="sr-Cyrl-RS"/>
        </w:rPr>
        <w:t>коју је Република Србија ратификовала 2007.</w:t>
      </w:r>
      <w:r w:rsidR="00EC2D47" w:rsidRPr="00226F9D">
        <w:rPr>
          <w:rFonts w:ascii="Times New Roman" w:hAnsi="Times New Roman" w:cs="Times New Roman"/>
          <w:lang w:val="sr-Cyrl-RS"/>
        </w:rPr>
        <w:t xml:space="preserve"> </w:t>
      </w:r>
      <w:r w:rsidR="003A4565" w:rsidRPr="00226F9D">
        <w:rPr>
          <w:rFonts w:ascii="Times New Roman" w:hAnsi="Times New Roman" w:cs="Times New Roman"/>
          <w:lang w:val="sr-Cyrl-RS"/>
        </w:rPr>
        <w:t>године</w:t>
      </w:r>
      <w:r w:rsidR="006702A7" w:rsidRPr="00226F9D">
        <w:rPr>
          <w:rStyle w:val="FootnoteReference"/>
          <w:rFonts w:ascii="Times New Roman" w:hAnsi="Times New Roman" w:cs="Times New Roman"/>
          <w:lang w:val="sr-Cyrl-RS"/>
        </w:rPr>
        <w:footnoteReference w:id="17"/>
      </w:r>
      <w:r w:rsidRPr="00226F9D">
        <w:rPr>
          <w:rFonts w:ascii="Times New Roman" w:hAnsi="Times New Roman" w:cs="Times New Roman"/>
          <w:lang w:val="sr-Cyrl-RS"/>
        </w:rPr>
        <w:t>, као међународни уговор који утврђује начела у вези са положајем и организацијом локалне самоуправе. Она је 20</w:t>
      </w:r>
      <w:r w:rsidR="00F00604" w:rsidRPr="00226F9D">
        <w:rPr>
          <w:rFonts w:ascii="Times New Roman" w:hAnsi="Times New Roman" w:cs="Times New Roman"/>
          <w:lang w:val="sr-Cyrl-RS"/>
        </w:rPr>
        <w:t>18</w:t>
      </w:r>
      <w:r w:rsidRPr="00226F9D">
        <w:rPr>
          <w:rFonts w:ascii="Times New Roman" w:hAnsi="Times New Roman" w:cs="Times New Roman"/>
          <w:lang w:val="sr-Cyrl-RS"/>
        </w:rPr>
        <w:t>. године допуњена Додатним протоколом о праву на учешће у пословима локалних власти</w:t>
      </w:r>
      <w:r w:rsidR="009001FB" w:rsidRPr="00226F9D">
        <w:rPr>
          <w:rStyle w:val="FootnoteReference"/>
          <w:rFonts w:ascii="Times New Roman" w:hAnsi="Times New Roman" w:cs="Times New Roman"/>
          <w:lang w:val="sr-Cyrl-RS"/>
        </w:rPr>
        <w:footnoteReference w:id="18"/>
      </w:r>
      <w:r w:rsidRPr="00226F9D">
        <w:rPr>
          <w:rFonts w:ascii="Times New Roman" w:hAnsi="Times New Roman" w:cs="Times New Roman"/>
          <w:lang w:val="sr-Cyrl-RS"/>
        </w:rPr>
        <w:t xml:space="preserve">. </w:t>
      </w:r>
      <w:r w:rsidR="003A4565" w:rsidRPr="00226F9D">
        <w:rPr>
          <w:rFonts w:ascii="Times New Roman" w:hAnsi="Times New Roman" w:cs="Times New Roman"/>
          <w:lang w:val="sr-Cyrl-RS"/>
        </w:rPr>
        <w:t>Крајем 2025. године извршена је и ратификациј</w:t>
      </w:r>
      <w:r w:rsidR="10BC65E9" w:rsidRPr="00226F9D">
        <w:rPr>
          <w:rFonts w:ascii="Times New Roman" w:hAnsi="Times New Roman" w:cs="Times New Roman"/>
          <w:lang w:val="sr-Cyrl-RS"/>
        </w:rPr>
        <w:t>а</w:t>
      </w:r>
      <w:r w:rsidR="003A4565" w:rsidRPr="00226F9D">
        <w:rPr>
          <w:rFonts w:ascii="Times New Roman" w:hAnsi="Times New Roman" w:cs="Times New Roman"/>
          <w:lang w:val="sr-Cyrl-RS"/>
        </w:rPr>
        <w:t xml:space="preserve"> још три одредбе Европске повеље о локалној самоуправи, након које се Република Србија обавезала на примену 27 од 30 одредби из овог документа</w:t>
      </w:r>
      <w:r w:rsidR="00A66A8A" w:rsidRPr="00226F9D">
        <w:rPr>
          <w:rStyle w:val="FootnoteReference"/>
          <w:rFonts w:ascii="Times New Roman" w:hAnsi="Times New Roman" w:cs="Times New Roman"/>
          <w:lang w:val="sr-Cyrl-RS"/>
        </w:rPr>
        <w:footnoteReference w:id="19"/>
      </w:r>
      <w:r w:rsidR="003A4565" w:rsidRPr="00226F9D">
        <w:rPr>
          <w:rFonts w:ascii="Times New Roman" w:hAnsi="Times New Roman" w:cs="Times New Roman"/>
          <w:lang w:val="sr-Cyrl-RS"/>
        </w:rPr>
        <w:t xml:space="preserve">. </w:t>
      </w:r>
      <w:r w:rsidRPr="00226F9D">
        <w:rPr>
          <w:rFonts w:ascii="Times New Roman" w:hAnsi="Times New Roman" w:cs="Times New Roman"/>
          <w:lang w:val="sr-Cyrl-RS"/>
        </w:rPr>
        <w:t>Непосредно на локалну самоуправу односи се и Европска оквирна конвенција о прекограничној сарадњи између територијалних заједница или власти из 1980. године</w:t>
      </w:r>
      <w:r w:rsidR="00AC7816" w:rsidRPr="00226F9D">
        <w:rPr>
          <w:rStyle w:val="FootnoteReference"/>
          <w:rFonts w:ascii="Times New Roman" w:hAnsi="Times New Roman" w:cs="Times New Roman"/>
          <w:lang w:val="sr-Cyrl-RS"/>
        </w:rPr>
        <w:footnoteReference w:id="20"/>
      </w:r>
      <w:r w:rsidRPr="00226F9D">
        <w:rPr>
          <w:rFonts w:ascii="Times New Roman" w:hAnsi="Times New Roman" w:cs="Times New Roman"/>
          <w:lang w:val="sr-Cyrl-RS"/>
        </w:rPr>
        <w:t>. Важан документ представља и Етички кодекс локалних функционера који је 2019. године усвојила Скупштина СКГО да помогне да локални функционери обављају своје дужности у локалној самоуправи</w:t>
      </w:r>
      <w:r w:rsidR="00CF0FF8" w:rsidRPr="00226F9D">
        <w:rPr>
          <w:rFonts w:ascii="Times New Roman" w:hAnsi="Times New Roman" w:cs="Times New Roman"/>
          <w:lang w:val="sr-Cyrl-RS"/>
        </w:rPr>
        <w:t xml:space="preserve"> </w:t>
      </w:r>
      <w:r w:rsidR="005C764E" w:rsidRPr="00226F9D">
        <w:rPr>
          <w:rFonts w:ascii="Times New Roman" w:hAnsi="Times New Roman" w:cs="Times New Roman"/>
          <w:lang w:val="sr-Cyrl-RS"/>
        </w:rPr>
        <w:t>на што квалитетнији начин</w:t>
      </w:r>
      <w:r w:rsidRPr="00226F9D">
        <w:rPr>
          <w:rFonts w:ascii="Times New Roman" w:hAnsi="Times New Roman" w:cs="Times New Roman"/>
          <w:lang w:val="sr-Cyrl-RS"/>
        </w:rPr>
        <w:t>.</w:t>
      </w:r>
    </w:p>
    <w:p w14:paraId="1F2CC921" w14:textId="77777777" w:rsidR="00AA132D" w:rsidRPr="00226F9D" w:rsidRDefault="00AA132D" w:rsidP="006B59F4">
      <w:pPr>
        <w:spacing w:after="0" w:line="240" w:lineRule="auto"/>
        <w:jc w:val="both"/>
        <w:rPr>
          <w:rFonts w:ascii="Times New Roman" w:hAnsi="Times New Roman" w:cs="Times New Roman"/>
          <w:lang w:val="sr-Cyrl-RS"/>
        </w:rPr>
      </w:pPr>
    </w:p>
    <w:p w14:paraId="4E4EFB0B" w14:textId="4A7D1EC7" w:rsidR="00A66116" w:rsidRPr="00226F9D" w:rsidRDefault="151921E9"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lastRenderedPageBreak/>
        <w:t xml:space="preserve">Упоредна пракса </w:t>
      </w:r>
      <w:r w:rsidR="47404B74" w:rsidRPr="00226F9D">
        <w:rPr>
          <w:rFonts w:ascii="Times New Roman" w:hAnsi="Times New Roman" w:cs="Times New Roman"/>
          <w:lang w:val="sr-Cyrl-RS"/>
        </w:rPr>
        <w:t>примене</w:t>
      </w:r>
      <w:r w:rsidRPr="00226F9D">
        <w:rPr>
          <w:rFonts w:ascii="Times New Roman" w:hAnsi="Times New Roman" w:cs="Times New Roman"/>
          <w:lang w:val="sr-Cyrl-RS"/>
        </w:rPr>
        <w:t xml:space="preserve"> ЕПЛС указује да </w:t>
      </w:r>
      <w:r w:rsidR="1CC7F2D6" w:rsidRPr="00226F9D">
        <w:rPr>
          <w:rFonts w:ascii="Times New Roman" w:hAnsi="Times New Roman" w:cs="Times New Roman"/>
          <w:lang w:val="sr-Cyrl-RS"/>
        </w:rPr>
        <w:t xml:space="preserve">је половине земаља Европе прихватила у целини примену ове Повеље. </w:t>
      </w:r>
      <w:r w:rsidR="63FC8572" w:rsidRPr="00226F9D">
        <w:rPr>
          <w:rFonts w:ascii="Times New Roman" w:hAnsi="Times New Roman" w:cs="Times New Roman"/>
          <w:lang w:val="sr-Cyrl-RS"/>
        </w:rPr>
        <w:t xml:space="preserve">Што се тиче </w:t>
      </w:r>
      <w:r w:rsidRPr="00226F9D">
        <w:rPr>
          <w:rFonts w:ascii="Times New Roman" w:hAnsi="Times New Roman" w:cs="Times New Roman"/>
          <w:lang w:val="sr-Cyrl-RS"/>
        </w:rPr>
        <w:t>зем</w:t>
      </w:r>
      <w:r w:rsidR="63FC8572" w:rsidRPr="00226F9D">
        <w:rPr>
          <w:rFonts w:ascii="Times New Roman" w:hAnsi="Times New Roman" w:cs="Times New Roman"/>
          <w:lang w:val="sr-Cyrl-RS"/>
        </w:rPr>
        <w:t>аља</w:t>
      </w:r>
      <w:r w:rsidRPr="00226F9D">
        <w:rPr>
          <w:rFonts w:ascii="Times New Roman" w:hAnsi="Times New Roman" w:cs="Times New Roman"/>
          <w:lang w:val="sr-Cyrl-RS"/>
        </w:rPr>
        <w:t xml:space="preserve"> региона </w:t>
      </w:r>
      <w:r w:rsidR="1019F2B9" w:rsidRPr="00226F9D">
        <w:rPr>
          <w:rFonts w:ascii="Times New Roman" w:hAnsi="Times New Roman" w:cs="Times New Roman"/>
          <w:lang w:val="sr-Cyrl-RS"/>
        </w:rPr>
        <w:t xml:space="preserve">Албанија, Босна и Херцеговина, </w:t>
      </w:r>
      <w:r w:rsidR="1AB3918A" w:rsidRPr="00226F9D">
        <w:rPr>
          <w:rFonts w:ascii="Times New Roman" w:hAnsi="Times New Roman" w:cs="Times New Roman"/>
          <w:lang w:val="sr-Cyrl-RS"/>
        </w:rPr>
        <w:t xml:space="preserve">Бугарска, </w:t>
      </w:r>
      <w:r w:rsidR="1019F2B9" w:rsidRPr="00226F9D">
        <w:rPr>
          <w:rFonts w:ascii="Times New Roman" w:hAnsi="Times New Roman" w:cs="Times New Roman"/>
          <w:lang w:val="sr-Cyrl-RS"/>
        </w:rPr>
        <w:t>Северна Македонија</w:t>
      </w:r>
      <w:r w:rsidR="31CDEB47" w:rsidRPr="00226F9D">
        <w:rPr>
          <w:rFonts w:ascii="Times New Roman" w:hAnsi="Times New Roman" w:cs="Times New Roman"/>
          <w:lang w:val="sr-Cyrl-RS"/>
        </w:rPr>
        <w:t>, Словенија</w:t>
      </w:r>
      <w:r w:rsidR="1019F2B9" w:rsidRPr="00226F9D">
        <w:rPr>
          <w:rFonts w:ascii="Times New Roman" w:hAnsi="Times New Roman" w:cs="Times New Roman"/>
          <w:lang w:val="sr-Cyrl-RS"/>
        </w:rPr>
        <w:t xml:space="preserve"> и Румунија прихватиле су св</w:t>
      </w:r>
      <w:r w:rsidR="7138711A" w:rsidRPr="00226F9D">
        <w:rPr>
          <w:rFonts w:ascii="Times New Roman" w:hAnsi="Times New Roman" w:cs="Times New Roman"/>
          <w:lang w:val="sr-Cyrl-RS"/>
        </w:rPr>
        <w:t xml:space="preserve">их 30 </w:t>
      </w:r>
      <w:r w:rsidR="1019F2B9" w:rsidRPr="00226F9D">
        <w:rPr>
          <w:rFonts w:ascii="Times New Roman" w:hAnsi="Times New Roman" w:cs="Times New Roman"/>
          <w:lang w:val="sr-Cyrl-RS"/>
        </w:rPr>
        <w:t>одредб</w:t>
      </w:r>
      <w:r w:rsidR="7138711A" w:rsidRPr="00226F9D">
        <w:rPr>
          <w:rFonts w:ascii="Times New Roman" w:hAnsi="Times New Roman" w:cs="Times New Roman"/>
          <w:lang w:val="sr-Cyrl-RS"/>
        </w:rPr>
        <w:t>и</w:t>
      </w:r>
      <w:r w:rsidR="1019F2B9" w:rsidRPr="00226F9D">
        <w:rPr>
          <w:rFonts w:ascii="Times New Roman" w:hAnsi="Times New Roman" w:cs="Times New Roman"/>
          <w:lang w:val="sr-Cyrl-RS"/>
        </w:rPr>
        <w:t xml:space="preserve"> ЕПЛС док </w:t>
      </w:r>
      <w:r w:rsidR="2E09BB9F" w:rsidRPr="00226F9D">
        <w:rPr>
          <w:rFonts w:ascii="Times New Roman" w:hAnsi="Times New Roman" w:cs="Times New Roman"/>
          <w:lang w:val="sr-Cyrl-RS"/>
        </w:rPr>
        <w:t>је Хрватска прихватила 29</w:t>
      </w:r>
      <w:r w:rsidR="3B88177C" w:rsidRPr="00226F9D">
        <w:rPr>
          <w:rFonts w:ascii="Times New Roman" w:hAnsi="Times New Roman" w:cs="Times New Roman"/>
          <w:lang w:val="sr-Cyrl-RS"/>
        </w:rPr>
        <w:t>,</w:t>
      </w:r>
      <w:r w:rsidR="2E09BB9F" w:rsidRPr="00226F9D">
        <w:rPr>
          <w:rFonts w:ascii="Times New Roman" w:hAnsi="Times New Roman" w:cs="Times New Roman"/>
          <w:lang w:val="sr-Cyrl-RS"/>
        </w:rPr>
        <w:t xml:space="preserve"> а </w:t>
      </w:r>
      <w:r w:rsidR="1019F2B9" w:rsidRPr="00226F9D">
        <w:rPr>
          <w:rFonts w:ascii="Times New Roman" w:hAnsi="Times New Roman" w:cs="Times New Roman"/>
          <w:lang w:val="sr-Cyrl-RS"/>
        </w:rPr>
        <w:t xml:space="preserve">Црна Гора 24 одредбе </w:t>
      </w:r>
      <w:r w:rsidR="2E09BB9F" w:rsidRPr="00226F9D">
        <w:rPr>
          <w:rFonts w:ascii="Times New Roman" w:hAnsi="Times New Roman" w:cs="Times New Roman"/>
          <w:lang w:val="sr-Cyrl-RS"/>
        </w:rPr>
        <w:t>овог документа</w:t>
      </w:r>
      <w:r w:rsidR="3BD19702" w:rsidRPr="00226F9D">
        <w:rPr>
          <w:rFonts w:ascii="Times New Roman" w:hAnsi="Times New Roman" w:cs="Times New Roman"/>
          <w:lang w:val="sr-Cyrl-RS"/>
        </w:rPr>
        <w:t>.</w:t>
      </w:r>
      <w:r w:rsidRPr="00226F9D">
        <w:rPr>
          <w:rStyle w:val="FootnoteReference"/>
          <w:rFonts w:ascii="Times New Roman" w:hAnsi="Times New Roman" w:cs="Times New Roman"/>
          <w:lang w:val="sr-Cyrl-RS"/>
        </w:rPr>
        <w:footnoteReference w:id="21"/>
      </w:r>
    </w:p>
    <w:p w14:paraId="4CB96F80" w14:textId="63969A7C" w:rsidR="00CC4DEF" w:rsidRPr="00226F9D" w:rsidRDefault="6245E10D" w:rsidP="00AB3CF3">
      <w:pPr>
        <w:pStyle w:val="pf0"/>
        <w:jc w:val="both"/>
        <w:rPr>
          <w:lang w:val="sr-Cyrl-RS"/>
        </w:rPr>
      </w:pPr>
      <w:r w:rsidRPr="00226F9D">
        <w:rPr>
          <w:lang w:val="sr-Cyrl-RS"/>
        </w:rPr>
        <w:t xml:space="preserve">Уставом </w:t>
      </w:r>
      <w:r w:rsidR="511F1C24" w:rsidRPr="00226F9D">
        <w:rPr>
          <w:lang w:val="sr-Cyrl-RS"/>
        </w:rPr>
        <w:t>Републике Србије</w:t>
      </w:r>
      <w:r w:rsidRPr="00226F9D">
        <w:rPr>
          <w:lang w:val="sr-Cyrl-RS"/>
        </w:rPr>
        <w:t xml:space="preserve"> је дефинисана основна структура и надлежности локалн</w:t>
      </w:r>
      <w:r w:rsidR="2D9E3CD7" w:rsidRPr="00226F9D">
        <w:rPr>
          <w:lang w:val="sr-Cyrl-RS"/>
        </w:rPr>
        <w:t>е</w:t>
      </w:r>
      <w:r w:rsidRPr="00226F9D">
        <w:rPr>
          <w:lang w:val="sr-Cyrl-RS"/>
        </w:rPr>
        <w:t xml:space="preserve"> самоуправ</w:t>
      </w:r>
      <w:r w:rsidR="2D9E3CD7" w:rsidRPr="00226F9D">
        <w:rPr>
          <w:lang w:val="sr-Cyrl-RS"/>
        </w:rPr>
        <w:t>е</w:t>
      </w:r>
      <w:r w:rsidRPr="00226F9D">
        <w:rPr>
          <w:lang w:val="sr-Cyrl-RS"/>
        </w:rPr>
        <w:t>, као и аутономија</w:t>
      </w:r>
      <w:r w:rsidR="2D9E3CD7" w:rsidRPr="00226F9D">
        <w:rPr>
          <w:lang w:val="sr-Cyrl-RS"/>
        </w:rPr>
        <w:t xml:space="preserve"> ЈЛС</w:t>
      </w:r>
      <w:r w:rsidRPr="00226F9D">
        <w:rPr>
          <w:lang w:val="sr-Cyrl-RS"/>
        </w:rPr>
        <w:t xml:space="preserve"> у креирању унутрашње организације и управљању. Локална самоуправа у Србији организована је као једностепени систем са основним јединицама које </w:t>
      </w:r>
      <w:r w:rsidR="47594662" w:rsidRPr="00226F9D">
        <w:rPr>
          <w:lang w:val="sr-Cyrl-RS"/>
        </w:rPr>
        <w:t>чине</w:t>
      </w:r>
      <w:r w:rsidRPr="00226F9D">
        <w:rPr>
          <w:lang w:val="sr-Cyrl-RS"/>
        </w:rPr>
        <w:t xml:space="preserve"> општине и градови. Градови и општине су институционално веома слични, уз минималне разлике.</w:t>
      </w:r>
      <w:r w:rsidR="6E91CA36" w:rsidRPr="00226F9D">
        <w:rPr>
          <w:lang w:val="sr-Latn-RS"/>
        </w:rPr>
        <w:t xml:space="preserve"> </w:t>
      </w:r>
      <w:r w:rsidR="0BC53D1F" w:rsidRPr="00226F9D">
        <w:rPr>
          <w:lang w:val="sr-Cyrl-RS"/>
        </w:rPr>
        <w:t xml:space="preserve">На територији </w:t>
      </w:r>
      <w:r w:rsidR="1463E7EE" w:rsidRPr="00226F9D">
        <w:rPr>
          <w:lang w:val="sr-Cyrl-RS"/>
        </w:rPr>
        <w:t>г</w:t>
      </w:r>
      <w:r w:rsidR="0BC53D1F" w:rsidRPr="00226F9D">
        <w:rPr>
          <w:lang w:val="sr-Cyrl-RS"/>
        </w:rPr>
        <w:t>рада</w:t>
      </w:r>
      <w:r w:rsidR="1D3F9063" w:rsidRPr="00226F9D">
        <w:rPr>
          <w:lang w:val="sr-Cyrl-RS"/>
        </w:rPr>
        <w:t xml:space="preserve"> као јединице локалне самоуправе</w:t>
      </w:r>
      <w:r w:rsidR="1463E7EE" w:rsidRPr="00226F9D">
        <w:rPr>
          <w:lang w:val="sr-Cyrl-RS"/>
        </w:rPr>
        <w:t xml:space="preserve">, у складу са </w:t>
      </w:r>
      <w:r w:rsidR="7705CBD1" w:rsidRPr="00226F9D">
        <w:rPr>
          <w:lang w:val="sr-Cyrl-RS"/>
        </w:rPr>
        <w:t xml:space="preserve">законом и </w:t>
      </w:r>
      <w:r w:rsidR="1463E7EE" w:rsidRPr="00226F9D">
        <w:rPr>
          <w:lang w:val="sr-Cyrl-RS"/>
        </w:rPr>
        <w:t>статутом,</w:t>
      </w:r>
      <w:r w:rsidR="0BC53D1F" w:rsidRPr="00226F9D">
        <w:rPr>
          <w:lang w:val="sr-Cyrl-RS"/>
        </w:rPr>
        <w:t xml:space="preserve"> могу се образовати градске општине које град успоставља у циљу ближег и директнијег пружања локалних услуга, односно ефикаснијег и економичнијег обављања одређених надлежности града.</w:t>
      </w:r>
      <w:r w:rsidR="7705CBD1" w:rsidRPr="00226F9D">
        <w:rPr>
          <w:lang w:val="sr-Cyrl-RS"/>
        </w:rPr>
        <w:t xml:space="preserve"> </w:t>
      </w:r>
      <w:r w:rsidR="45BC0A86" w:rsidRPr="00226F9D">
        <w:rPr>
          <w:lang w:val="sr-Cyrl-RS"/>
        </w:rPr>
        <w:t>Град Београд има статус посебне јединице</w:t>
      </w:r>
      <w:r w:rsidR="3804DF4E" w:rsidRPr="00226F9D">
        <w:rPr>
          <w:lang w:val="sr-Cyrl-RS"/>
        </w:rPr>
        <w:t xml:space="preserve"> локалне самоуправе</w:t>
      </w:r>
      <w:r w:rsidR="45BC0A86" w:rsidRPr="00226F9D">
        <w:rPr>
          <w:lang w:val="sr-Cyrl-RS"/>
        </w:rPr>
        <w:t xml:space="preserve"> и он обавља надлежности општине и града утврђене Уставом и Законом, али и послове наведене у Закону о главном граду</w:t>
      </w:r>
      <w:r w:rsidR="0E9C953E" w:rsidRPr="00226F9D">
        <w:rPr>
          <w:lang w:val="sr-Cyrl-RS"/>
        </w:rPr>
        <w:t>.</w:t>
      </w:r>
      <w:r w:rsidR="008F1565" w:rsidRPr="00226F9D">
        <w:rPr>
          <w:rStyle w:val="FootnoteReference"/>
          <w:lang w:val="sr-Cyrl-RS"/>
        </w:rPr>
        <w:footnoteReference w:id="22"/>
      </w:r>
      <w:r w:rsidR="45BC0A86" w:rsidRPr="00226F9D">
        <w:rPr>
          <w:rStyle w:val="FootnoteReference"/>
          <w:lang w:val="sr-Cyrl-RS"/>
        </w:rPr>
        <w:t xml:space="preserve"> </w:t>
      </w:r>
    </w:p>
    <w:p w14:paraId="37E1DD03" w14:textId="3F5FF33A" w:rsidR="000257F8" w:rsidRPr="00226F9D" w:rsidRDefault="000257F8"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Општине чине основну територијалну јединицу са најмање 10.000 становника, док су градови дефинисани као веће територијалне заједнице, које представљају економске, административне и културне центре са више од 100.000 становника</w:t>
      </w:r>
      <w:r w:rsidR="00FB6B6F" w:rsidRPr="00226F9D">
        <w:rPr>
          <w:rFonts w:ascii="Times New Roman" w:hAnsi="Times New Roman" w:cs="Times New Roman"/>
          <w:lang w:val="sr-Latn-RS"/>
        </w:rPr>
        <w:t xml:space="preserve"> (</w:t>
      </w:r>
      <w:r w:rsidR="00FB6B6F" w:rsidRPr="00226F9D">
        <w:rPr>
          <w:rFonts w:ascii="Times New Roman" w:hAnsi="Times New Roman" w:cs="Times New Roman"/>
          <w:lang w:val="sr-Cyrl-RS"/>
        </w:rPr>
        <w:t>услед других критеријума</w:t>
      </w:r>
      <w:r w:rsidR="000132C1" w:rsidRPr="00226F9D">
        <w:rPr>
          <w:rFonts w:ascii="Times New Roman" w:hAnsi="Times New Roman" w:cs="Times New Roman"/>
          <w:lang w:val="sr-Cyrl-RS"/>
        </w:rPr>
        <w:t>,</w:t>
      </w:r>
      <w:r w:rsidR="00FB6B6F" w:rsidRPr="00226F9D">
        <w:rPr>
          <w:rFonts w:ascii="Times New Roman" w:hAnsi="Times New Roman" w:cs="Times New Roman"/>
          <w:lang w:val="sr-Cyrl-RS"/>
        </w:rPr>
        <w:t xml:space="preserve"> један број </w:t>
      </w:r>
      <w:r w:rsidR="002E1ABF" w:rsidRPr="00226F9D">
        <w:rPr>
          <w:rFonts w:ascii="Times New Roman" w:hAnsi="Times New Roman" w:cs="Times New Roman"/>
          <w:lang w:val="sr-Cyrl-RS"/>
        </w:rPr>
        <w:t xml:space="preserve">ЈЛС </w:t>
      </w:r>
      <w:r w:rsidR="00564172" w:rsidRPr="00226F9D">
        <w:rPr>
          <w:rFonts w:ascii="Times New Roman" w:hAnsi="Times New Roman" w:cs="Times New Roman"/>
          <w:lang w:val="sr-Cyrl-RS"/>
        </w:rPr>
        <w:t xml:space="preserve">са </w:t>
      </w:r>
      <w:r w:rsidR="001E7493" w:rsidRPr="00226F9D">
        <w:rPr>
          <w:rFonts w:ascii="Times New Roman" w:hAnsi="Times New Roman" w:cs="Times New Roman"/>
          <w:lang w:val="sr-Cyrl-RS"/>
        </w:rPr>
        <w:t>мањи</w:t>
      </w:r>
      <w:r w:rsidR="00564172" w:rsidRPr="00226F9D">
        <w:rPr>
          <w:rFonts w:ascii="Times New Roman" w:hAnsi="Times New Roman" w:cs="Times New Roman"/>
          <w:lang w:val="sr-Cyrl-RS"/>
        </w:rPr>
        <w:t>м</w:t>
      </w:r>
      <w:r w:rsidR="003827FD" w:rsidRPr="00226F9D">
        <w:rPr>
          <w:rFonts w:ascii="Times New Roman" w:hAnsi="Times New Roman" w:cs="Times New Roman"/>
          <w:lang w:val="sr-Cyrl-RS"/>
        </w:rPr>
        <w:t xml:space="preserve"> број</w:t>
      </w:r>
      <w:r w:rsidR="00564172" w:rsidRPr="00226F9D">
        <w:rPr>
          <w:rFonts w:ascii="Times New Roman" w:hAnsi="Times New Roman" w:cs="Times New Roman"/>
          <w:lang w:val="sr-Cyrl-RS"/>
        </w:rPr>
        <w:t>ем</w:t>
      </w:r>
      <w:r w:rsidR="003827FD" w:rsidRPr="00226F9D">
        <w:rPr>
          <w:rFonts w:ascii="Times New Roman" w:hAnsi="Times New Roman" w:cs="Times New Roman"/>
          <w:lang w:val="sr-Cyrl-RS"/>
        </w:rPr>
        <w:t xml:space="preserve"> становника</w:t>
      </w:r>
      <w:r w:rsidR="00564172" w:rsidRPr="00226F9D">
        <w:rPr>
          <w:rFonts w:ascii="Times New Roman" w:hAnsi="Times New Roman" w:cs="Times New Roman"/>
          <w:lang w:val="sr-Cyrl-RS"/>
        </w:rPr>
        <w:t xml:space="preserve"> </w:t>
      </w:r>
      <w:r w:rsidR="000132C1" w:rsidRPr="00226F9D">
        <w:rPr>
          <w:rFonts w:ascii="Times New Roman" w:hAnsi="Times New Roman" w:cs="Times New Roman"/>
          <w:lang w:val="sr-Cyrl-RS"/>
        </w:rPr>
        <w:t>такође има статус града</w:t>
      </w:r>
      <w:r w:rsidR="003827FD" w:rsidRPr="00226F9D">
        <w:rPr>
          <w:rFonts w:ascii="Times New Roman" w:hAnsi="Times New Roman" w:cs="Times New Roman"/>
          <w:lang w:val="sr-Cyrl-RS"/>
        </w:rPr>
        <w:t>)</w:t>
      </w:r>
      <w:r w:rsidRPr="00226F9D">
        <w:rPr>
          <w:rFonts w:ascii="Times New Roman" w:hAnsi="Times New Roman" w:cs="Times New Roman"/>
          <w:lang w:val="sr-Cyrl-RS"/>
        </w:rPr>
        <w:t>. Град Београд се издваја као посебна територијална јединица са специфичним положајем и дода</w:t>
      </w:r>
      <w:r w:rsidR="00D15E86" w:rsidRPr="00226F9D">
        <w:rPr>
          <w:rFonts w:ascii="Times New Roman" w:hAnsi="Times New Roman" w:cs="Times New Roman"/>
          <w:lang w:val="sr-Cyrl-RS"/>
        </w:rPr>
        <w:t>т</w:t>
      </w:r>
      <w:r w:rsidRPr="00226F9D">
        <w:rPr>
          <w:rFonts w:ascii="Times New Roman" w:hAnsi="Times New Roman" w:cs="Times New Roman"/>
          <w:lang w:val="sr-Cyrl-RS"/>
        </w:rPr>
        <w:t>ним надлежностима, у складу са посебним законом о главном граду.</w:t>
      </w:r>
    </w:p>
    <w:p w14:paraId="24B2DCB0" w14:textId="77777777" w:rsidR="00BA47B8" w:rsidRPr="00226F9D" w:rsidRDefault="00BA47B8" w:rsidP="006B59F4">
      <w:pPr>
        <w:spacing w:after="0" w:line="240" w:lineRule="auto"/>
        <w:jc w:val="both"/>
        <w:rPr>
          <w:rFonts w:ascii="Times New Roman" w:hAnsi="Times New Roman" w:cs="Times New Roman"/>
          <w:lang w:val="sr-Cyrl-RS"/>
        </w:rPr>
      </w:pPr>
    </w:p>
    <w:p w14:paraId="263362D7" w14:textId="62907E1D" w:rsidR="00252E4B" w:rsidRPr="00226F9D" w:rsidRDefault="1EAA5255"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Када се погледају упоредна искуства на нивоу </w:t>
      </w:r>
      <w:r w:rsidR="3CBDEBF9" w:rsidRPr="00226F9D">
        <w:rPr>
          <w:rFonts w:ascii="Times New Roman" w:hAnsi="Times New Roman" w:cs="Times New Roman"/>
          <w:lang w:val="sr-Cyrl-RS"/>
        </w:rPr>
        <w:t>континента</w:t>
      </w:r>
      <w:r w:rsidR="4C13608A" w:rsidRPr="00226F9D">
        <w:rPr>
          <w:rFonts w:ascii="Times New Roman" w:hAnsi="Times New Roman" w:cs="Times New Roman"/>
          <w:lang w:val="sr-Cyrl-RS"/>
        </w:rPr>
        <w:t xml:space="preserve"> Европе</w:t>
      </w:r>
      <w:r w:rsidR="3CBDEBF9" w:rsidRPr="00226F9D">
        <w:rPr>
          <w:rFonts w:ascii="Times New Roman" w:hAnsi="Times New Roman" w:cs="Times New Roman"/>
          <w:lang w:val="sr-Cyrl-RS"/>
        </w:rPr>
        <w:t xml:space="preserve"> и региона Југоисточне Европе, </w:t>
      </w:r>
      <w:r w:rsidR="6CD48C85" w:rsidRPr="00226F9D">
        <w:rPr>
          <w:rFonts w:ascii="Times New Roman" w:hAnsi="Times New Roman" w:cs="Times New Roman"/>
          <w:lang w:val="sr-Cyrl-RS"/>
        </w:rPr>
        <w:t xml:space="preserve">просечан број становника територијалних јединица које чине први ниво локалне самоуправе (општине) у </w:t>
      </w:r>
      <w:r w:rsidR="03F8B788" w:rsidRPr="00226F9D">
        <w:rPr>
          <w:rFonts w:ascii="Times New Roman" w:hAnsi="Times New Roman" w:cs="Times New Roman"/>
          <w:lang w:val="sr-Cyrl-RS"/>
        </w:rPr>
        <w:t xml:space="preserve">земљама ЕУ јесте 5214 становника а на нивоу региона </w:t>
      </w:r>
      <w:r w:rsidR="490306F7" w:rsidRPr="00226F9D">
        <w:rPr>
          <w:rFonts w:ascii="Times New Roman" w:hAnsi="Times New Roman" w:cs="Times New Roman"/>
          <w:lang w:val="sr-Cyrl-RS"/>
        </w:rPr>
        <w:t>26421 становник</w:t>
      </w:r>
      <w:r w:rsidR="02A2D6A6" w:rsidRPr="00226F9D">
        <w:rPr>
          <w:rFonts w:ascii="Times New Roman" w:hAnsi="Times New Roman" w:cs="Times New Roman"/>
          <w:lang w:val="sr-Cyrl-RS"/>
        </w:rPr>
        <w:t>а</w:t>
      </w:r>
      <w:r w:rsidR="490306F7" w:rsidRPr="00226F9D">
        <w:rPr>
          <w:rFonts w:ascii="Times New Roman" w:hAnsi="Times New Roman" w:cs="Times New Roman"/>
          <w:lang w:val="sr-Cyrl-RS"/>
        </w:rPr>
        <w:t xml:space="preserve">. </w:t>
      </w:r>
      <w:r w:rsidR="01C24A96" w:rsidRPr="00226F9D">
        <w:rPr>
          <w:rFonts w:ascii="Times New Roman" w:hAnsi="Times New Roman" w:cs="Times New Roman"/>
          <w:lang w:val="sr-Cyrl-RS"/>
        </w:rPr>
        <w:t xml:space="preserve">Просечна величина популације јединица локалне самоуправе у Србији </w:t>
      </w:r>
      <w:r w:rsidR="351D5EE1" w:rsidRPr="00226F9D">
        <w:rPr>
          <w:rFonts w:ascii="Times New Roman" w:hAnsi="Times New Roman" w:cs="Times New Roman"/>
          <w:lang w:val="sr-Cyrl-RS"/>
        </w:rPr>
        <w:t>по проценама из 2023. године јесте 45841 становник</w:t>
      </w:r>
      <w:r w:rsidR="2EC88785" w:rsidRPr="00226F9D">
        <w:rPr>
          <w:rFonts w:ascii="Times New Roman" w:hAnsi="Times New Roman" w:cs="Times New Roman"/>
          <w:lang w:val="sr-Cyrl-RS"/>
        </w:rPr>
        <w:t xml:space="preserve">а, што је значајно више и од просека </w:t>
      </w:r>
      <w:r w:rsidR="10EA932D" w:rsidRPr="00226F9D">
        <w:rPr>
          <w:rFonts w:ascii="Times New Roman" w:hAnsi="Times New Roman" w:cs="Times New Roman"/>
          <w:lang w:val="sr-Cyrl-RS"/>
        </w:rPr>
        <w:t>региона</w:t>
      </w:r>
      <w:r w:rsidR="2EC88785" w:rsidRPr="00226F9D">
        <w:rPr>
          <w:rFonts w:ascii="Times New Roman" w:hAnsi="Times New Roman" w:cs="Times New Roman"/>
          <w:lang w:val="sr-Cyrl-RS"/>
        </w:rPr>
        <w:t xml:space="preserve"> </w:t>
      </w:r>
      <w:r w:rsidR="02A2D6A6" w:rsidRPr="00226F9D">
        <w:rPr>
          <w:rFonts w:ascii="Times New Roman" w:hAnsi="Times New Roman" w:cs="Times New Roman"/>
          <w:lang w:val="sr-Cyrl-RS"/>
        </w:rPr>
        <w:t>и</w:t>
      </w:r>
      <w:r w:rsidR="4C13608A" w:rsidRPr="00226F9D">
        <w:rPr>
          <w:rFonts w:ascii="Times New Roman" w:hAnsi="Times New Roman" w:cs="Times New Roman"/>
          <w:lang w:val="sr-Cyrl-RS"/>
        </w:rPr>
        <w:t xml:space="preserve"> посебно од просека земаља ЕУ.</w:t>
      </w:r>
      <w:r w:rsidRPr="00226F9D">
        <w:rPr>
          <w:rStyle w:val="FootnoteReference"/>
          <w:rFonts w:ascii="Times New Roman" w:hAnsi="Times New Roman" w:cs="Times New Roman"/>
          <w:lang w:val="sr-Cyrl-RS"/>
        </w:rPr>
        <w:footnoteReference w:id="23"/>
      </w:r>
    </w:p>
    <w:p w14:paraId="768BAE2F" w14:textId="77777777" w:rsidR="00252E4B" w:rsidRPr="00226F9D" w:rsidRDefault="00252E4B" w:rsidP="006B59F4">
      <w:pPr>
        <w:spacing w:after="0" w:line="240" w:lineRule="auto"/>
        <w:jc w:val="both"/>
        <w:rPr>
          <w:rFonts w:ascii="Times New Roman" w:hAnsi="Times New Roman" w:cs="Times New Roman"/>
          <w:lang w:val="sr-Cyrl-RS"/>
        </w:rPr>
      </w:pPr>
    </w:p>
    <w:p w14:paraId="6EE89A92" w14:textId="7C644239" w:rsidR="000257F8" w:rsidRPr="00226F9D" w:rsidRDefault="2AA2FE1A"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Међународна искуства указују на различите моделе организовања система локалне самоуправе</w:t>
      </w:r>
      <w:r w:rsidR="5B617E34" w:rsidRPr="00226F9D">
        <w:rPr>
          <w:rFonts w:ascii="Times New Roman" w:hAnsi="Times New Roman" w:cs="Times New Roman"/>
          <w:lang w:val="sr-Cyrl-RS"/>
        </w:rPr>
        <w:t xml:space="preserve"> али и на то </w:t>
      </w:r>
      <w:r w:rsidR="5AAE0AB3" w:rsidRPr="00226F9D">
        <w:rPr>
          <w:rFonts w:ascii="Times New Roman" w:hAnsi="Times New Roman" w:cs="Times New Roman"/>
          <w:lang w:val="sr-Cyrl-RS"/>
        </w:rPr>
        <w:t xml:space="preserve">да је </w:t>
      </w:r>
      <w:r w:rsidR="5B617E34" w:rsidRPr="00226F9D">
        <w:rPr>
          <w:rFonts w:ascii="Times New Roman" w:hAnsi="Times New Roman" w:cs="Times New Roman"/>
          <w:lang w:val="sr-Cyrl-RS"/>
        </w:rPr>
        <w:t>двостепена локална самоуправа модел који се чешће среће на европском континенту.</w:t>
      </w:r>
      <w:r w:rsidR="5AAE0AB3" w:rsidRPr="00226F9D">
        <w:rPr>
          <w:rFonts w:ascii="Times New Roman" w:hAnsi="Times New Roman" w:cs="Times New Roman"/>
          <w:lang w:val="sr-Cyrl-RS"/>
        </w:rPr>
        <w:t xml:space="preserve"> </w:t>
      </w:r>
      <w:r w:rsidR="46BDDEE7" w:rsidRPr="00226F9D">
        <w:rPr>
          <w:rFonts w:ascii="Times New Roman" w:hAnsi="Times New Roman" w:cs="Times New Roman"/>
          <w:lang w:val="sr-Cyrl-RS"/>
        </w:rPr>
        <w:t>Ј</w:t>
      </w:r>
      <w:r w:rsidR="51C5EE24" w:rsidRPr="00226F9D">
        <w:rPr>
          <w:rFonts w:ascii="Times New Roman" w:hAnsi="Times New Roman" w:cs="Times New Roman"/>
          <w:lang w:val="sr-Cyrl-RS"/>
        </w:rPr>
        <w:t xml:space="preserve">едностепена локална самоуправа (нарочито код већих држава) </w:t>
      </w:r>
      <w:r w:rsidR="46BDDEE7" w:rsidRPr="00226F9D">
        <w:rPr>
          <w:rFonts w:ascii="Times New Roman" w:hAnsi="Times New Roman" w:cs="Times New Roman"/>
          <w:lang w:val="sr-Cyrl-RS"/>
        </w:rPr>
        <w:t>као и тростепена локална самоуправа (</w:t>
      </w:r>
      <w:r w:rsidR="49EFA778" w:rsidRPr="00226F9D">
        <w:rPr>
          <w:rFonts w:ascii="Times New Roman" w:hAnsi="Times New Roman" w:cs="Times New Roman"/>
          <w:lang w:val="sr-Cyrl-RS"/>
        </w:rPr>
        <w:t xml:space="preserve">која постоји код земаља као што су Француска, Пољска или Италија) </w:t>
      </w:r>
      <w:r w:rsidR="51C5EE24" w:rsidRPr="00226F9D">
        <w:rPr>
          <w:rFonts w:ascii="Times New Roman" w:hAnsi="Times New Roman" w:cs="Times New Roman"/>
          <w:lang w:val="sr-Cyrl-RS"/>
        </w:rPr>
        <w:t>пре</w:t>
      </w:r>
      <w:r w:rsidR="49EFA778" w:rsidRPr="00226F9D">
        <w:rPr>
          <w:rFonts w:ascii="Times New Roman" w:hAnsi="Times New Roman" w:cs="Times New Roman"/>
          <w:lang w:val="sr-Cyrl-RS"/>
        </w:rPr>
        <w:t xml:space="preserve"> су</w:t>
      </w:r>
      <w:r w:rsidR="51C5EE24" w:rsidRPr="00226F9D">
        <w:rPr>
          <w:rFonts w:ascii="Times New Roman" w:hAnsi="Times New Roman" w:cs="Times New Roman"/>
          <w:lang w:val="sr-Cyrl-RS"/>
        </w:rPr>
        <w:t xml:space="preserve"> изузетак него правило</w:t>
      </w:r>
      <w:r w:rsidR="5AAE0AB3" w:rsidRPr="00226F9D">
        <w:rPr>
          <w:rFonts w:ascii="Times New Roman" w:hAnsi="Times New Roman" w:cs="Times New Roman"/>
          <w:lang w:val="sr-Cyrl-RS"/>
        </w:rPr>
        <w:t>.</w:t>
      </w:r>
      <w:r w:rsidR="1A712609" w:rsidRPr="00226F9D">
        <w:rPr>
          <w:rFonts w:ascii="Times New Roman" w:hAnsi="Times New Roman" w:cs="Times New Roman"/>
          <w:lang w:val="sr-Cyrl-RS"/>
        </w:rPr>
        <w:t xml:space="preserve"> </w:t>
      </w:r>
      <w:r w:rsidR="33408793" w:rsidRPr="00226F9D">
        <w:rPr>
          <w:rFonts w:ascii="Times New Roman" w:hAnsi="Times New Roman" w:cs="Times New Roman"/>
          <w:lang w:val="sr-Cyrl-RS"/>
        </w:rPr>
        <w:t xml:space="preserve">Друга тенденција јесте да доминира </w:t>
      </w:r>
      <w:r w:rsidR="4C0D4E31" w:rsidRPr="00226F9D">
        <w:rPr>
          <w:rFonts w:ascii="Times New Roman" w:hAnsi="Times New Roman" w:cs="Times New Roman"/>
          <w:lang w:val="sr-Cyrl-RS"/>
        </w:rPr>
        <w:t>политипск</w:t>
      </w:r>
      <w:r w:rsidR="33408793" w:rsidRPr="00226F9D">
        <w:rPr>
          <w:rFonts w:ascii="Times New Roman" w:hAnsi="Times New Roman" w:cs="Times New Roman"/>
          <w:lang w:val="sr-Cyrl-RS"/>
        </w:rPr>
        <w:t>и</w:t>
      </w:r>
      <w:r w:rsidR="4C0D4E31" w:rsidRPr="00226F9D">
        <w:rPr>
          <w:rFonts w:ascii="Times New Roman" w:hAnsi="Times New Roman" w:cs="Times New Roman"/>
          <w:lang w:val="sr-Cyrl-RS"/>
        </w:rPr>
        <w:t xml:space="preserve"> модел локалне самоуправе</w:t>
      </w:r>
      <w:r w:rsidR="10838AA2" w:rsidRPr="00226F9D">
        <w:rPr>
          <w:rFonts w:ascii="Times New Roman" w:hAnsi="Times New Roman" w:cs="Times New Roman"/>
          <w:lang w:val="sr-Cyrl-RS"/>
        </w:rPr>
        <w:t>, било да је то експлицитно препознато по одређеним критеријумима</w:t>
      </w:r>
      <w:r w:rsidR="5C611CE2" w:rsidRPr="00226F9D">
        <w:rPr>
          <w:rFonts w:ascii="Times New Roman" w:hAnsi="Times New Roman" w:cs="Times New Roman"/>
          <w:lang w:val="sr-Cyrl-RS"/>
        </w:rPr>
        <w:t xml:space="preserve"> као што су број становника и тип насеља (</w:t>
      </w:r>
      <w:r w:rsidR="4C0D4E31" w:rsidRPr="00226F9D">
        <w:rPr>
          <w:rFonts w:ascii="Times New Roman" w:hAnsi="Times New Roman" w:cs="Times New Roman"/>
          <w:lang w:val="sr-Cyrl-RS"/>
        </w:rPr>
        <w:t>рурално/урбано)</w:t>
      </w:r>
      <w:r w:rsidR="065F60D1" w:rsidRPr="00226F9D">
        <w:rPr>
          <w:rFonts w:ascii="Times New Roman" w:hAnsi="Times New Roman" w:cs="Times New Roman"/>
          <w:lang w:val="sr-Cyrl-RS"/>
        </w:rPr>
        <w:t xml:space="preserve"> или да је локалним властима</w:t>
      </w:r>
      <w:r w:rsidR="4C0D4E31" w:rsidRPr="00226F9D">
        <w:rPr>
          <w:rFonts w:ascii="Times New Roman" w:hAnsi="Times New Roman" w:cs="Times New Roman"/>
          <w:lang w:val="sr-Cyrl-RS"/>
        </w:rPr>
        <w:t xml:space="preserve"> остављена велика слобода у избору начина на који ће обављати своје послове </w:t>
      </w:r>
      <w:r w:rsidR="065F60D1" w:rsidRPr="00226F9D">
        <w:rPr>
          <w:rFonts w:ascii="Times New Roman" w:hAnsi="Times New Roman" w:cs="Times New Roman"/>
          <w:lang w:val="sr-Cyrl-RS"/>
        </w:rPr>
        <w:t xml:space="preserve">што у пракси доводи до </w:t>
      </w:r>
      <w:r w:rsidR="4C0D4E31" w:rsidRPr="00226F9D">
        <w:rPr>
          <w:rFonts w:ascii="Times New Roman" w:hAnsi="Times New Roman" w:cs="Times New Roman"/>
          <w:lang w:val="sr-Cyrl-RS"/>
        </w:rPr>
        <w:t>политипности.</w:t>
      </w:r>
      <w:r w:rsidR="009D3F82" w:rsidRPr="00226F9D">
        <w:rPr>
          <w:rStyle w:val="FootnoteReference"/>
          <w:rFonts w:ascii="Times New Roman" w:hAnsi="Times New Roman" w:cs="Times New Roman"/>
          <w:lang w:val="sr-Cyrl-RS"/>
        </w:rPr>
        <w:footnoteReference w:id="24"/>
      </w:r>
      <w:r w:rsidR="77BBDD3F" w:rsidRPr="00226F9D">
        <w:rPr>
          <w:rFonts w:ascii="Times New Roman" w:hAnsi="Times New Roman" w:cs="Times New Roman"/>
          <w:lang w:val="sr-Cyrl-RS"/>
        </w:rPr>
        <w:t xml:space="preserve"> </w:t>
      </w:r>
    </w:p>
    <w:p w14:paraId="69B904D8" w14:textId="77777777" w:rsidR="0071528E" w:rsidRPr="00226F9D" w:rsidRDefault="0071528E" w:rsidP="006B59F4">
      <w:pPr>
        <w:spacing w:after="0" w:line="240" w:lineRule="auto"/>
        <w:jc w:val="both"/>
        <w:rPr>
          <w:rFonts w:ascii="Times New Roman" w:hAnsi="Times New Roman" w:cs="Times New Roman"/>
          <w:lang w:val="sr-Cyrl-RS"/>
        </w:rPr>
      </w:pPr>
    </w:p>
    <w:p w14:paraId="53F3AABE" w14:textId="23B1671B" w:rsidR="00F8138C" w:rsidRPr="00226F9D" w:rsidRDefault="00027FDC"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Градови и општине</w:t>
      </w:r>
      <w:r w:rsidR="00957323" w:rsidRPr="00226F9D">
        <w:rPr>
          <w:rFonts w:ascii="Times New Roman" w:hAnsi="Times New Roman" w:cs="Times New Roman"/>
          <w:lang w:val="sr-Cyrl-RS"/>
        </w:rPr>
        <w:t xml:space="preserve"> </w:t>
      </w:r>
      <w:r w:rsidR="00F57C3D" w:rsidRPr="00226F9D">
        <w:rPr>
          <w:rFonts w:ascii="Times New Roman" w:hAnsi="Times New Roman" w:cs="Times New Roman"/>
          <w:lang w:val="sr-Cyrl-RS"/>
        </w:rPr>
        <w:t>у Републи</w:t>
      </w:r>
      <w:r w:rsidR="00740A66" w:rsidRPr="00226F9D">
        <w:rPr>
          <w:rFonts w:ascii="Times New Roman" w:hAnsi="Times New Roman" w:cs="Times New Roman"/>
          <w:lang w:val="sr-Cyrl-RS"/>
        </w:rPr>
        <w:t>ц</w:t>
      </w:r>
      <w:r w:rsidR="00F57C3D" w:rsidRPr="00226F9D">
        <w:rPr>
          <w:rFonts w:ascii="Times New Roman" w:hAnsi="Times New Roman" w:cs="Times New Roman"/>
          <w:lang w:val="sr-Cyrl-RS"/>
        </w:rPr>
        <w:t xml:space="preserve">и Србији </w:t>
      </w:r>
      <w:r w:rsidR="00957323" w:rsidRPr="00226F9D">
        <w:rPr>
          <w:rFonts w:ascii="Times New Roman" w:hAnsi="Times New Roman" w:cs="Times New Roman"/>
          <w:lang w:val="sr-Cyrl-RS"/>
        </w:rPr>
        <w:t>имају право и обавезу да</w:t>
      </w:r>
      <w:r w:rsidR="00F57C3D" w:rsidRPr="00226F9D">
        <w:rPr>
          <w:rFonts w:ascii="Times New Roman" w:hAnsi="Times New Roman" w:cs="Times New Roman"/>
          <w:lang w:val="sr-Cyrl-RS"/>
        </w:rPr>
        <w:t xml:space="preserve"> у оквир</w:t>
      </w:r>
      <w:r w:rsidR="00740A66" w:rsidRPr="00226F9D">
        <w:rPr>
          <w:rFonts w:ascii="Times New Roman" w:hAnsi="Times New Roman" w:cs="Times New Roman"/>
          <w:lang w:val="sr-Cyrl-RS"/>
        </w:rPr>
        <w:t>у</w:t>
      </w:r>
      <w:r w:rsidR="00F57C3D" w:rsidRPr="00226F9D">
        <w:rPr>
          <w:rFonts w:ascii="Times New Roman" w:hAnsi="Times New Roman" w:cs="Times New Roman"/>
          <w:lang w:val="sr-Cyrl-RS"/>
        </w:rPr>
        <w:t xml:space="preserve"> уставних и законских решења</w:t>
      </w:r>
      <w:r w:rsidR="00957323" w:rsidRPr="00226F9D">
        <w:rPr>
          <w:rFonts w:ascii="Times New Roman" w:hAnsi="Times New Roman" w:cs="Times New Roman"/>
          <w:lang w:val="sr-Cyrl-RS"/>
        </w:rPr>
        <w:t xml:space="preserve"> самостално уређују и организују своје органе, управу и јавне службе, те да доносе свој статут и друге опште акте. Статут дефинише унутрашњу организацију, правила рада органа и других служби, као и друге важне аспекте функционисања локалне самоуправе. </w:t>
      </w:r>
      <w:r w:rsidR="00F8138C" w:rsidRPr="00226F9D">
        <w:rPr>
          <w:rFonts w:ascii="Times New Roman" w:hAnsi="Times New Roman" w:cs="Times New Roman"/>
          <w:lang w:val="sr-Cyrl-RS"/>
        </w:rPr>
        <w:t xml:space="preserve">Локални избори се спроводе у складу са посебним законом који утиче на облик представничког система и изборних правила, осигуравајући пропорционално представљање политичких субјеката, као и институционалну заступљеност националних мањина и подстицање родне </w:t>
      </w:r>
      <w:r w:rsidR="00F8138C" w:rsidRPr="00226F9D">
        <w:rPr>
          <w:rFonts w:ascii="Times New Roman" w:hAnsi="Times New Roman" w:cs="Times New Roman"/>
          <w:lang w:val="sr-Cyrl-RS"/>
        </w:rPr>
        <w:lastRenderedPageBreak/>
        <w:t>равноправности. Овим се обезбеђује демократичност и легитимност органа локалне самоуправе.</w:t>
      </w:r>
    </w:p>
    <w:p w14:paraId="3655F8D7" w14:textId="77777777" w:rsidR="00F8138C" w:rsidRPr="00226F9D" w:rsidRDefault="00F8138C" w:rsidP="006B59F4">
      <w:pPr>
        <w:spacing w:after="0" w:line="240" w:lineRule="auto"/>
        <w:jc w:val="both"/>
        <w:rPr>
          <w:rFonts w:ascii="Times New Roman" w:hAnsi="Times New Roman" w:cs="Times New Roman"/>
          <w:lang w:val="sr-Cyrl-RS"/>
        </w:rPr>
      </w:pPr>
    </w:p>
    <w:p w14:paraId="6C7ED51D" w14:textId="5456D0C3" w:rsidR="000257F8" w:rsidRPr="00226F9D" w:rsidRDefault="000257F8"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Највиши орган локалне самоуправе је скупштина, коју чине одборници бирани непосредним изборима на период од четири године, на основу пропорционалног изборног система са избором на нивоу јединице локалне самоуправе ка</w:t>
      </w:r>
      <w:r w:rsidR="003827FD" w:rsidRPr="00226F9D">
        <w:rPr>
          <w:rFonts w:ascii="Times New Roman" w:hAnsi="Times New Roman" w:cs="Times New Roman"/>
          <w:lang w:val="sr-Cyrl-RS"/>
        </w:rPr>
        <w:t>о</w:t>
      </w:r>
      <w:r w:rsidRPr="00226F9D">
        <w:rPr>
          <w:rFonts w:ascii="Times New Roman" w:hAnsi="Times New Roman" w:cs="Times New Roman"/>
          <w:lang w:val="sr-Cyrl-RS"/>
        </w:rPr>
        <w:t xml:space="preserve"> једне изборне јединице. Извршне органе локалне самоуправе чине председник општине или градоначелник</w:t>
      </w:r>
      <w:r w:rsidR="009B2C75" w:rsidRPr="00226F9D">
        <w:rPr>
          <w:rFonts w:ascii="Times New Roman" w:hAnsi="Times New Roman" w:cs="Times New Roman"/>
          <w:lang w:val="sr-Cyrl-RS"/>
        </w:rPr>
        <w:t xml:space="preserve"> </w:t>
      </w:r>
      <w:r w:rsidR="00923B66">
        <w:rPr>
          <w:rFonts w:ascii="Times New Roman" w:hAnsi="Times New Roman" w:cs="Times New Roman"/>
          <w:lang w:val="sr-Cyrl-RS"/>
        </w:rPr>
        <w:t>које бира локална</w:t>
      </w:r>
      <w:r w:rsidR="001A3A99" w:rsidRPr="00226F9D">
        <w:rPr>
          <w:rFonts w:ascii="Times New Roman" w:hAnsi="Times New Roman" w:cs="Times New Roman"/>
          <w:lang w:val="sr-Cyrl-RS"/>
        </w:rPr>
        <w:t xml:space="preserve"> скупштина из редова одборника</w:t>
      </w:r>
      <w:r w:rsidR="00761420" w:rsidRPr="00226F9D">
        <w:rPr>
          <w:rFonts w:ascii="Times New Roman" w:hAnsi="Times New Roman" w:cs="Times New Roman"/>
          <w:lang w:val="sr-Cyrl-RS"/>
        </w:rPr>
        <w:t>, а</w:t>
      </w:r>
      <w:r w:rsidR="009B2C75" w:rsidRPr="00226F9D">
        <w:rPr>
          <w:rFonts w:ascii="Times New Roman" w:hAnsi="Times New Roman" w:cs="Times New Roman"/>
          <w:lang w:val="sr-Cyrl-RS"/>
        </w:rPr>
        <w:t xml:space="preserve"> </w:t>
      </w:r>
      <w:r w:rsidRPr="00226F9D">
        <w:rPr>
          <w:rFonts w:ascii="Times New Roman" w:hAnsi="Times New Roman" w:cs="Times New Roman"/>
          <w:lang w:val="sr-Cyrl-RS"/>
        </w:rPr>
        <w:t>који представљају локалну заједницу и спроводе активности руковођења и општинско или градско веће, које је колективни извршни орган.</w:t>
      </w:r>
      <w:r w:rsidR="005518C1" w:rsidRPr="00226F9D">
        <w:rPr>
          <w:rFonts w:ascii="Times New Roman" w:hAnsi="Times New Roman" w:cs="Times New Roman"/>
          <w:lang w:val="sr-Cyrl-RS"/>
        </w:rPr>
        <w:t xml:space="preserve"> Четврти орган локалне самоуправе је општинска и градска управа чији је задатак да спроводи прописе кој</w:t>
      </w:r>
      <w:r w:rsidR="00DE1D16" w:rsidRPr="00226F9D">
        <w:rPr>
          <w:rFonts w:ascii="Times New Roman" w:hAnsi="Times New Roman" w:cs="Times New Roman"/>
          <w:lang w:val="sr-Cyrl-RS"/>
        </w:rPr>
        <w:t>и</w:t>
      </w:r>
      <w:r w:rsidR="005518C1" w:rsidRPr="00226F9D">
        <w:rPr>
          <w:rFonts w:ascii="Times New Roman" w:hAnsi="Times New Roman" w:cs="Times New Roman"/>
          <w:lang w:val="sr-Cyrl-RS"/>
        </w:rPr>
        <w:t xml:space="preserve"> уређују локалну самоуправу, остварује права и услуге грађана у пракси и стручно подржава рад других органа.</w:t>
      </w:r>
    </w:p>
    <w:p w14:paraId="0323FB7A" w14:textId="77777777" w:rsidR="00F8138C" w:rsidRPr="00226F9D" w:rsidRDefault="00F8138C" w:rsidP="006B59F4">
      <w:pPr>
        <w:spacing w:after="0" w:line="240" w:lineRule="auto"/>
        <w:jc w:val="both"/>
        <w:rPr>
          <w:rFonts w:ascii="Times New Roman" w:hAnsi="Times New Roman" w:cs="Times New Roman"/>
          <w:lang w:val="sr-Cyrl-RS"/>
        </w:rPr>
      </w:pPr>
    </w:p>
    <w:p w14:paraId="712D4753" w14:textId="666932F0" w:rsidR="006B07C0" w:rsidRPr="00226F9D" w:rsidRDefault="5B5703D1" w:rsidP="006E6A62">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И у упоредној међународној пракси, основну структуру локалне власти чине представничко тело и извршна власт. </w:t>
      </w:r>
      <w:r w:rsidR="382E813F" w:rsidRPr="00226F9D">
        <w:rPr>
          <w:rFonts w:ascii="Times New Roman" w:hAnsi="Times New Roman" w:cs="Times New Roman"/>
          <w:lang w:val="sr-Cyrl-RS"/>
        </w:rPr>
        <w:t xml:space="preserve"> Представничко тело (скупштина, савет) </w:t>
      </w:r>
      <w:r w:rsidR="01AAC367" w:rsidRPr="00226F9D">
        <w:rPr>
          <w:rFonts w:ascii="Times New Roman" w:hAnsi="Times New Roman" w:cs="Times New Roman"/>
          <w:lang w:val="sr-Cyrl-RS"/>
        </w:rPr>
        <w:t xml:space="preserve">се бира на непосредним изборима на мандат који је најчешће </w:t>
      </w:r>
      <w:r w:rsidR="361F24E7" w:rsidRPr="00226F9D">
        <w:rPr>
          <w:rFonts w:ascii="Times New Roman" w:hAnsi="Times New Roman" w:cs="Times New Roman"/>
          <w:lang w:val="sr-Cyrl-RS"/>
        </w:rPr>
        <w:t>четири</w:t>
      </w:r>
      <w:r w:rsidR="01AAC367" w:rsidRPr="00226F9D">
        <w:rPr>
          <w:rFonts w:ascii="Times New Roman" w:hAnsi="Times New Roman" w:cs="Times New Roman"/>
          <w:lang w:val="sr-Cyrl-RS"/>
        </w:rPr>
        <w:t xml:space="preserve"> године</w:t>
      </w:r>
      <w:r w:rsidR="014FBE82" w:rsidRPr="00226F9D">
        <w:rPr>
          <w:rFonts w:ascii="Times New Roman" w:hAnsi="Times New Roman" w:cs="Times New Roman"/>
          <w:lang w:val="sr-Cyrl-RS"/>
        </w:rPr>
        <w:t>,</w:t>
      </w:r>
      <w:r w:rsidR="01AAC367" w:rsidRPr="00226F9D">
        <w:rPr>
          <w:rFonts w:ascii="Times New Roman" w:hAnsi="Times New Roman" w:cs="Times New Roman"/>
          <w:lang w:val="sr-Cyrl-RS"/>
        </w:rPr>
        <w:t xml:space="preserve"> али има и земаља у којима он траје пет па и шест година. </w:t>
      </w:r>
      <w:r w:rsidRPr="00226F9D">
        <w:rPr>
          <w:rFonts w:ascii="Times New Roman" w:hAnsi="Times New Roman" w:cs="Times New Roman"/>
          <w:lang w:val="sr-Cyrl-RS"/>
        </w:rPr>
        <w:t xml:space="preserve">Уобичајено је да се мандат скупштине поклапа са мандатом градоначелника, </w:t>
      </w:r>
      <w:r w:rsidR="6BA995F9" w:rsidRPr="00226F9D">
        <w:rPr>
          <w:rFonts w:ascii="Times New Roman" w:hAnsi="Times New Roman" w:cs="Times New Roman"/>
          <w:lang w:val="sr-Cyrl-RS"/>
        </w:rPr>
        <w:t xml:space="preserve">осим </w:t>
      </w:r>
      <w:r w:rsidR="7380AF86" w:rsidRPr="00226F9D">
        <w:rPr>
          <w:rFonts w:ascii="Times New Roman" w:hAnsi="Times New Roman" w:cs="Times New Roman"/>
          <w:lang w:val="sr-Cyrl-RS"/>
        </w:rPr>
        <w:t>у</w:t>
      </w:r>
      <w:r w:rsidR="6BA995F9" w:rsidRPr="00226F9D">
        <w:rPr>
          <w:rFonts w:ascii="Times New Roman" w:hAnsi="Times New Roman" w:cs="Times New Roman"/>
          <w:lang w:val="sr-Cyrl-RS"/>
        </w:rPr>
        <w:t xml:space="preserve"> неколико европских земаља</w:t>
      </w:r>
      <w:r w:rsidRPr="00226F9D">
        <w:rPr>
          <w:rFonts w:ascii="Times New Roman" w:hAnsi="Times New Roman" w:cs="Times New Roman"/>
          <w:lang w:val="sr-Cyrl-RS"/>
        </w:rPr>
        <w:t xml:space="preserve"> (Холандија, Исланд).</w:t>
      </w:r>
      <w:r w:rsidR="0A5B190E" w:rsidRPr="00226F9D">
        <w:rPr>
          <w:rFonts w:ascii="Times New Roman" w:hAnsi="Times New Roman" w:cs="Times New Roman"/>
          <w:lang w:val="sr-Cyrl-RS"/>
        </w:rPr>
        <w:t xml:space="preserve"> У вези са типом извршне власти у европским земљама али и шире</w:t>
      </w:r>
      <w:r w:rsidR="0EB962CC" w:rsidRPr="00226F9D">
        <w:rPr>
          <w:rFonts w:ascii="Times New Roman" w:hAnsi="Times New Roman" w:cs="Times New Roman"/>
          <w:lang w:val="sr-Cyrl-RS"/>
        </w:rPr>
        <w:t>,</w:t>
      </w:r>
      <w:r w:rsidR="0A5B190E" w:rsidRPr="00226F9D">
        <w:rPr>
          <w:rFonts w:ascii="Times New Roman" w:hAnsi="Times New Roman" w:cs="Times New Roman"/>
          <w:lang w:val="sr-Cyrl-RS"/>
        </w:rPr>
        <w:t xml:space="preserve"> присутна су различита решења </w:t>
      </w:r>
      <w:r w:rsidR="6803C460" w:rsidRPr="00226F9D">
        <w:rPr>
          <w:rFonts w:ascii="Times New Roman" w:hAnsi="Times New Roman" w:cs="Times New Roman"/>
          <w:lang w:val="sr-Cyrl-RS"/>
        </w:rPr>
        <w:t>али се у пракси и теорији идентификују два односна модела. Први модел карактерише јака скупштина</w:t>
      </w:r>
      <w:r w:rsidR="7380AF86" w:rsidRPr="00226F9D">
        <w:rPr>
          <w:rFonts w:ascii="Times New Roman" w:hAnsi="Times New Roman" w:cs="Times New Roman"/>
          <w:lang w:val="sr-Cyrl-RS"/>
        </w:rPr>
        <w:t xml:space="preserve"> а</w:t>
      </w:r>
      <w:r w:rsidR="6803C460" w:rsidRPr="00226F9D">
        <w:rPr>
          <w:rFonts w:ascii="Times New Roman" w:hAnsi="Times New Roman" w:cs="Times New Roman"/>
          <w:lang w:val="sr-Cyrl-RS"/>
        </w:rPr>
        <w:t xml:space="preserve"> слаба извршна власт (градоначелник)</w:t>
      </w:r>
      <w:r w:rsidR="242DA314" w:rsidRPr="00226F9D">
        <w:rPr>
          <w:rFonts w:ascii="Times New Roman" w:hAnsi="Times New Roman" w:cs="Times New Roman"/>
          <w:lang w:val="sr-Cyrl-RS"/>
        </w:rPr>
        <w:t xml:space="preserve"> где се извршна власт бира посредно у представничком телу. Други модел </w:t>
      </w:r>
      <w:r w:rsidR="53933F86" w:rsidRPr="00226F9D">
        <w:rPr>
          <w:rFonts w:ascii="Times New Roman" w:hAnsi="Times New Roman" w:cs="Times New Roman"/>
          <w:lang w:val="sr-Cyrl-RS"/>
        </w:rPr>
        <w:t>јесте јака извршна власт а слаба локална скупштина, где се градоначелник бира непосредно од стране грађана.</w:t>
      </w:r>
      <w:r w:rsidR="007E31BD" w:rsidRPr="00226F9D">
        <w:rPr>
          <w:rStyle w:val="FootnoteReference"/>
          <w:rFonts w:ascii="Times New Roman" w:hAnsi="Times New Roman" w:cs="Times New Roman"/>
          <w:lang w:val="sr-Cyrl-RS"/>
        </w:rPr>
        <w:footnoteReference w:id="25"/>
      </w:r>
    </w:p>
    <w:p w14:paraId="1B8E57E0" w14:textId="77777777" w:rsidR="006B07C0" w:rsidRPr="00226F9D" w:rsidRDefault="006B07C0" w:rsidP="006B59F4">
      <w:pPr>
        <w:spacing w:after="0" w:line="240" w:lineRule="auto"/>
        <w:jc w:val="both"/>
        <w:rPr>
          <w:rFonts w:ascii="Times New Roman" w:hAnsi="Times New Roman" w:cs="Times New Roman"/>
          <w:lang w:val="sr-Cyrl-RS"/>
        </w:rPr>
      </w:pPr>
    </w:p>
    <w:p w14:paraId="3945DA06" w14:textId="43D7CA19" w:rsidR="00F8138C" w:rsidRPr="00226F9D" w:rsidRDefault="00F8138C"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У погледу територијалне организације, закон јасно прописује услове за оснивање, спајање и укидање јединица локалне самоуправе, које могу бити инициране и путем саветодавног референдума којим грађани непосредно учествују у одлучивању о овим питањима. Градови могу, овлашћењем регулисаним статутом, оснивати градске општине које имају одређене функције у оквиру града, али не поседују статус јединица локалне самоуправе. </w:t>
      </w:r>
    </w:p>
    <w:p w14:paraId="281A49B7" w14:textId="77777777" w:rsidR="00F8138C" w:rsidRPr="00226F9D" w:rsidRDefault="00F8138C" w:rsidP="006B59F4">
      <w:pPr>
        <w:spacing w:after="0" w:line="240" w:lineRule="auto"/>
        <w:jc w:val="both"/>
        <w:rPr>
          <w:rFonts w:ascii="Times New Roman" w:hAnsi="Times New Roman" w:cs="Times New Roman"/>
          <w:lang w:val="sr-Cyrl-RS"/>
        </w:rPr>
      </w:pPr>
    </w:p>
    <w:p w14:paraId="1ADADE3C" w14:textId="1FFC3264" w:rsidR="00F8138C" w:rsidRPr="00226F9D" w:rsidRDefault="00F8138C"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У бројним прописима који уређују локалну самоуправу, посебна пажња посвећена је организационим облицима у локалним заједницама, који осим органа локалне самоуправе обухватају и јавне установе, јавна предузећа, али и </w:t>
      </w:r>
      <w:r w:rsidR="00027FDC" w:rsidRPr="00226F9D">
        <w:rPr>
          <w:rFonts w:ascii="Times New Roman" w:hAnsi="Times New Roman" w:cs="Times New Roman"/>
          <w:lang w:val="sr-Cyrl-RS"/>
        </w:rPr>
        <w:t>друге</w:t>
      </w:r>
      <w:r w:rsidRPr="00226F9D">
        <w:rPr>
          <w:rFonts w:ascii="Times New Roman" w:hAnsi="Times New Roman" w:cs="Times New Roman"/>
          <w:lang w:val="sr-Cyrl-RS"/>
        </w:rPr>
        <w:t xml:space="preserve"> различите институције које се формирају у складу са законским одредбама или актима локалне самоуправе. </w:t>
      </w:r>
      <w:r w:rsidR="007125BC" w:rsidRPr="00226F9D">
        <w:rPr>
          <w:rFonts w:ascii="Times New Roman" w:hAnsi="Times New Roman" w:cs="Times New Roman"/>
          <w:lang w:val="sr-Cyrl-RS"/>
        </w:rPr>
        <w:t xml:space="preserve">Организације јавних служби које оснивају локалне самоуправе обухватају и јавне установе и јавна предузећа са јасно дефинисаним системом управљања, при чему локални органи, првенствено скупштине, одлучују о руковођењу и надзору. </w:t>
      </w:r>
      <w:r w:rsidRPr="00226F9D">
        <w:rPr>
          <w:rFonts w:ascii="Times New Roman" w:hAnsi="Times New Roman" w:cs="Times New Roman"/>
          <w:lang w:val="sr-Cyrl-RS"/>
        </w:rPr>
        <w:t>Локалне заједнице могу формирати и месне заједнице</w:t>
      </w:r>
      <w:r w:rsidR="009560EE" w:rsidRPr="00226F9D">
        <w:rPr>
          <w:rFonts w:ascii="Times New Roman" w:hAnsi="Times New Roman" w:cs="Times New Roman"/>
          <w:lang w:val="sr-Cyrl-RS"/>
        </w:rPr>
        <w:t xml:space="preserve"> односно друге облике месне самоуправе</w:t>
      </w:r>
      <w:r w:rsidR="008577AE" w:rsidRPr="00226F9D">
        <w:rPr>
          <w:rFonts w:ascii="Times New Roman" w:hAnsi="Times New Roman" w:cs="Times New Roman"/>
          <w:lang w:val="sr-Cyrl-RS"/>
        </w:rPr>
        <w:t xml:space="preserve"> (кварт, четврт, рејон, и др.)</w:t>
      </w:r>
      <w:r w:rsidR="009560EE" w:rsidRPr="00226F9D">
        <w:rPr>
          <w:rFonts w:ascii="Times New Roman" w:hAnsi="Times New Roman" w:cs="Times New Roman"/>
          <w:lang w:val="sr-Cyrl-RS"/>
        </w:rPr>
        <w:t>,</w:t>
      </w:r>
      <w:r w:rsidRPr="00226F9D">
        <w:rPr>
          <w:rFonts w:ascii="Times New Roman" w:hAnsi="Times New Roman" w:cs="Times New Roman"/>
          <w:lang w:val="sr-Cyrl-RS"/>
        </w:rPr>
        <w:t xml:space="preserve"> као најнижи ниво партиципације грађана у локалној самоуправи и организовати их како би се становништву омогућило непосредно учешће у решавању питања од локалног значаја.</w:t>
      </w:r>
    </w:p>
    <w:p w14:paraId="58C29FF6" w14:textId="77777777" w:rsidR="000257F8" w:rsidRPr="00226F9D" w:rsidRDefault="000257F8" w:rsidP="006B59F4">
      <w:pPr>
        <w:spacing w:after="0" w:line="240" w:lineRule="auto"/>
        <w:jc w:val="both"/>
        <w:rPr>
          <w:rFonts w:ascii="Times New Roman" w:hAnsi="Times New Roman" w:cs="Times New Roman"/>
          <w:lang w:val="sr-Cyrl-RS"/>
        </w:rPr>
      </w:pPr>
    </w:p>
    <w:p w14:paraId="629267D2" w14:textId="68873B3B" w:rsidR="00871FCC" w:rsidRPr="00226F9D" w:rsidRDefault="00871FCC"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Изворне надлежности општине утврђене су Уставом и ЗЛС</w:t>
      </w:r>
      <w:r w:rsidR="00686D70" w:rsidRPr="00226F9D">
        <w:rPr>
          <w:rFonts w:ascii="Times New Roman" w:hAnsi="Times New Roman" w:cs="Times New Roman"/>
          <w:lang w:val="sr-Cyrl-RS"/>
        </w:rPr>
        <w:t>,</w:t>
      </w:r>
      <w:r w:rsidRPr="00226F9D">
        <w:rPr>
          <w:rFonts w:ascii="Times New Roman" w:hAnsi="Times New Roman" w:cs="Times New Roman"/>
          <w:lang w:val="sr-Cyrl-RS"/>
        </w:rPr>
        <w:t xml:space="preserve"> а поједини послови државне управе законом могу </w:t>
      </w:r>
      <w:r w:rsidR="001E57B2" w:rsidRPr="00226F9D">
        <w:rPr>
          <w:rFonts w:ascii="Times New Roman" w:hAnsi="Times New Roman" w:cs="Times New Roman"/>
          <w:lang w:val="sr-Cyrl-RS"/>
        </w:rPr>
        <w:t xml:space="preserve">се </w:t>
      </w:r>
      <w:r w:rsidRPr="00226F9D">
        <w:rPr>
          <w:rFonts w:ascii="Times New Roman" w:hAnsi="Times New Roman" w:cs="Times New Roman"/>
          <w:lang w:val="sr-Cyrl-RS"/>
        </w:rPr>
        <w:t xml:space="preserve">поверити </w:t>
      </w:r>
      <w:r w:rsidR="006D2C02" w:rsidRPr="00226F9D">
        <w:rPr>
          <w:rFonts w:ascii="Times New Roman" w:hAnsi="Times New Roman" w:cs="Times New Roman"/>
          <w:lang w:val="sr-Cyrl-RS"/>
        </w:rPr>
        <w:t xml:space="preserve">јединицама локалне самоуправе </w:t>
      </w:r>
      <w:r w:rsidRPr="00226F9D">
        <w:rPr>
          <w:rFonts w:ascii="Times New Roman" w:hAnsi="Times New Roman" w:cs="Times New Roman"/>
          <w:lang w:val="sr-Cyrl-RS"/>
        </w:rPr>
        <w:t xml:space="preserve">. Средства за обављање поверених послова обезбеђују се у буџету Републике Србије у складу са врстом и обимом послова. Основне уставне надлежности општине обухватају уређење организације њених органа и јавних служби, доношење буџета, урбанистичког плана и програма развоја општине, утврђивање симбола, управљање имовином, прописивање прекршаја за повреде општинских прописа, старање о остваривању, заштити и унапређењу људских и мањинских права и старање </w:t>
      </w:r>
      <w:r w:rsidRPr="00226F9D">
        <w:rPr>
          <w:rFonts w:ascii="Times New Roman" w:hAnsi="Times New Roman" w:cs="Times New Roman"/>
          <w:lang w:val="sr-Cyrl-RS"/>
        </w:rPr>
        <w:lastRenderedPageBreak/>
        <w:t xml:space="preserve">о јавном информисању. Као области у којима општина, у складу са законом, има сопствене надлежности </w:t>
      </w:r>
      <w:r w:rsidRPr="00226F9D" w:rsidDel="00D1068C">
        <w:rPr>
          <w:rFonts w:ascii="Times New Roman" w:hAnsi="Times New Roman" w:cs="Times New Roman"/>
          <w:lang w:val="sr-Cyrl-RS"/>
        </w:rPr>
        <w:t xml:space="preserve">утврђене </w:t>
      </w:r>
      <w:r w:rsidRPr="00226F9D">
        <w:rPr>
          <w:rFonts w:ascii="Times New Roman" w:hAnsi="Times New Roman" w:cs="Times New Roman"/>
          <w:lang w:val="sr-Cyrl-RS"/>
        </w:rPr>
        <w:t>су: комуналне делатности, грађевинско и пољопривредно земљиште, локални путеви и улице, локални превоз, просвета, култура, здравствена, социјална и дечја заштита, спорт и физичка култура, заштита животне средине и заштита од елементарних непогода, заштита културних добара и др. Градови имају надлежности које су Уставом поверене општинама, а додатне надлежности могу бити поверене законом. Градске општине обављају послове који су им поверени из оквира надлежности града, доносе свој статут, буџет, с тим да надлежности и послови поверени из оквира изворног делокруга градова нису једнообразно решени код свих градских општина. Односи између органа града и градских општина заснивају се на сарадњи и договарању. Град врши надзор над радом и актима градских општина</w:t>
      </w:r>
      <w:r w:rsidR="007125BC" w:rsidRPr="00226F9D">
        <w:rPr>
          <w:rFonts w:ascii="Times New Roman" w:hAnsi="Times New Roman" w:cs="Times New Roman"/>
          <w:lang w:val="sr-Cyrl-RS"/>
        </w:rPr>
        <w:t xml:space="preserve">. Надлежности по правилу пресудно утичу и на унутрашњу организацију локалних управа, </w:t>
      </w:r>
      <w:r w:rsidR="007125BC" w:rsidRPr="00226F9D">
        <w:rPr>
          <w:rFonts w:ascii="Times New Roman" w:hAnsi="Times New Roman" w:cs="Times New Roman"/>
          <w:i/>
          <w:lang w:val="sr-Cyrl-RS"/>
        </w:rPr>
        <w:t xml:space="preserve">које се </w:t>
      </w:r>
      <w:r w:rsidR="007125BC" w:rsidRPr="00226F9D">
        <w:rPr>
          <w:rFonts w:ascii="Times New Roman" w:hAnsi="Times New Roman" w:cs="Times New Roman"/>
          <w:i/>
          <w:iCs/>
          <w:lang w:val="sr-Cyrl-RS"/>
        </w:rPr>
        <w:t>организују</w:t>
      </w:r>
      <w:r w:rsidR="007125BC" w:rsidRPr="00226F9D">
        <w:rPr>
          <w:rFonts w:ascii="Times New Roman" w:hAnsi="Times New Roman" w:cs="Times New Roman"/>
          <w:i/>
          <w:lang w:val="sr-Cyrl-RS"/>
        </w:rPr>
        <w:t xml:space="preserve"> као јединствени органи, </w:t>
      </w:r>
      <w:r w:rsidR="007125BC" w:rsidRPr="00226F9D">
        <w:rPr>
          <w:rFonts w:ascii="Times New Roman" w:hAnsi="Times New Roman" w:cs="Times New Roman"/>
          <w:i/>
          <w:iCs/>
          <w:lang w:val="sr-Cyrl-RS"/>
        </w:rPr>
        <w:t>док општине</w:t>
      </w:r>
      <w:r w:rsidR="007125BC" w:rsidRPr="00226F9D">
        <w:rPr>
          <w:rFonts w:ascii="Times New Roman" w:hAnsi="Times New Roman" w:cs="Times New Roman"/>
          <w:i/>
          <w:lang w:val="sr-Cyrl-RS"/>
        </w:rPr>
        <w:t xml:space="preserve"> са </w:t>
      </w:r>
      <w:r w:rsidR="007125BC" w:rsidRPr="00226F9D">
        <w:rPr>
          <w:rFonts w:ascii="Times New Roman" w:hAnsi="Times New Roman" w:cs="Times New Roman"/>
          <w:i/>
          <w:iCs/>
          <w:lang w:val="sr-Cyrl-RS"/>
        </w:rPr>
        <w:t xml:space="preserve">више </w:t>
      </w:r>
      <w:r w:rsidR="007125BC" w:rsidRPr="00226F9D">
        <w:rPr>
          <w:rFonts w:ascii="Times New Roman" w:hAnsi="Times New Roman" w:cs="Times New Roman"/>
          <w:i/>
          <w:lang w:val="sr-Cyrl-RS"/>
        </w:rPr>
        <w:t>од 50.000 становника могу формирати више управа за различите области</w:t>
      </w:r>
      <w:r w:rsidR="007125BC" w:rsidRPr="00226F9D">
        <w:rPr>
          <w:rFonts w:ascii="Times New Roman" w:hAnsi="Times New Roman" w:cs="Times New Roman"/>
          <w:lang w:val="sr-Cyrl-RS"/>
        </w:rPr>
        <w:t>.</w:t>
      </w:r>
      <w:r w:rsidR="0055084D" w:rsidRPr="00226F9D">
        <w:rPr>
          <w:rFonts w:ascii="Times New Roman" w:hAnsi="Times New Roman" w:cs="Times New Roman"/>
          <w:lang w:val="sr-Cyrl-RS"/>
        </w:rPr>
        <w:t xml:space="preserve"> Послови јединица локалне самоуправе, финансирају се из изворних и уступљених прихода, трансфера, примања по основу задуживања и других прихода утврђених законом.</w:t>
      </w:r>
    </w:p>
    <w:p w14:paraId="7496D954" w14:textId="77777777" w:rsidR="004B5FD1" w:rsidRPr="00226F9D" w:rsidRDefault="004B5FD1" w:rsidP="006B59F4">
      <w:pPr>
        <w:spacing w:after="0" w:line="240" w:lineRule="auto"/>
        <w:jc w:val="both"/>
        <w:rPr>
          <w:rFonts w:ascii="Times New Roman" w:hAnsi="Times New Roman" w:cs="Times New Roman"/>
          <w:lang w:val="sr-Cyrl-RS"/>
        </w:rPr>
      </w:pPr>
    </w:p>
    <w:p w14:paraId="3A954A52" w14:textId="2FED246B" w:rsidR="00D84AF7" w:rsidRPr="00226F9D" w:rsidRDefault="4E7771D6" w:rsidP="00D84AF7">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Расподела послова и одговорности у системима </w:t>
      </w:r>
      <w:r w:rsidR="5B456980" w:rsidRPr="00226F9D">
        <w:rPr>
          <w:rFonts w:ascii="Times New Roman" w:hAnsi="Times New Roman" w:cs="Times New Roman"/>
          <w:lang w:val="sr-Cyrl-RS"/>
        </w:rPr>
        <w:t xml:space="preserve">јавне власти је веома широка и комплексна тема. Историјска и упоредна искуства указују </w:t>
      </w:r>
      <w:r w:rsidR="20A8E05C" w:rsidRPr="00226F9D">
        <w:rPr>
          <w:rFonts w:ascii="Times New Roman" w:hAnsi="Times New Roman" w:cs="Times New Roman"/>
          <w:lang w:val="sr-Cyrl-RS"/>
        </w:rPr>
        <w:t>и на разлике и на сличности у различитим земљама и посебно различите таласе децентрализације или централизације</w:t>
      </w:r>
      <w:r w:rsidR="7E7651EE" w:rsidRPr="00226F9D">
        <w:rPr>
          <w:rFonts w:ascii="Times New Roman" w:hAnsi="Times New Roman" w:cs="Times New Roman"/>
          <w:lang w:val="sr-Cyrl-RS"/>
        </w:rPr>
        <w:t>, у зависности од конкретних историјских околности,</w:t>
      </w:r>
      <w:r w:rsidR="20A8E05C" w:rsidRPr="00226F9D">
        <w:rPr>
          <w:rFonts w:ascii="Times New Roman" w:hAnsi="Times New Roman" w:cs="Times New Roman"/>
          <w:lang w:val="sr-Cyrl-RS"/>
        </w:rPr>
        <w:t xml:space="preserve"> </w:t>
      </w:r>
      <w:r w:rsidR="7E7651EE" w:rsidRPr="00226F9D">
        <w:rPr>
          <w:rFonts w:ascii="Times New Roman" w:hAnsi="Times New Roman" w:cs="Times New Roman"/>
          <w:lang w:val="sr-Cyrl-RS"/>
        </w:rPr>
        <w:t xml:space="preserve">како на нивоу континента или неког региона тако и у појединачним земљама. </w:t>
      </w:r>
      <w:r w:rsidR="2FDC455B" w:rsidRPr="00226F9D">
        <w:rPr>
          <w:rFonts w:ascii="Times New Roman" w:hAnsi="Times New Roman" w:cs="Times New Roman"/>
          <w:lang w:val="sr-Cyrl-RS"/>
        </w:rPr>
        <w:t>На нивоу европског континента већ дуги низ година присутан је тренд децентрализације односно јачања одговорности субнационалних нивоа јавне власти.</w:t>
      </w:r>
      <w:r w:rsidR="7E7651EE" w:rsidRPr="00226F9D">
        <w:rPr>
          <w:rFonts w:ascii="Times New Roman" w:hAnsi="Times New Roman" w:cs="Times New Roman"/>
          <w:lang w:val="sr-Cyrl-RS"/>
        </w:rPr>
        <w:t xml:space="preserve"> </w:t>
      </w:r>
      <w:r w:rsidR="247631ED" w:rsidRPr="00226F9D">
        <w:rPr>
          <w:rFonts w:ascii="Times New Roman" w:hAnsi="Times New Roman" w:cs="Times New Roman"/>
          <w:lang w:val="sr-Cyrl-RS"/>
        </w:rPr>
        <w:t xml:space="preserve">Упоредна </w:t>
      </w:r>
      <w:r w:rsidR="3ADFA413" w:rsidRPr="00226F9D">
        <w:rPr>
          <w:rFonts w:ascii="Times New Roman" w:hAnsi="Times New Roman" w:cs="Times New Roman"/>
          <w:lang w:val="sr-Cyrl-RS"/>
        </w:rPr>
        <w:t xml:space="preserve">анализа </w:t>
      </w:r>
      <w:r w:rsidR="247631ED" w:rsidRPr="00226F9D">
        <w:rPr>
          <w:rFonts w:ascii="Times New Roman" w:hAnsi="Times New Roman" w:cs="Times New Roman"/>
          <w:lang w:val="sr-Cyrl-RS"/>
        </w:rPr>
        <w:t xml:space="preserve">у вези са </w:t>
      </w:r>
      <w:r w:rsidR="11BD5694" w:rsidRPr="00226F9D">
        <w:rPr>
          <w:rFonts w:ascii="Times New Roman" w:hAnsi="Times New Roman" w:cs="Times New Roman"/>
          <w:lang w:val="sr-Cyrl-RS"/>
        </w:rPr>
        <w:t xml:space="preserve">степеном одговорности које локална самоуправа </w:t>
      </w:r>
      <w:r w:rsidR="16D5500A" w:rsidRPr="00226F9D">
        <w:rPr>
          <w:rFonts w:ascii="Times New Roman" w:hAnsi="Times New Roman" w:cs="Times New Roman"/>
          <w:lang w:val="sr-Cyrl-RS"/>
        </w:rPr>
        <w:t xml:space="preserve">има у </w:t>
      </w:r>
      <w:r w:rsidR="3ADFA413" w:rsidRPr="00226F9D">
        <w:rPr>
          <w:rFonts w:ascii="Times New Roman" w:hAnsi="Times New Roman" w:cs="Times New Roman"/>
          <w:lang w:val="sr-Cyrl-RS"/>
        </w:rPr>
        <w:t>систем</w:t>
      </w:r>
      <w:r w:rsidR="16D5500A" w:rsidRPr="00226F9D">
        <w:rPr>
          <w:rFonts w:ascii="Times New Roman" w:hAnsi="Times New Roman" w:cs="Times New Roman"/>
          <w:lang w:val="sr-Cyrl-RS"/>
        </w:rPr>
        <w:t>има</w:t>
      </w:r>
      <w:r w:rsidR="3ADFA413" w:rsidRPr="00226F9D">
        <w:rPr>
          <w:rFonts w:ascii="Times New Roman" w:hAnsi="Times New Roman" w:cs="Times New Roman"/>
          <w:lang w:val="sr-Cyrl-RS"/>
        </w:rPr>
        <w:t xml:space="preserve"> локалне самоуправе Западног Балкана </w:t>
      </w:r>
      <w:r w:rsidR="16D5500A" w:rsidRPr="00226F9D">
        <w:rPr>
          <w:rFonts w:ascii="Times New Roman" w:hAnsi="Times New Roman" w:cs="Times New Roman"/>
          <w:lang w:val="sr-Cyrl-RS"/>
        </w:rPr>
        <w:t xml:space="preserve">посебно је обрађена у извештају </w:t>
      </w:r>
      <w:r w:rsidR="61D1F235" w:rsidRPr="00226F9D">
        <w:rPr>
          <w:rFonts w:ascii="Times New Roman" w:hAnsi="Times New Roman" w:cs="Times New Roman"/>
          <w:lang w:val="sr-Cyrl-RS"/>
        </w:rPr>
        <w:t>„Им</w:t>
      </w:r>
      <w:r w:rsidR="006B4266">
        <w:rPr>
          <w:rFonts w:ascii="Times New Roman" w:hAnsi="Times New Roman" w:cs="Times New Roman"/>
          <w:lang w:val="sr-Cyrl-RS"/>
        </w:rPr>
        <w:t>п</w:t>
      </w:r>
      <w:r w:rsidR="61D1F235" w:rsidRPr="00226F9D">
        <w:rPr>
          <w:rFonts w:ascii="Times New Roman" w:hAnsi="Times New Roman" w:cs="Times New Roman"/>
          <w:lang w:val="sr-Cyrl-RS"/>
        </w:rPr>
        <w:t>лементација и изазови у вишестепеног управљања на Западном Балкану“ који је изра</w:t>
      </w:r>
      <w:r w:rsidR="74CBA2C7" w:rsidRPr="00226F9D">
        <w:rPr>
          <w:rFonts w:ascii="Times New Roman" w:hAnsi="Times New Roman" w:cs="Times New Roman"/>
          <w:lang w:val="sr-Cyrl-RS"/>
        </w:rPr>
        <w:t>ђен у оквиру</w:t>
      </w:r>
      <w:r w:rsidR="61D1F235" w:rsidRPr="00226F9D">
        <w:rPr>
          <w:rFonts w:ascii="Times New Roman" w:hAnsi="Times New Roman" w:cs="Times New Roman"/>
          <w:lang w:val="sr-Cyrl-RS"/>
        </w:rPr>
        <w:t xml:space="preserve"> </w:t>
      </w:r>
      <w:r w:rsidR="04281813" w:rsidRPr="00226F9D">
        <w:rPr>
          <w:rFonts w:ascii="Times New Roman" w:hAnsi="Times New Roman" w:cs="Times New Roman"/>
        </w:rPr>
        <w:t>SIGMA</w:t>
      </w:r>
      <w:r w:rsidR="04281813" w:rsidRPr="00226F9D">
        <w:rPr>
          <w:rFonts w:ascii="Times New Roman" w:hAnsi="Times New Roman" w:cs="Times New Roman"/>
          <w:lang w:val="sr-Cyrl-RS"/>
        </w:rPr>
        <w:t xml:space="preserve"> </w:t>
      </w:r>
      <w:r w:rsidR="74CBA2C7" w:rsidRPr="00226F9D">
        <w:rPr>
          <w:rFonts w:ascii="Times New Roman" w:hAnsi="Times New Roman" w:cs="Times New Roman"/>
          <w:lang w:val="sr-Cyrl-RS"/>
        </w:rPr>
        <w:t>иницијативе ЕУ и ОЕЦД. У том извештају анализ</w:t>
      </w:r>
      <w:r w:rsidR="6C9DCE6F" w:rsidRPr="00226F9D">
        <w:rPr>
          <w:rFonts w:ascii="Times New Roman" w:hAnsi="Times New Roman" w:cs="Times New Roman"/>
          <w:lang w:val="sr-Cyrl-RS"/>
        </w:rPr>
        <w:t>иране су одговорности локалних власти на Западном Балкану</w:t>
      </w:r>
      <w:r w:rsidR="01B3B294" w:rsidRPr="00226F9D">
        <w:rPr>
          <w:rFonts w:ascii="Times New Roman" w:hAnsi="Times New Roman" w:cs="Times New Roman"/>
          <w:lang w:val="sr-Cyrl-RS"/>
        </w:rPr>
        <w:t xml:space="preserve"> и дато је основно поређење са узорком земаља ЕУ. Имајући у виду налазе овог извештаја, може се закључити да </w:t>
      </w:r>
      <w:r w:rsidR="002227E9" w:rsidRPr="00226F9D">
        <w:rPr>
          <w:rFonts w:ascii="Times New Roman" w:hAnsi="Times New Roman" w:cs="Times New Roman"/>
          <w:lang w:val="sr-Cyrl-RS"/>
        </w:rPr>
        <w:t>ј</w:t>
      </w:r>
      <w:r w:rsidR="01B3B294" w:rsidRPr="00226F9D">
        <w:rPr>
          <w:rFonts w:ascii="Times New Roman" w:hAnsi="Times New Roman" w:cs="Times New Roman"/>
          <w:lang w:val="sr-Cyrl-RS"/>
        </w:rPr>
        <w:t>е по степену одговорности, систем локалне самоуправе</w:t>
      </w:r>
      <w:r w:rsidR="006D15E3" w:rsidRPr="00226F9D">
        <w:rPr>
          <w:rFonts w:ascii="Times New Roman" w:hAnsi="Times New Roman" w:cs="Times New Roman"/>
          <w:lang w:val="sr-Cyrl-RS"/>
        </w:rPr>
        <w:t xml:space="preserve"> </w:t>
      </w:r>
      <w:r w:rsidR="008D3DE0" w:rsidRPr="00226F9D">
        <w:rPr>
          <w:rFonts w:ascii="Times New Roman" w:hAnsi="Times New Roman" w:cs="Times New Roman"/>
          <w:lang w:val="sr-Cyrl-RS"/>
        </w:rPr>
        <w:t>у Републици Србији</w:t>
      </w:r>
      <w:r w:rsidR="006D15E3" w:rsidRPr="00226F9D">
        <w:rPr>
          <w:rFonts w:ascii="Times New Roman" w:hAnsi="Times New Roman" w:cs="Times New Roman"/>
          <w:lang w:val="sr-Cyrl-RS"/>
        </w:rPr>
        <w:t xml:space="preserve"> изнад просека Западног Балкана.</w:t>
      </w:r>
      <w:r w:rsidRPr="00226F9D">
        <w:rPr>
          <w:rStyle w:val="FootnoteReference"/>
          <w:rFonts w:ascii="Times New Roman" w:hAnsi="Times New Roman" w:cs="Times New Roman"/>
          <w:lang w:val="sr-Cyrl-RS"/>
        </w:rPr>
        <w:footnoteReference w:id="26"/>
      </w:r>
    </w:p>
    <w:p w14:paraId="1C192C80" w14:textId="77777777" w:rsidR="00D84AF7" w:rsidRPr="00226F9D" w:rsidRDefault="00D84AF7" w:rsidP="00D84AF7">
      <w:pPr>
        <w:spacing w:after="0" w:line="240" w:lineRule="auto"/>
        <w:jc w:val="both"/>
        <w:rPr>
          <w:rFonts w:ascii="Times New Roman" w:hAnsi="Times New Roman" w:cs="Times New Roman"/>
          <w:lang w:val="sr-Cyrl-RS"/>
        </w:rPr>
      </w:pPr>
    </w:p>
    <w:p w14:paraId="4C8E5D76" w14:textId="0558B64F" w:rsidR="00D84AF7" w:rsidRPr="00226F9D" w:rsidRDefault="3600B2A3" w:rsidP="00D84AF7">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Међутим, како се истиче у овом извештају, у поређењу са земљама Западног Балкана, државе чланице ЕУ у већој мери преносе надлежности на локалне самоуправе, што резултира ширим спектром одговорности на локалном нивоу. Иако су надлежности у областима комуналних услуга и техничке инфраструктуре, попут управљања отпадом и водоснабдевања, релативно упоредиве, локалне власти у ЕУ имају значајнију улогу у обезбеђивању образовних и социјалних услуга, док здравствена заштита углавном остаје у надлежности виших нивоа власти</w:t>
      </w:r>
      <w:r w:rsidR="4749F9A0" w:rsidRPr="00226F9D">
        <w:rPr>
          <w:rFonts w:ascii="Times New Roman" w:hAnsi="Times New Roman" w:cs="Times New Roman"/>
          <w:lang w:val="sr-Cyrl-RS"/>
        </w:rPr>
        <w:t xml:space="preserve"> и у овим системима јавне управе</w:t>
      </w:r>
      <w:r w:rsidRPr="00226F9D">
        <w:rPr>
          <w:rFonts w:ascii="Times New Roman" w:hAnsi="Times New Roman" w:cs="Times New Roman"/>
          <w:lang w:val="sr-Cyrl-RS"/>
        </w:rPr>
        <w:t xml:space="preserve">. У појединим државама чланицама, као што су Аустрија, Естонија и Пољска, локалне самоуправе носе кључну одговорност за предшколско, основно и средње образовање, као и за социјалну заштиту, док је у другим, попут Грчке, обим локалних надлежности ближи моделима присутним на Западном Балкану. Истовремено, </w:t>
      </w:r>
      <w:r w:rsidR="463671A4" w:rsidRPr="00226F9D">
        <w:rPr>
          <w:rFonts w:ascii="Times New Roman" w:hAnsi="Times New Roman" w:cs="Times New Roman"/>
          <w:lang w:val="sr-Cyrl-RS"/>
        </w:rPr>
        <w:t xml:space="preserve">у извештају СИГМА указује се и на то да </w:t>
      </w:r>
      <w:r w:rsidRPr="00226F9D">
        <w:rPr>
          <w:rFonts w:ascii="Times New Roman" w:hAnsi="Times New Roman" w:cs="Times New Roman"/>
          <w:lang w:val="sr-Cyrl-RS"/>
        </w:rPr>
        <w:t>искуства показују да процес децентрализације, иако доприноси већој прилагођености политика локалним потребама, може довести до фрагментације јавних политика и неефикасности, што указује на потребу за јачањем координације и вертикалне усклађености између националног и локалног нивоа власти.</w:t>
      </w:r>
      <w:r w:rsidR="404C82B1" w:rsidRPr="00226F9D">
        <w:rPr>
          <w:rStyle w:val="FootnoteReference"/>
          <w:rFonts w:ascii="Times New Roman" w:hAnsi="Times New Roman" w:cs="Times New Roman"/>
          <w:lang w:val="sr-Cyrl-RS"/>
        </w:rPr>
        <w:t xml:space="preserve"> </w:t>
      </w:r>
      <w:r w:rsidR="107F4C17" w:rsidRPr="00226F9D">
        <w:rPr>
          <w:rFonts w:ascii="Times New Roman" w:hAnsi="Times New Roman" w:cs="Times New Roman"/>
          <w:lang w:val="sr-Cyrl-RS"/>
        </w:rPr>
        <w:t xml:space="preserve">Имајући у виду упоредна искуства и стање у системима локалне самоуправе на Западном Балкану, </w:t>
      </w:r>
      <w:r w:rsidR="04281813" w:rsidRPr="00226F9D">
        <w:rPr>
          <w:rFonts w:ascii="Times New Roman" w:hAnsi="Times New Roman" w:cs="Times New Roman"/>
        </w:rPr>
        <w:t>SIGMA</w:t>
      </w:r>
      <w:r w:rsidR="107F4C17" w:rsidRPr="00226F9D">
        <w:rPr>
          <w:rFonts w:ascii="Times New Roman" w:hAnsi="Times New Roman" w:cs="Times New Roman"/>
          <w:lang w:val="sr-Cyrl-RS"/>
        </w:rPr>
        <w:t xml:space="preserve"> препоручује</w:t>
      </w:r>
      <w:r w:rsidR="283F7FFE" w:rsidRPr="00226F9D">
        <w:rPr>
          <w:rFonts w:ascii="Times New Roman" w:hAnsi="Times New Roman" w:cs="Times New Roman"/>
          <w:lang w:val="sr-Cyrl-RS"/>
        </w:rPr>
        <w:t xml:space="preserve"> да је у овом региону у</w:t>
      </w:r>
      <w:r w:rsidR="107F4C17" w:rsidRPr="00226F9D">
        <w:rPr>
          <w:rFonts w:ascii="Times New Roman" w:hAnsi="Times New Roman" w:cs="Times New Roman"/>
          <w:lang w:val="sr-Cyrl-RS"/>
        </w:rPr>
        <w:t xml:space="preserve"> циљу јачања локалне самоуправе, потребно  ускладити формалне надлежности са стварним овлашћењима, како би општине имале стварну аутономију у креирању и спровођењу политика. Додела одговорности мора бити праћена адекватним и предвидивим финансијским ресурсима, уз надзор ограничен на </w:t>
      </w:r>
      <w:r w:rsidR="107F4C17" w:rsidRPr="00226F9D">
        <w:rPr>
          <w:rFonts w:ascii="Times New Roman" w:hAnsi="Times New Roman" w:cs="Times New Roman"/>
          <w:lang w:val="sr-Cyrl-RS"/>
        </w:rPr>
        <w:lastRenderedPageBreak/>
        <w:t>законитост и сразмерност. Истовремено, неопходно је редовно преиспитивање расподеле надлежности</w:t>
      </w:r>
      <w:r w:rsidR="5BA95FAD" w:rsidRPr="00226F9D">
        <w:rPr>
          <w:rFonts w:ascii="Times New Roman" w:hAnsi="Times New Roman" w:cs="Times New Roman"/>
          <w:lang w:val="sr-Cyrl-RS"/>
        </w:rPr>
        <w:t xml:space="preserve"> у систему целокупне јавне управе (национални, регионални и локални ниво),</w:t>
      </w:r>
      <w:r w:rsidR="107F4C17" w:rsidRPr="00226F9D">
        <w:rPr>
          <w:rFonts w:ascii="Times New Roman" w:hAnsi="Times New Roman" w:cs="Times New Roman"/>
          <w:lang w:val="sr-Cyrl-RS"/>
        </w:rPr>
        <w:t xml:space="preserve"> између </w:t>
      </w:r>
      <w:r w:rsidR="5AEF9129" w:rsidRPr="00226F9D">
        <w:rPr>
          <w:rFonts w:ascii="Times New Roman" w:hAnsi="Times New Roman" w:cs="Times New Roman"/>
          <w:lang w:val="sr-Cyrl-RS"/>
        </w:rPr>
        <w:t xml:space="preserve">националног нивоа власти и асоцијација локалне самоуправе </w:t>
      </w:r>
      <w:r w:rsidR="107F4C17" w:rsidRPr="00226F9D">
        <w:rPr>
          <w:rFonts w:ascii="Times New Roman" w:hAnsi="Times New Roman" w:cs="Times New Roman"/>
          <w:lang w:val="sr-Cyrl-RS"/>
        </w:rPr>
        <w:t>и</w:t>
      </w:r>
      <w:r w:rsidR="03EE339C" w:rsidRPr="00226F9D">
        <w:rPr>
          <w:rFonts w:ascii="Times New Roman" w:hAnsi="Times New Roman" w:cs="Times New Roman"/>
          <w:lang w:val="sr-Cyrl-RS"/>
        </w:rPr>
        <w:t xml:space="preserve"> способности локалних власти да </w:t>
      </w:r>
      <w:r w:rsidR="05E8D60F" w:rsidRPr="00226F9D">
        <w:rPr>
          <w:rFonts w:ascii="Times New Roman" w:hAnsi="Times New Roman" w:cs="Times New Roman"/>
          <w:lang w:val="sr-Cyrl-RS"/>
        </w:rPr>
        <w:t>прате потребе и унапреде</w:t>
      </w:r>
      <w:r w:rsidR="4A06E461" w:rsidRPr="00226F9D">
        <w:rPr>
          <w:rFonts w:ascii="Times New Roman" w:hAnsi="Times New Roman" w:cs="Times New Roman"/>
          <w:lang w:val="sr-Cyrl-RS"/>
        </w:rPr>
        <w:t xml:space="preserve"> своју</w:t>
      </w:r>
      <w:r w:rsidR="05E8D60F" w:rsidRPr="00226F9D">
        <w:rPr>
          <w:rFonts w:ascii="Times New Roman" w:hAnsi="Times New Roman" w:cs="Times New Roman"/>
          <w:lang w:val="sr-Cyrl-RS"/>
        </w:rPr>
        <w:t xml:space="preserve"> ефикасност, као и</w:t>
      </w:r>
      <w:r w:rsidR="107F4C17" w:rsidRPr="00226F9D">
        <w:rPr>
          <w:rFonts w:ascii="Times New Roman" w:hAnsi="Times New Roman" w:cs="Times New Roman"/>
          <w:lang w:val="sr-Cyrl-RS"/>
        </w:rPr>
        <w:t xml:space="preserve"> разматрање проширења улоге локалних самоуправа у образовању и другим кључним јавним услугама, у складу са праксом ЕУ</w:t>
      </w:r>
      <w:r w:rsidR="283F7FFE" w:rsidRPr="00226F9D">
        <w:rPr>
          <w:rFonts w:ascii="Times New Roman" w:hAnsi="Times New Roman" w:cs="Times New Roman"/>
          <w:lang w:val="sr-Cyrl-RS"/>
        </w:rPr>
        <w:t>.</w:t>
      </w:r>
      <w:r w:rsidRPr="00226F9D">
        <w:rPr>
          <w:rStyle w:val="FootnoteReference"/>
          <w:rFonts w:ascii="Times New Roman" w:hAnsi="Times New Roman" w:cs="Times New Roman"/>
          <w:lang w:val="sr-Cyrl-RS"/>
        </w:rPr>
        <w:footnoteReference w:id="27"/>
      </w:r>
    </w:p>
    <w:p w14:paraId="62A2D05B" w14:textId="77777777" w:rsidR="46663705" w:rsidRPr="00226F9D" w:rsidRDefault="46663705" w:rsidP="006B59F4">
      <w:pPr>
        <w:spacing w:after="0" w:line="240" w:lineRule="auto"/>
        <w:jc w:val="both"/>
        <w:rPr>
          <w:rFonts w:ascii="Times New Roman" w:hAnsi="Times New Roman" w:cs="Times New Roman"/>
          <w:lang w:val="sr-Cyrl-RS"/>
        </w:rPr>
      </w:pPr>
    </w:p>
    <w:p w14:paraId="1C64FC0C" w14:textId="1CEE5AFC" w:rsidR="74E419B0" w:rsidRPr="00226F9D" w:rsidRDefault="44BC7173"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Законом о запосленима у АП и ЈЛС су успостављена основна начела каријерног службеничког система за службенике запослене у органима АП и ЈЛС, чиме су испуњене основне претпоставке за професионализацију, деполитизацију, каријерни развој, напредовање у служби и стручно усавршавање службеника на покрајинском и локалном нивоу. </w:t>
      </w:r>
      <w:r w:rsidR="05D9A5ED" w:rsidRPr="00226F9D">
        <w:rPr>
          <w:rFonts w:ascii="Times New Roman" w:hAnsi="Times New Roman" w:cs="Times New Roman"/>
          <w:lang w:val="sr-Cyrl-RS"/>
        </w:rPr>
        <w:t>Управљање људским ресурсима у локалној самоуправ</w:t>
      </w:r>
      <w:r w:rsidR="00B04132" w:rsidRPr="00226F9D">
        <w:rPr>
          <w:rFonts w:ascii="Times New Roman" w:hAnsi="Times New Roman" w:cs="Times New Roman"/>
          <w:lang w:val="sr-Cyrl-RS"/>
        </w:rPr>
        <w:t>и</w:t>
      </w:r>
      <w:r w:rsidR="05D9A5ED" w:rsidRPr="00226F9D">
        <w:rPr>
          <w:rFonts w:ascii="Times New Roman" w:hAnsi="Times New Roman" w:cs="Times New Roman"/>
          <w:lang w:val="sr-Cyrl-RS"/>
        </w:rPr>
        <w:t xml:space="preserve"> заснива се на компетенцијама</w:t>
      </w:r>
      <w:r w:rsidR="008740BF" w:rsidRPr="00226F9D">
        <w:rPr>
          <w:rFonts w:ascii="Times New Roman" w:hAnsi="Times New Roman" w:cs="Times New Roman"/>
          <w:lang w:val="sr-Cyrl-RS"/>
        </w:rPr>
        <w:t>,</w:t>
      </w:r>
      <w:r w:rsidR="05D9A5ED" w:rsidRPr="00226F9D">
        <w:rPr>
          <w:rFonts w:ascii="Times New Roman" w:hAnsi="Times New Roman" w:cs="Times New Roman"/>
          <w:lang w:val="sr-Cyrl-RS"/>
        </w:rPr>
        <w:t xml:space="preserve"> што представља модел оријентисан </w:t>
      </w:r>
      <w:r w:rsidR="2E4CEB43" w:rsidRPr="00226F9D">
        <w:rPr>
          <w:rFonts w:ascii="Times New Roman" w:hAnsi="Times New Roman" w:cs="Times New Roman"/>
          <w:lang w:val="sr-Cyrl-RS"/>
        </w:rPr>
        <w:t xml:space="preserve">на појединца </w:t>
      </w:r>
      <w:r w:rsidR="008740BF" w:rsidRPr="00226F9D">
        <w:rPr>
          <w:rFonts w:ascii="Times New Roman" w:hAnsi="Times New Roman" w:cs="Times New Roman"/>
          <w:lang w:val="sr-Cyrl-RS"/>
        </w:rPr>
        <w:t>к</w:t>
      </w:r>
      <w:r w:rsidR="7FCA2F29" w:rsidRPr="00226F9D">
        <w:rPr>
          <w:rFonts w:ascii="Times New Roman" w:hAnsi="Times New Roman" w:cs="Times New Roman"/>
          <w:lang w:val="sr-Cyrl-RS"/>
        </w:rPr>
        <w:t>о</w:t>
      </w:r>
      <w:r w:rsidR="008740BF" w:rsidRPr="00226F9D">
        <w:rPr>
          <w:rFonts w:ascii="Times New Roman" w:hAnsi="Times New Roman" w:cs="Times New Roman"/>
          <w:lang w:val="sr-Cyrl-RS"/>
        </w:rPr>
        <w:t>ји</w:t>
      </w:r>
      <w:r w:rsidR="2E4CEB43" w:rsidRPr="00226F9D">
        <w:rPr>
          <w:rFonts w:ascii="Times New Roman" w:hAnsi="Times New Roman" w:cs="Times New Roman"/>
          <w:lang w:val="sr-Cyrl-RS"/>
        </w:rPr>
        <w:t xml:space="preserve"> омогућава да</w:t>
      </w:r>
      <w:r w:rsidR="2E4CEB43" w:rsidRPr="00226F9D" w:rsidDel="00530954">
        <w:rPr>
          <w:rFonts w:ascii="Times New Roman" w:hAnsi="Times New Roman" w:cs="Times New Roman"/>
          <w:lang w:val="sr-Cyrl-RS"/>
        </w:rPr>
        <w:t xml:space="preserve"> </w:t>
      </w:r>
      <w:r w:rsidR="2E4CEB43" w:rsidRPr="00226F9D">
        <w:rPr>
          <w:rFonts w:ascii="Times New Roman" w:hAnsi="Times New Roman" w:cs="Times New Roman"/>
          <w:lang w:val="sr-Cyrl-RS"/>
        </w:rPr>
        <w:t xml:space="preserve">управа </w:t>
      </w:r>
      <w:r w:rsidR="00530954" w:rsidRPr="00226F9D">
        <w:rPr>
          <w:rFonts w:ascii="Times New Roman" w:hAnsi="Times New Roman" w:cs="Times New Roman"/>
          <w:lang w:val="sr-Cyrl-RS"/>
        </w:rPr>
        <w:t xml:space="preserve">појединца </w:t>
      </w:r>
      <w:r w:rsidR="2E4CEB43" w:rsidRPr="00226F9D">
        <w:rPr>
          <w:rFonts w:ascii="Times New Roman" w:hAnsi="Times New Roman" w:cs="Times New Roman"/>
          <w:lang w:val="sr-Cyrl-RS"/>
        </w:rPr>
        <w:t xml:space="preserve">препозна </w:t>
      </w:r>
      <w:r w:rsidR="7FCA2F29" w:rsidRPr="00226F9D">
        <w:rPr>
          <w:rFonts w:ascii="Times New Roman" w:hAnsi="Times New Roman" w:cs="Times New Roman"/>
          <w:lang w:val="sr-Cyrl-RS"/>
        </w:rPr>
        <w:t>као капитал</w:t>
      </w:r>
      <w:r w:rsidR="2E4CEB43" w:rsidRPr="00226F9D">
        <w:rPr>
          <w:rFonts w:ascii="Times New Roman" w:hAnsi="Times New Roman" w:cs="Times New Roman"/>
          <w:lang w:val="sr-Cyrl-RS"/>
        </w:rPr>
        <w:t>,</w:t>
      </w:r>
      <w:r w:rsidR="45D5A249" w:rsidRPr="00226F9D">
        <w:rPr>
          <w:rFonts w:ascii="Times New Roman" w:hAnsi="Times New Roman" w:cs="Times New Roman"/>
          <w:lang w:val="sr-Cyrl-RS"/>
        </w:rPr>
        <w:t xml:space="preserve"> да се</w:t>
      </w:r>
      <w:r w:rsidR="2E4CEB43" w:rsidRPr="00226F9D">
        <w:rPr>
          <w:rFonts w:ascii="Times New Roman" w:hAnsi="Times New Roman" w:cs="Times New Roman"/>
          <w:lang w:val="sr-Cyrl-RS"/>
        </w:rPr>
        <w:t xml:space="preserve"> развија и усклађује </w:t>
      </w:r>
      <w:r w:rsidR="00530954" w:rsidRPr="00226F9D">
        <w:rPr>
          <w:rFonts w:ascii="Times New Roman" w:hAnsi="Times New Roman" w:cs="Times New Roman"/>
          <w:lang w:val="sr-Cyrl-RS"/>
        </w:rPr>
        <w:t xml:space="preserve">са </w:t>
      </w:r>
      <w:r w:rsidR="2E4CEB43" w:rsidRPr="00226F9D">
        <w:rPr>
          <w:rFonts w:ascii="Times New Roman" w:hAnsi="Times New Roman" w:cs="Times New Roman"/>
          <w:lang w:val="sr-Cyrl-RS"/>
        </w:rPr>
        <w:t>потребама организације, како би она остварила своје циљеве.</w:t>
      </w:r>
      <w:r w:rsidR="5DC048B3" w:rsidRPr="00226F9D">
        <w:rPr>
          <w:rFonts w:ascii="Times New Roman" w:hAnsi="Times New Roman" w:cs="Times New Roman"/>
          <w:lang w:val="sr-Cyrl-RS"/>
        </w:rPr>
        <w:t xml:space="preserve"> </w:t>
      </w:r>
      <w:r w:rsidR="0B23B972" w:rsidRPr="00226F9D">
        <w:rPr>
          <w:rFonts w:ascii="Times New Roman" w:hAnsi="Times New Roman" w:cs="Times New Roman"/>
          <w:lang w:val="sr-Cyrl-RS"/>
        </w:rPr>
        <w:t>Примена овог модела у управама омогућава повезивање ефикасног извршавања задатака на радном месту са стратешким циљевима организације што је и једна од најважнијих функција овог модела.</w:t>
      </w:r>
    </w:p>
    <w:p w14:paraId="47D9B3A5" w14:textId="77777777" w:rsidR="00C27AE6" w:rsidRPr="00226F9D" w:rsidRDefault="00C27AE6" w:rsidP="006B59F4">
      <w:pPr>
        <w:spacing w:after="0" w:line="240" w:lineRule="auto"/>
        <w:jc w:val="both"/>
        <w:rPr>
          <w:rFonts w:ascii="Times New Roman" w:hAnsi="Times New Roman" w:cs="Times New Roman"/>
          <w:lang w:val="sr-Cyrl-R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50"/>
      </w:tblGrid>
      <w:tr w:rsidR="003D1657" w:rsidRPr="00226F9D" w14:paraId="73EBB081" w14:textId="77777777" w:rsidTr="003D1657">
        <w:trPr>
          <w:trHeight w:val="361"/>
        </w:trPr>
        <w:tc>
          <w:tcPr>
            <w:tcW w:w="9350" w:type="dxa"/>
          </w:tcPr>
          <w:p w14:paraId="7ED95DAD" w14:textId="62F30C9C" w:rsidR="003D1657" w:rsidRPr="00226F9D" w:rsidRDefault="003D1657" w:rsidP="003D1657">
            <w:pPr>
              <w:rPr>
                <w:rFonts w:ascii="Times New Roman" w:hAnsi="Times New Roman" w:cs="Times New Roman"/>
                <w:b/>
                <w:bCs/>
                <w:sz w:val="20"/>
                <w:szCs w:val="20"/>
                <w:lang w:val="sr-Latn-RS"/>
              </w:rPr>
            </w:pPr>
            <w:r w:rsidRPr="00226F9D">
              <w:rPr>
                <w:rFonts w:ascii="Times New Roman" w:hAnsi="Times New Roman" w:cs="Times New Roman"/>
                <w:b/>
                <w:bCs/>
                <w:sz w:val="20"/>
                <w:szCs w:val="20"/>
                <w:lang w:val="sr-Latn-RS"/>
              </w:rPr>
              <w:t>K</w:t>
            </w:r>
            <w:r w:rsidRPr="00226F9D">
              <w:rPr>
                <w:rFonts w:ascii="Times New Roman" w:hAnsi="Times New Roman" w:cs="Times New Roman"/>
                <w:b/>
                <w:bCs/>
                <w:sz w:val="20"/>
                <w:szCs w:val="20"/>
                <w:lang w:val="sr-Cyrl-RS"/>
              </w:rPr>
              <w:t>ључне одреднице система локалне самоуправе</w:t>
            </w:r>
          </w:p>
        </w:tc>
      </w:tr>
      <w:tr w:rsidR="000257F8" w:rsidRPr="00226F9D" w14:paraId="510DA6A8" w14:textId="77777777" w:rsidTr="003D1657">
        <w:tc>
          <w:tcPr>
            <w:tcW w:w="9350" w:type="dxa"/>
          </w:tcPr>
          <w:p w14:paraId="10948565" w14:textId="249030CB" w:rsidR="000257F8" w:rsidRPr="00226F9D" w:rsidRDefault="000257F8" w:rsidP="003924BE">
            <w:pPr>
              <w:pStyle w:val="ListParagraph"/>
              <w:numPr>
                <w:ilvl w:val="0"/>
                <w:numId w:val="19"/>
              </w:numPr>
              <w:jc w:val="both"/>
              <w:rPr>
                <w:rFonts w:ascii="Times New Roman" w:hAnsi="Times New Roman" w:cs="Times New Roman"/>
                <w:sz w:val="20"/>
                <w:szCs w:val="20"/>
                <w:lang w:val="sr-Cyrl-RS"/>
              </w:rPr>
            </w:pPr>
            <w:r w:rsidRPr="00226F9D">
              <w:rPr>
                <w:rFonts w:ascii="Times New Roman" w:hAnsi="Times New Roman" w:cs="Times New Roman"/>
                <w:b/>
                <w:bCs/>
                <w:sz w:val="20"/>
                <w:szCs w:val="20"/>
                <w:lang w:val="sr-Cyrl-RS"/>
              </w:rPr>
              <w:t>Аутономија</w:t>
            </w:r>
            <w:r w:rsidRPr="00226F9D">
              <w:rPr>
                <w:rFonts w:ascii="Times New Roman" w:hAnsi="Times New Roman" w:cs="Times New Roman"/>
                <w:sz w:val="20"/>
                <w:szCs w:val="20"/>
                <w:lang w:val="sr-Cyrl-RS"/>
              </w:rPr>
              <w:t xml:space="preserve"> </w:t>
            </w:r>
            <w:r w:rsidR="005F7E54" w:rsidRPr="00226F9D">
              <w:rPr>
                <w:rFonts w:ascii="Times New Roman" w:hAnsi="Times New Roman" w:cs="Times New Roman"/>
                <w:sz w:val="20"/>
                <w:szCs w:val="20"/>
                <w:lang w:val="sr-Cyrl-RS"/>
              </w:rPr>
              <w:t>–</w:t>
            </w:r>
            <w:r w:rsidRPr="00226F9D">
              <w:rPr>
                <w:rFonts w:ascii="Times New Roman" w:hAnsi="Times New Roman" w:cs="Times New Roman"/>
                <w:sz w:val="20"/>
                <w:szCs w:val="20"/>
                <w:lang w:val="sr-Cyrl-RS"/>
              </w:rPr>
              <w:t xml:space="preserve"> право јединица локалне самоуправе да самостално уређују своје послове и органе у складу са законом.</w:t>
            </w:r>
          </w:p>
          <w:p w14:paraId="2CCE2B4A" w14:textId="07461722" w:rsidR="000257F8" w:rsidRPr="00226F9D" w:rsidRDefault="000257F8" w:rsidP="003924BE">
            <w:pPr>
              <w:pStyle w:val="ListParagraph"/>
              <w:numPr>
                <w:ilvl w:val="0"/>
                <w:numId w:val="19"/>
              </w:numPr>
              <w:jc w:val="both"/>
              <w:rPr>
                <w:rFonts w:ascii="Times New Roman" w:hAnsi="Times New Roman" w:cs="Times New Roman"/>
                <w:sz w:val="20"/>
                <w:szCs w:val="20"/>
                <w:lang w:val="sr-Cyrl-RS"/>
              </w:rPr>
            </w:pPr>
            <w:r w:rsidRPr="00226F9D">
              <w:rPr>
                <w:rFonts w:ascii="Times New Roman" w:hAnsi="Times New Roman" w:cs="Times New Roman"/>
                <w:b/>
                <w:bCs/>
                <w:sz w:val="20"/>
                <w:szCs w:val="20"/>
                <w:lang w:val="sr-Cyrl-RS"/>
              </w:rPr>
              <w:t>Једностепени систем</w:t>
            </w:r>
            <w:r w:rsidRPr="00226F9D">
              <w:rPr>
                <w:rFonts w:ascii="Times New Roman" w:hAnsi="Times New Roman" w:cs="Times New Roman"/>
                <w:sz w:val="20"/>
                <w:szCs w:val="20"/>
                <w:lang w:val="sr-Cyrl-RS"/>
              </w:rPr>
              <w:t xml:space="preserve"> </w:t>
            </w:r>
            <w:r w:rsidR="00DA1DFA" w:rsidRPr="00226F9D">
              <w:rPr>
                <w:rFonts w:ascii="Times New Roman" w:hAnsi="Times New Roman" w:cs="Times New Roman"/>
                <w:sz w:val="20"/>
                <w:szCs w:val="20"/>
                <w:lang w:val="sr-Cyrl-RS"/>
              </w:rPr>
              <w:t>–</w:t>
            </w:r>
            <w:r w:rsidRPr="00226F9D">
              <w:rPr>
                <w:rFonts w:ascii="Times New Roman" w:hAnsi="Times New Roman" w:cs="Times New Roman"/>
                <w:sz w:val="20"/>
                <w:szCs w:val="20"/>
                <w:lang w:val="sr-Cyrl-RS"/>
              </w:rPr>
              <w:t xml:space="preserve"> без више нивоа локалне самоуправе (општин</w:t>
            </w:r>
            <w:r w:rsidR="00A83B5F" w:rsidRPr="00226F9D">
              <w:rPr>
                <w:rFonts w:ascii="Times New Roman" w:hAnsi="Times New Roman" w:cs="Times New Roman"/>
                <w:sz w:val="20"/>
                <w:szCs w:val="20"/>
                <w:lang w:val="sr-Cyrl-RS"/>
              </w:rPr>
              <w:t>е</w:t>
            </w:r>
            <w:r w:rsidRPr="00226F9D">
              <w:rPr>
                <w:rFonts w:ascii="Times New Roman" w:hAnsi="Times New Roman" w:cs="Times New Roman"/>
                <w:sz w:val="20"/>
                <w:szCs w:val="20"/>
                <w:lang w:val="sr-Cyrl-RS"/>
              </w:rPr>
              <w:t xml:space="preserve"> и градови су структурално слични).</w:t>
            </w:r>
          </w:p>
          <w:p w14:paraId="7C5F872D" w14:textId="3029FFB1" w:rsidR="000257F8" w:rsidRPr="00226F9D" w:rsidRDefault="000257F8" w:rsidP="003924BE">
            <w:pPr>
              <w:pStyle w:val="ListParagraph"/>
              <w:numPr>
                <w:ilvl w:val="0"/>
                <w:numId w:val="19"/>
              </w:numPr>
              <w:jc w:val="both"/>
              <w:rPr>
                <w:rFonts w:ascii="Times New Roman" w:hAnsi="Times New Roman" w:cs="Times New Roman"/>
                <w:sz w:val="20"/>
                <w:szCs w:val="20"/>
                <w:lang w:val="sr-Cyrl-RS"/>
              </w:rPr>
            </w:pPr>
            <w:r w:rsidRPr="00226F9D">
              <w:rPr>
                <w:rFonts w:ascii="Times New Roman" w:hAnsi="Times New Roman" w:cs="Times New Roman"/>
                <w:b/>
                <w:sz w:val="20"/>
                <w:szCs w:val="20"/>
                <w:lang w:val="sr-Cyrl-RS"/>
              </w:rPr>
              <w:t>Пропорционални изборни систем</w:t>
            </w:r>
            <w:r w:rsidRPr="00226F9D">
              <w:rPr>
                <w:rFonts w:ascii="Times New Roman" w:hAnsi="Times New Roman" w:cs="Times New Roman"/>
                <w:sz w:val="20"/>
                <w:szCs w:val="20"/>
                <w:lang w:val="sr-Cyrl-RS"/>
              </w:rPr>
              <w:t xml:space="preserve"> – </w:t>
            </w:r>
            <w:r w:rsidR="003218FC" w:rsidRPr="00226F9D">
              <w:rPr>
                <w:rFonts w:ascii="Times New Roman" w:hAnsi="Times New Roman" w:cs="Times New Roman"/>
                <w:sz w:val="20"/>
                <w:szCs w:val="20"/>
                <w:lang w:val="sr-Cyrl-RS"/>
              </w:rPr>
              <w:t xml:space="preserve">свака </w:t>
            </w:r>
            <w:r w:rsidR="004763C0" w:rsidRPr="00226F9D">
              <w:rPr>
                <w:rFonts w:ascii="Times New Roman" w:hAnsi="Times New Roman" w:cs="Times New Roman"/>
                <w:sz w:val="20"/>
                <w:szCs w:val="20"/>
                <w:lang w:val="sr-Cyrl-RS"/>
              </w:rPr>
              <w:t xml:space="preserve">ЈЛС је једна изборна јединица, гласа </w:t>
            </w:r>
            <w:r w:rsidR="00D10EF1" w:rsidRPr="00226F9D">
              <w:rPr>
                <w:rFonts w:ascii="Times New Roman" w:hAnsi="Times New Roman" w:cs="Times New Roman"/>
                <w:sz w:val="20"/>
                <w:szCs w:val="20"/>
                <w:lang w:val="sr-Cyrl-RS"/>
              </w:rPr>
              <w:t xml:space="preserve">се </w:t>
            </w:r>
            <w:r w:rsidR="004763C0" w:rsidRPr="00226F9D">
              <w:rPr>
                <w:rFonts w:ascii="Times New Roman" w:hAnsi="Times New Roman" w:cs="Times New Roman"/>
                <w:sz w:val="20"/>
                <w:szCs w:val="20"/>
                <w:lang w:val="sr-Cyrl-RS"/>
              </w:rPr>
              <w:t xml:space="preserve">за кандидатске листе, а мандати се расподељују </w:t>
            </w:r>
            <w:r w:rsidR="003218FC" w:rsidRPr="00226F9D">
              <w:rPr>
                <w:rFonts w:ascii="Times New Roman" w:hAnsi="Times New Roman" w:cs="Times New Roman"/>
                <w:sz w:val="20"/>
                <w:szCs w:val="20"/>
                <w:lang w:val="sr-Cyrl-RS"/>
              </w:rPr>
              <w:t xml:space="preserve">у складу са </w:t>
            </w:r>
            <w:r w:rsidR="00D10EF1" w:rsidRPr="00226F9D">
              <w:rPr>
                <w:rFonts w:ascii="Times New Roman" w:hAnsi="Times New Roman" w:cs="Times New Roman"/>
                <w:sz w:val="20"/>
                <w:szCs w:val="20"/>
                <w:lang w:val="sr-Cyrl-RS"/>
              </w:rPr>
              <w:t xml:space="preserve">процентом добијених гласова </w:t>
            </w:r>
            <w:r w:rsidR="004763C0" w:rsidRPr="00226F9D">
              <w:rPr>
                <w:rFonts w:ascii="Times New Roman" w:hAnsi="Times New Roman" w:cs="Times New Roman"/>
                <w:sz w:val="20"/>
                <w:szCs w:val="20"/>
                <w:lang w:val="sr-Cyrl-RS"/>
              </w:rPr>
              <w:t>применом система</w:t>
            </w:r>
            <w:r w:rsidR="004E7CC8" w:rsidRPr="00226F9D">
              <w:rPr>
                <w:rFonts w:ascii="Times New Roman" w:hAnsi="Times New Roman" w:cs="Times New Roman"/>
                <w:sz w:val="20"/>
                <w:szCs w:val="20"/>
                <w:lang w:val="sr-Cyrl-RS"/>
              </w:rPr>
              <w:t xml:space="preserve"> највећег количника</w:t>
            </w:r>
            <w:r w:rsidR="00D10EF1" w:rsidRPr="00226F9D">
              <w:rPr>
                <w:rFonts w:ascii="Times New Roman" w:hAnsi="Times New Roman" w:cs="Times New Roman"/>
                <w:sz w:val="20"/>
                <w:szCs w:val="20"/>
                <w:lang w:val="sr-Cyrl-RS"/>
              </w:rPr>
              <w:t xml:space="preserve"> (</w:t>
            </w:r>
            <w:r w:rsidR="004763C0" w:rsidRPr="00226F9D">
              <w:rPr>
                <w:rFonts w:ascii="Times New Roman" w:hAnsi="Times New Roman" w:cs="Times New Roman"/>
                <w:sz w:val="20"/>
                <w:szCs w:val="20"/>
                <w:lang w:val="sr-Cyrl-RS"/>
              </w:rPr>
              <w:t>Д’Онтов систем</w:t>
            </w:r>
            <w:r w:rsidR="00D10EF1" w:rsidRPr="00226F9D">
              <w:rPr>
                <w:rFonts w:ascii="Times New Roman" w:hAnsi="Times New Roman" w:cs="Times New Roman"/>
                <w:sz w:val="20"/>
                <w:szCs w:val="20"/>
                <w:lang w:val="sr-Cyrl-RS"/>
              </w:rPr>
              <w:t>)</w:t>
            </w:r>
          </w:p>
          <w:p w14:paraId="30E604F5" w14:textId="3AEFB122" w:rsidR="004439C7" w:rsidRPr="00226F9D" w:rsidRDefault="000257F8" w:rsidP="003924BE">
            <w:pPr>
              <w:pStyle w:val="ListParagraph"/>
              <w:numPr>
                <w:ilvl w:val="0"/>
                <w:numId w:val="19"/>
              </w:numPr>
              <w:jc w:val="both"/>
              <w:rPr>
                <w:rFonts w:ascii="Times New Roman" w:hAnsi="Times New Roman" w:cs="Times New Roman"/>
                <w:sz w:val="20"/>
                <w:szCs w:val="20"/>
                <w:lang w:val="sr-Cyrl-RS"/>
              </w:rPr>
            </w:pPr>
            <w:r w:rsidRPr="00226F9D">
              <w:rPr>
                <w:rFonts w:ascii="Times New Roman" w:hAnsi="Times New Roman" w:cs="Times New Roman"/>
                <w:b/>
                <w:bCs/>
                <w:sz w:val="20"/>
                <w:szCs w:val="20"/>
                <w:lang w:val="sr-Cyrl-RS"/>
              </w:rPr>
              <w:t>Расподела одговорности на више локалних органа</w:t>
            </w:r>
            <w:r w:rsidRPr="00226F9D">
              <w:rPr>
                <w:rFonts w:ascii="Times New Roman" w:hAnsi="Times New Roman" w:cs="Times New Roman"/>
                <w:sz w:val="20"/>
                <w:szCs w:val="20"/>
                <w:lang w:val="sr-Cyrl-RS"/>
              </w:rPr>
              <w:t xml:space="preserve"> – </w:t>
            </w:r>
            <w:r w:rsidR="00277893" w:rsidRPr="00226F9D">
              <w:rPr>
                <w:rFonts w:ascii="Times New Roman" w:hAnsi="Times New Roman" w:cs="Times New Roman"/>
                <w:sz w:val="20"/>
                <w:szCs w:val="20"/>
                <w:lang w:val="sr-Cyrl-RS"/>
              </w:rPr>
              <w:t>ск</w:t>
            </w:r>
            <w:r w:rsidR="004439C7" w:rsidRPr="00226F9D">
              <w:rPr>
                <w:rFonts w:ascii="Times New Roman" w:hAnsi="Times New Roman" w:cs="Times New Roman"/>
                <w:sz w:val="20"/>
                <w:szCs w:val="20"/>
                <w:lang w:val="sr-Cyrl-RS"/>
              </w:rPr>
              <w:t xml:space="preserve">упштина - највиши, представнички орган; </w:t>
            </w:r>
            <w:r w:rsidR="00277893" w:rsidRPr="00226F9D">
              <w:rPr>
                <w:rFonts w:ascii="Times New Roman" w:hAnsi="Times New Roman" w:cs="Times New Roman"/>
                <w:sz w:val="20"/>
                <w:szCs w:val="20"/>
                <w:lang w:val="sr-Cyrl-RS"/>
              </w:rPr>
              <w:t>и</w:t>
            </w:r>
            <w:r w:rsidR="004439C7" w:rsidRPr="00226F9D">
              <w:rPr>
                <w:rFonts w:ascii="Times New Roman" w:hAnsi="Times New Roman" w:cs="Times New Roman"/>
                <w:sz w:val="20"/>
                <w:szCs w:val="20"/>
                <w:lang w:val="sr-Cyrl-RS"/>
              </w:rPr>
              <w:t>звршни органи општине - председник општине/градоначелник и веће; Управа;</w:t>
            </w:r>
            <w:r w:rsidR="00277893" w:rsidRPr="00226F9D">
              <w:rPr>
                <w:rFonts w:ascii="Times New Roman" w:hAnsi="Times New Roman" w:cs="Times New Roman"/>
                <w:sz w:val="20"/>
                <w:szCs w:val="20"/>
                <w:lang w:val="sr-Cyrl-RS"/>
              </w:rPr>
              <w:t xml:space="preserve"> локално правобранилаштво</w:t>
            </w:r>
            <w:r w:rsidR="00806157" w:rsidRPr="00226F9D">
              <w:rPr>
                <w:rFonts w:ascii="Times New Roman" w:hAnsi="Times New Roman" w:cs="Times New Roman"/>
                <w:sz w:val="20"/>
                <w:szCs w:val="20"/>
                <w:lang w:val="sr-Cyrl-RS"/>
              </w:rPr>
              <w:t xml:space="preserve"> </w:t>
            </w:r>
          </w:p>
          <w:p w14:paraId="46A3D298" w14:textId="07E7147D" w:rsidR="000257F8" w:rsidRPr="00226F9D" w:rsidRDefault="000257F8" w:rsidP="003924BE">
            <w:pPr>
              <w:pStyle w:val="ListParagraph"/>
              <w:numPr>
                <w:ilvl w:val="0"/>
                <w:numId w:val="19"/>
              </w:numPr>
              <w:jc w:val="both"/>
              <w:rPr>
                <w:rFonts w:ascii="Times New Roman" w:hAnsi="Times New Roman" w:cs="Times New Roman"/>
                <w:sz w:val="20"/>
                <w:szCs w:val="20"/>
                <w:lang w:val="sr-Cyrl-RS"/>
              </w:rPr>
            </w:pPr>
            <w:r w:rsidRPr="00226F9D">
              <w:rPr>
                <w:rFonts w:ascii="Times New Roman" w:hAnsi="Times New Roman" w:cs="Times New Roman"/>
                <w:b/>
                <w:bCs/>
                <w:sz w:val="20"/>
                <w:szCs w:val="20"/>
                <w:lang w:val="sr-Cyrl-RS"/>
              </w:rPr>
              <w:t>Различити облици организовања функција</w:t>
            </w:r>
            <w:r w:rsidRPr="00226F9D">
              <w:rPr>
                <w:rFonts w:ascii="Times New Roman" w:hAnsi="Times New Roman" w:cs="Times New Roman"/>
                <w:sz w:val="20"/>
                <w:szCs w:val="20"/>
                <w:lang w:val="sr-Cyrl-RS"/>
              </w:rPr>
              <w:t xml:space="preserve"> </w:t>
            </w:r>
            <w:r w:rsidR="00DA1DFA" w:rsidRPr="00226F9D">
              <w:rPr>
                <w:rFonts w:ascii="Times New Roman" w:hAnsi="Times New Roman" w:cs="Times New Roman"/>
                <w:sz w:val="20"/>
                <w:szCs w:val="20"/>
                <w:lang w:val="sr-Cyrl-RS"/>
              </w:rPr>
              <w:t>–</w:t>
            </w:r>
            <w:r w:rsidRPr="00226F9D">
              <w:rPr>
                <w:rFonts w:ascii="Times New Roman" w:hAnsi="Times New Roman" w:cs="Times New Roman"/>
                <w:sz w:val="20"/>
                <w:szCs w:val="20"/>
                <w:lang w:val="sr-Cyrl-RS"/>
              </w:rPr>
              <w:t xml:space="preserve"> ЈЛС могу да организују своје установе, предузећа и друге правне облике за обављање послова</w:t>
            </w:r>
            <w:r w:rsidR="001D42DB" w:rsidRPr="00226F9D">
              <w:rPr>
                <w:rFonts w:ascii="Times New Roman" w:hAnsi="Times New Roman" w:cs="Times New Roman"/>
                <w:sz w:val="20"/>
                <w:szCs w:val="20"/>
                <w:lang w:val="sr-Cyrl-RS"/>
              </w:rPr>
              <w:t>, а могу</w:t>
            </w:r>
            <w:r w:rsidR="006A1AE8" w:rsidRPr="00226F9D">
              <w:rPr>
                <w:rFonts w:ascii="Times New Roman" w:hAnsi="Times New Roman" w:cs="Times New Roman"/>
                <w:sz w:val="20"/>
                <w:szCs w:val="20"/>
                <w:lang w:val="sr-Cyrl-RS"/>
              </w:rPr>
              <w:t xml:space="preserve"> да успоставе и </w:t>
            </w:r>
            <w:r w:rsidR="00452E33" w:rsidRPr="00226F9D">
              <w:rPr>
                <w:rFonts w:ascii="Times New Roman" w:hAnsi="Times New Roman" w:cs="Times New Roman"/>
                <w:sz w:val="20"/>
                <w:szCs w:val="20"/>
                <w:lang w:val="sr-Cyrl-RS"/>
              </w:rPr>
              <w:t xml:space="preserve">локалног омбудсмана као </w:t>
            </w:r>
            <w:r w:rsidR="006A1AE8" w:rsidRPr="00226F9D">
              <w:rPr>
                <w:rFonts w:ascii="Times New Roman" w:hAnsi="Times New Roman" w:cs="Times New Roman"/>
                <w:sz w:val="20"/>
                <w:szCs w:val="20"/>
                <w:lang w:val="sr-Cyrl-RS"/>
              </w:rPr>
              <w:t xml:space="preserve">институцију за заштиту права грађана </w:t>
            </w:r>
          </w:p>
          <w:p w14:paraId="15D2DB2D" w14:textId="77777777" w:rsidR="000257F8" w:rsidRPr="00226F9D" w:rsidRDefault="000257F8" w:rsidP="003924BE">
            <w:pPr>
              <w:pStyle w:val="ListParagraph"/>
              <w:numPr>
                <w:ilvl w:val="0"/>
                <w:numId w:val="19"/>
              </w:numPr>
              <w:jc w:val="both"/>
              <w:rPr>
                <w:rFonts w:ascii="Times New Roman" w:hAnsi="Times New Roman" w:cs="Times New Roman"/>
                <w:sz w:val="20"/>
                <w:szCs w:val="20"/>
                <w:lang w:val="sr-Cyrl-RS"/>
              </w:rPr>
            </w:pPr>
            <w:r w:rsidRPr="00226F9D">
              <w:rPr>
                <w:rFonts w:ascii="Times New Roman" w:hAnsi="Times New Roman" w:cs="Times New Roman"/>
                <w:b/>
                <w:bCs/>
                <w:sz w:val="20"/>
                <w:szCs w:val="20"/>
                <w:lang w:val="sr-Cyrl-RS"/>
              </w:rPr>
              <w:t>Право грађана на непосредно учешће и одлучивање</w:t>
            </w:r>
            <w:r w:rsidRPr="00226F9D">
              <w:rPr>
                <w:rFonts w:ascii="Times New Roman" w:hAnsi="Times New Roman" w:cs="Times New Roman"/>
                <w:sz w:val="20"/>
                <w:szCs w:val="20"/>
                <w:lang w:val="sr-Cyrl-RS"/>
              </w:rPr>
              <w:t xml:space="preserve"> – кроз референдум, народну иницијативу, збор грађана, организовање месних заједница, јавне расправе, петиције и јавна слушања</w:t>
            </w:r>
          </w:p>
          <w:p w14:paraId="2912CB4A" w14:textId="552F0B8A" w:rsidR="000257F8" w:rsidRPr="00226F9D" w:rsidRDefault="000257F8" w:rsidP="003924BE">
            <w:pPr>
              <w:pStyle w:val="ListParagraph"/>
              <w:numPr>
                <w:ilvl w:val="0"/>
                <w:numId w:val="19"/>
              </w:numPr>
              <w:jc w:val="both"/>
              <w:rPr>
                <w:rFonts w:ascii="Times New Roman" w:hAnsi="Times New Roman" w:cs="Times New Roman"/>
                <w:sz w:val="20"/>
                <w:szCs w:val="20"/>
                <w:lang w:val="sr-Cyrl-RS"/>
              </w:rPr>
            </w:pPr>
            <w:r w:rsidRPr="00226F9D">
              <w:rPr>
                <w:rFonts w:ascii="Times New Roman" w:hAnsi="Times New Roman" w:cs="Times New Roman"/>
                <w:b/>
                <w:bCs/>
                <w:sz w:val="20"/>
                <w:szCs w:val="20"/>
                <w:lang w:val="sr-Cyrl-RS"/>
              </w:rPr>
              <w:t>Финансијска самосталност</w:t>
            </w:r>
            <w:r w:rsidRPr="00226F9D">
              <w:rPr>
                <w:rFonts w:ascii="Times New Roman" w:hAnsi="Times New Roman" w:cs="Times New Roman"/>
                <w:sz w:val="20"/>
                <w:szCs w:val="20"/>
                <w:lang w:val="sr-Cyrl-RS"/>
              </w:rPr>
              <w:t xml:space="preserve"> – самостално управљање буџетом, приходи који су гарантовани законом, самостално утврђивање и наплата локалних прихода, и др.</w:t>
            </w:r>
          </w:p>
        </w:tc>
      </w:tr>
    </w:tbl>
    <w:p w14:paraId="0CA1441E" w14:textId="77777777" w:rsidR="003D1657" w:rsidRPr="00226F9D" w:rsidRDefault="003D1657" w:rsidP="006B59F4">
      <w:pPr>
        <w:spacing w:after="0" w:line="240" w:lineRule="auto"/>
        <w:jc w:val="both"/>
        <w:rPr>
          <w:rStyle w:val="normaltextrun"/>
          <w:rFonts w:ascii="Times New Roman" w:hAnsi="Times New Roman" w:cs="Times New Roman"/>
          <w:lang w:val="sr-Latn-RS"/>
        </w:rPr>
      </w:pPr>
    </w:p>
    <w:p w14:paraId="04F09B0E" w14:textId="6B438142" w:rsidR="00911F9B" w:rsidRPr="00226F9D" w:rsidRDefault="00911F9B" w:rsidP="58BFBFDD">
      <w:pPr>
        <w:spacing w:after="0" w:line="240" w:lineRule="auto"/>
        <w:jc w:val="both"/>
        <w:rPr>
          <w:rFonts w:ascii="Times New Roman" w:hAnsi="Times New Roman" w:cs="Times New Roman"/>
          <w:lang w:val="sr-Cyrl-RS"/>
        </w:rPr>
      </w:pPr>
      <w:r w:rsidRPr="00226F9D">
        <w:rPr>
          <w:rStyle w:val="normaltextrun"/>
          <w:rFonts w:ascii="Times New Roman" w:hAnsi="Times New Roman" w:cs="Times New Roman"/>
          <w:lang w:val="sr-Cyrl-RS"/>
        </w:rPr>
        <w:t xml:space="preserve">Важан део остваривања локалне самоуправе јесте </w:t>
      </w:r>
      <w:r w:rsidRPr="00226F9D">
        <w:rPr>
          <w:rStyle w:val="normaltextrun"/>
          <w:rFonts w:ascii="Times New Roman" w:hAnsi="Times New Roman" w:cs="Times New Roman"/>
          <w:b/>
          <w:bCs/>
          <w:lang w:val="sr-Cyrl-RS"/>
        </w:rPr>
        <w:t>финансирање локалне самоуправе</w:t>
      </w:r>
      <w:r w:rsidRPr="00226F9D">
        <w:rPr>
          <w:rStyle w:val="normaltextrun"/>
          <w:rFonts w:ascii="Times New Roman" w:hAnsi="Times New Roman" w:cs="Times New Roman"/>
          <w:lang w:val="sr-Cyrl-RS"/>
        </w:rPr>
        <w:t xml:space="preserve"> као сложен и вишеслојан систем уређен низом прописа, који би требало да омогуће локалним самоуправама стабилне и предвидиве изворе прихода за обављање њихових надлежности, као и да подстакну фискалну одговорност и ефикасно управљање јавним финансијама на локалном нивоу.</w:t>
      </w:r>
    </w:p>
    <w:p w14:paraId="52151B16" w14:textId="0D09D4AF" w:rsidR="00911F9B" w:rsidRPr="00226F9D" w:rsidRDefault="00911F9B" w:rsidP="006B59F4">
      <w:pPr>
        <w:spacing w:after="0" w:line="240" w:lineRule="auto"/>
        <w:jc w:val="both"/>
        <w:rPr>
          <w:rFonts w:ascii="Times New Roman" w:hAnsi="Times New Roman" w:cs="Times New Roman"/>
          <w:lang w:val="sr-Cyrl-RS"/>
        </w:rPr>
      </w:pPr>
      <w:r w:rsidRPr="00226F9D">
        <w:rPr>
          <w:rStyle w:val="eop"/>
          <w:rFonts w:ascii="Times New Roman" w:hAnsi="Times New Roman" w:cs="Times New Roman"/>
          <w:lang w:val="sr-Latn-RS"/>
        </w:rPr>
        <w:t> </w:t>
      </w:r>
    </w:p>
    <w:p w14:paraId="749D221E" w14:textId="51325EC9" w:rsidR="00CA74DA" w:rsidRPr="00226F9D" w:rsidRDefault="00911F9B" w:rsidP="006B59F4">
      <w:pPr>
        <w:spacing w:after="0" w:line="240" w:lineRule="auto"/>
        <w:jc w:val="both"/>
        <w:rPr>
          <w:rStyle w:val="normaltextrun"/>
          <w:rFonts w:ascii="Times New Roman" w:hAnsi="Times New Roman" w:cs="Times New Roman"/>
          <w:lang w:val="sr-Latn-RS"/>
        </w:rPr>
      </w:pPr>
      <w:r w:rsidRPr="00226F9D">
        <w:rPr>
          <w:rStyle w:val="normaltextrun"/>
          <w:rFonts w:ascii="Times New Roman" w:hAnsi="Times New Roman" w:cs="Times New Roman"/>
          <w:lang w:val="sr-Cyrl-RS"/>
        </w:rPr>
        <w:t xml:space="preserve">Финансирање локалне самоуправе заснива се на Уставу Републике Србије и законима као што су </w:t>
      </w:r>
      <w:r w:rsidR="00367727" w:rsidRPr="00226F9D">
        <w:rPr>
          <w:rStyle w:val="normaltextrun"/>
          <w:rFonts w:ascii="Times New Roman" w:hAnsi="Times New Roman" w:cs="Times New Roman"/>
          <w:lang w:val="sr-Cyrl-RS"/>
        </w:rPr>
        <w:t>ЗЛС</w:t>
      </w:r>
      <w:r w:rsidRPr="00226F9D">
        <w:rPr>
          <w:rStyle w:val="normaltextrun"/>
          <w:rFonts w:ascii="Times New Roman" w:hAnsi="Times New Roman" w:cs="Times New Roman"/>
          <w:lang w:val="sr-Cyrl-RS"/>
        </w:rPr>
        <w:t>, ЗОФЛС, Закон о буџетском систему</w:t>
      </w:r>
      <w:r w:rsidR="00F0311C" w:rsidRPr="00226F9D">
        <w:rPr>
          <w:rStyle w:val="FootnoteReference"/>
          <w:rFonts w:ascii="Times New Roman" w:hAnsi="Times New Roman" w:cs="Times New Roman"/>
          <w:lang w:val="sr-Cyrl-RS"/>
        </w:rPr>
        <w:footnoteReference w:id="28"/>
      </w:r>
      <w:r w:rsidRPr="00226F9D">
        <w:rPr>
          <w:rStyle w:val="normaltextrun"/>
          <w:rFonts w:ascii="Times New Roman" w:hAnsi="Times New Roman" w:cs="Times New Roman"/>
          <w:lang w:val="sr-Cyrl-RS"/>
        </w:rPr>
        <w:t>, Закон о јавном дугу</w:t>
      </w:r>
      <w:r w:rsidR="006D4E3D" w:rsidRPr="00226F9D">
        <w:rPr>
          <w:rStyle w:val="FootnoteReference"/>
          <w:rFonts w:ascii="Times New Roman" w:hAnsi="Times New Roman" w:cs="Times New Roman"/>
          <w:lang w:val="sr-Cyrl-RS"/>
        </w:rPr>
        <w:footnoteReference w:id="29"/>
      </w:r>
      <w:r w:rsidRPr="00226F9D">
        <w:rPr>
          <w:rStyle w:val="normaltextrun"/>
          <w:rFonts w:ascii="Times New Roman" w:hAnsi="Times New Roman" w:cs="Times New Roman"/>
          <w:lang w:val="sr-Cyrl-RS"/>
        </w:rPr>
        <w:t xml:space="preserve">, Закон о порезима на </w:t>
      </w:r>
      <w:r w:rsidRPr="00226F9D">
        <w:rPr>
          <w:rStyle w:val="normaltextrun"/>
          <w:rFonts w:ascii="Times New Roman" w:hAnsi="Times New Roman" w:cs="Times New Roman"/>
          <w:lang w:val="sr-Cyrl-RS"/>
        </w:rPr>
        <w:lastRenderedPageBreak/>
        <w:t>имовину (</w:t>
      </w:r>
      <w:r w:rsidR="00857BF8" w:rsidRPr="00226F9D">
        <w:rPr>
          <w:rStyle w:val="normaltextrun"/>
          <w:rFonts w:ascii="Times New Roman" w:hAnsi="Times New Roman" w:cs="Times New Roman"/>
          <w:lang w:val="sr-Cyrl-RS"/>
        </w:rPr>
        <w:t xml:space="preserve">у даљем тексту: </w:t>
      </w:r>
      <w:r w:rsidRPr="00226F9D">
        <w:rPr>
          <w:rStyle w:val="normaltextrun"/>
          <w:rFonts w:ascii="Times New Roman" w:hAnsi="Times New Roman" w:cs="Times New Roman"/>
          <w:lang w:val="sr-Cyrl-RS"/>
        </w:rPr>
        <w:t>ЗПНИ)</w:t>
      </w:r>
      <w:r w:rsidR="0019500E" w:rsidRPr="00226F9D">
        <w:rPr>
          <w:rStyle w:val="FootnoteReference"/>
          <w:rFonts w:ascii="Times New Roman" w:hAnsi="Times New Roman" w:cs="Times New Roman"/>
          <w:lang w:val="sr-Cyrl-RS"/>
        </w:rPr>
        <w:footnoteReference w:id="30"/>
      </w:r>
      <w:r w:rsidRPr="00226F9D">
        <w:rPr>
          <w:rStyle w:val="normaltextrun"/>
          <w:rFonts w:ascii="Times New Roman" w:hAnsi="Times New Roman" w:cs="Times New Roman"/>
          <w:lang w:val="sr-Cyrl-RS"/>
        </w:rPr>
        <w:t>, Закон о накнадама за коришћење јавних добара</w:t>
      </w:r>
      <w:r w:rsidR="00131E91" w:rsidRPr="00226F9D">
        <w:rPr>
          <w:rStyle w:val="FootnoteReference"/>
          <w:rFonts w:ascii="Times New Roman" w:hAnsi="Times New Roman" w:cs="Times New Roman"/>
          <w:lang w:val="sr-Cyrl-RS"/>
        </w:rPr>
        <w:footnoteReference w:id="31"/>
      </w:r>
      <w:r w:rsidRPr="00226F9D">
        <w:rPr>
          <w:rStyle w:val="normaltextrun"/>
          <w:rFonts w:ascii="Times New Roman" w:hAnsi="Times New Roman" w:cs="Times New Roman"/>
          <w:lang w:val="sr-Cyrl-RS"/>
        </w:rPr>
        <w:t>, и др. Ови закони прописују изворе прихода, права и обавезе локалних самоуправа, али и правила за управљање приходима, расходима, задуживањем и контролом финансијског пословања.</w:t>
      </w:r>
    </w:p>
    <w:p w14:paraId="2878DFBE" w14:textId="77777777" w:rsidR="003D1657" w:rsidRPr="00226F9D" w:rsidRDefault="003D1657" w:rsidP="006B59F4">
      <w:pPr>
        <w:spacing w:after="0" w:line="240" w:lineRule="auto"/>
        <w:jc w:val="both"/>
        <w:rPr>
          <w:rStyle w:val="normaltextrun"/>
          <w:rFonts w:ascii="Times New Roman" w:hAnsi="Times New Roman" w:cs="Times New Roman"/>
          <w:lang w:val="sr-Latn-RS"/>
        </w:rPr>
      </w:pPr>
    </w:p>
    <w:p w14:paraId="70031BB5" w14:textId="5241342A" w:rsidR="00B33B35" w:rsidRPr="00226F9D" w:rsidRDefault="5AF820E3"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Период од 2021. до 2025. године није био обележен великим променама када су у питању законска решења у вези са локалним финансијама. То се превасходно односи на Закон о финансирању локалне самоуправе који је најважнији закон којим се уређује обезбеђивање средстава за обављање изворних и поверених послова.</w:t>
      </w:r>
      <w:r w:rsidR="006B4266">
        <w:rPr>
          <w:rFonts w:ascii="Times New Roman" w:hAnsi="Times New Roman" w:cs="Times New Roman"/>
          <w:lang w:val="sr-Cyrl-RS"/>
        </w:rPr>
        <w:t xml:space="preserve"> Иако су приходи од 2017. године</w:t>
      </w:r>
      <w:r w:rsidRPr="00226F9D">
        <w:rPr>
          <w:rFonts w:ascii="Times New Roman" w:hAnsi="Times New Roman" w:cs="Times New Roman"/>
          <w:lang w:val="sr-Cyrl-RS"/>
        </w:rPr>
        <w:t xml:space="preserve"> номинално константно расли, њихов удео у укупним јавним приходима се из године у годину смањивао</w:t>
      </w:r>
      <w:r w:rsidR="00911F9B" w:rsidRPr="00226F9D">
        <w:rPr>
          <w:rStyle w:val="FootnoteReference"/>
          <w:rFonts w:ascii="Times New Roman" w:hAnsi="Times New Roman" w:cs="Times New Roman"/>
        </w:rPr>
        <w:footnoteReference w:id="32"/>
      </w:r>
      <w:r w:rsidRPr="00226F9D">
        <w:rPr>
          <w:rFonts w:ascii="Times New Roman" w:hAnsi="Times New Roman" w:cs="Times New Roman"/>
          <w:color w:val="EE0000"/>
          <w:lang w:val="sr-Cyrl-RS"/>
        </w:rPr>
        <w:t xml:space="preserve"> </w:t>
      </w:r>
      <w:r w:rsidRPr="00226F9D">
        <w:rPr>
          <w:rFonts w:ascii="Times New Roman" w:hAnsi="Times New Roman" w:cs="Times New Roman"/>
          <w:lang w:val="sr-Cyrl-RS"/>
        </w:rPr>
        <w:t>(Приказ 1).</w:t>
      </w:r>
    </w:p>
    <w:p w14:paraId="5F802B80" w14:textId="77777777" w:rsidR="00B33B35" w:rsidRPr="00226F9D" w:rsidRDefault="00B33B35" w:rsidP="006B59F4">
      <w:pPr>
        <w:spacing w:after="0" w:line="240" w:lineRule="auto"/>
        <w:jc w:val="both"/>
        <w:rPr>
          <w:rFonts w:ascii="Times New Roman" w:hAnsi="Times New Roman" w:cs="Times New Roman"/>
          <w:lang w:val="sr-Cyrl-RS"/>
        </w:rPr>
      </w:pPr>
    </w:p>
    <w:p w14:paraId="581C084E" w14:textId="67D62FA4" w:rsidR="00911F9B" w:rsidRPr="00226F9D" w:rsidRDefault="00911F9B" w:rsidP="006B59F4">
      <w:pPr>
        <w:spacing w:after="0" w:line="240" w:lineRule="auto"/>
        <w:jc w:val="both"/>
        <w:rPr>
          <w:rFonts w:ascii="Times New Roman" w:hAnsi="Times New Roman" w:cs="Times New Roman"/>
          <w:lang w:val="sr-Latn-RS"/>
        </w:rPr>
      </w:pPr>
      <w:r w:rsidRPr="00226F9D">
        <w:rPr>
          <w:rFonts w:ascii="Times New Roman" w:hAnsi="Times New Roman" w:cs="Times New Roman"/>
          <w:b/>
          <w:bCs/>
          <w:i/>
          <w:color w:val="404040" w:themeColor="text1" w:themeTint="BF"/>
          <w:lang w:val="sr-Cyrl-RS"/>
        </w:rPr>
        <w:t>Приказ 1:</w:t>
      </w:r>
      <w:r w:rsidRPr="00226F9D">
        <w:rPr>
          <w:rFonts w:ascii="Times New Roman" w:hAnsi="Times New Roman" w:cs="Times New Roman"/>
          <w:i/>
          <w:color w:val="404040" w:themeColor="text1" w:themeTint="BF"/>
          <w:lang w:val="sr-Cyrl-RS"/>
        </w:rPr>
        <w:t xml:space="preserve"> Приходи</w:t>
      </w:r>
      <w:r w:rsidRPr="00226F9D">
        <w:rPr>
          <w:rFonts w:ascii="Times New Roman" w:hAnsi="Times New Roman" w:cs="Times New Roman"/>
          <w:i/>
          <w:iCs/>
          <w:color w:val="404040" w:themeColor="text1" w:themeTint="BF"/>
          <w:lang w:val="sr-Cyrl-RS"/>
        </w:rPr>
        <w:t xml:space="preserve"> ЈЛС 2017-2024,</w:t>
      </w:r>
      <w:r w:rsidRPr="00226F9D">
        <w:rPr>
          <w:rFonts w:ascii="Times New Roman" w:hAnsi="Times New Roman" w:cs="Times New Roman"/>
          <w:i/>
          <w:color w:val="404040" w:themeColor="text1" w:themeTint="BF"/>
          <w:lang w:val="sr-Cyrl-RS"/>
        </w:rPr>
        <w:t xml:space="preserve"> у милијардама РСД</w:t>
      </w:r>
      <w:r w:rsidRPr="00226F9D">
        <w:rPr>
          <w:rFonts w:ascii="Times New Roman" w:hAnsi="Times New Roman" w:cs="Times New Roman"/>
          <w:i/>
          <w:iCs/>
          <w:color w:val="404040" w:themeColor="text1" w:themeTint="BF"/>
          <w:lang w:val="sr-Cyrl-RS"/>
        </w:rPr>
        <w:t xml:space="preserve"> </w:t>
      </w:r>
      <w:r w:rsidRPr="00226F9D">
        <w:rPr>
          <w:rFonts w:ascii="Times New Roman" w:hAnsi="Times New Roman" w:cs="Times New Roman"/>
          <w:i/>
          <w:color w:val="404040" w:themeColor="text1" w:themeTint="BF"/>
          <w:lang w:val="sr-Cyrl-RS"/>
        </w:rPr>
        <w:t xml:space="preserve">и њихово учешће у консолидованим приходима државе (извор: </w:t>
      </w:r>
      <w:r w:rsidRPr="00226F9D">
        <w:rPr>
          <w:rFonts w:ascii="Times New Roman" w:hAnsi="Times New Roman" w:cs="Times New Roman"/>
          <w:i/>
          <w:iCs/>
          <w:color w:val="404040" w:themeColor="text1" w:themeTint="BF"/>
          <w:lang w:val="sr-Cyrl-RS"/>
        </w:rPr>
        <w:t xml:space="preserve">Билтен </w:t>
      </w:r>
      <w:r w:rsidRPr="00226F9D">
        <w:rPr>
          <w:rFonts w:ascii="Times New Roman" w:hAnsi="Times New Roman" w:cs="Times New Roman"/>
          <w:i/>
          <w:color w:val="404040" w:themeColor="text1" w:themeTint="BF"/>
          <w:lang w:val="sr-Cyrl-RS"/>
        </w:rPr>
        <w:t>јавних финансија</w:t>
      </w:r>
      <w:r w:rsidR="00B87FCE" w:rsidRPr="00226F9D">
        <w:rPr>
          <w:rFonts w:ascii="Times New Roman" w:hAnsi="Times New Roman" w:cs="Times New Roman"/>
          <w:i/>
          <w:color w:val="404040" w:themeColor="text1" w:themeTint="BF"/>
          <w:lang w:val="sr-Cyrl-RS"/>
        </w:rPr>
        <w:t>,</w:t>
      </w:r>
      <w:r w:rsidRPr="00226F9D">
        <w:rPr>
          <w:rFonts w:ascii="Times New Roman" w:hAnsi="Times New Roman" w:cs="Times New Roman"/>
          <w:i/>
          <w:color w:val="404040" w:themeColor="text1" w:themeTint="BF"/>
          <w:lang w:val="sr-Cyrl-RS"/>
        </w:rPr>
        <w:t xml:space="preserve"> Министарство финансија)</w:t>
      </w:r>
    </w:p>
    <w:p w14:paraId="042AE910" w14:textId="77777777" w:rsidR="001F3DC4" w:rsidRPr="00226F9D" w:rsidRDefault="001F3DC4" w:rsidP="006B59F4">
      <w:pPr>
        <w:spacing w:after="0" w:line="240" w:lineRule="auto"/>
        <w:jc w:val="both"/>
        <w:rPr>
          <w:rFonts w:ascii="Times New Roman" w:hAnsi="Times New Roman" w:cs="Times New Roman"/>
          <w:lang w:val="sr-Latn-RS"/>
        </w:rPr>
      </w:pPr>
    </w:p>
    <w:p w14:paraId="46777DCA" w14:textId="4D5850EA" w:rsidR="00911F9B" w:rsidRPr="00226F9D" w:rsidRDefault="00C0275E" w:rsidP="006B59F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noProof/>
        </w:rPr>
        <w:drawing>
          <wp:inline distT="0" distB="0" distL="0" distR="0" wp14:anchorId="5024F1B4" wp14:editId="47356DBE">
            <wp:extent cx="6102350" cy="2133600"/>
            <wp:effectExtent l="0" t="0" r="6350" b="12700"/>
            <wp:docPr id="235581356" name="Chart 1">
              <a:extLst xmlns:a="http://schemas.openxmlformats.org/drawingml/2006/main">
                <a:ext uri="{FF2B5EF4-FFF2-40B4-BE49-F238E27FC236}">
                  <a16:creationId xmlns:a16="http://schemas.microsoft.com/office/drawing/2014/main" id="{761DD226-6CBF-05A5-E81A-4E275E4BE6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521CD9" w14:textId="77777777" w:rsidR="00B176CD" w:rsidRPr="00226F9D" w:rsidRDefault="00B176CD" w:rsidP="006B59F4">
      <w:pPr>
        <w:spacing w:after="0" w:line="240" w:lineRule="auto"/>
        <w:jc w:val="both"/>
        <w:rPr>
          <w:rStyle w:val="normaltextrun"/>
          <w:rFonts w:ascii="Times New Roman" w:hAnsi="Times New Roman" w:cs="Times New Roman"/>
          <w:lang w:val="sr-Cyrl-RS"/>
        </w:rPr>
      </w:pPr>
    </w:p>
    <w:p w14:paraId="3E012DE9" w14:textId="186B4BA2" w:rsidR="00911F9B" w:rsidRPr="00226F9D" w:rsidRDefault="5AF820E3" w:rsidP="006B59F4">
      <w:pPr>
        <w:spacing w:after="0" w:line="240" w:lineRule="auto"/>
        <w:jc w:val="both"/>
        <w:rPr>
          <w:rStyle w:val="normaltextrun"/>
          <w:rFonts w:ascii="Times New Roman" w:hAnsi="Times New Roman" w:cs="Times New Roman"/>
          <w:lang w:val="sr-Latn-RS"/>
        </w:rPr>
      </w:pPr>
      <w:r w:rsidRPr="00226F9D">
        <w:rPr>
          <w:rStyle w:val="normaltextrun"/>
          <w:rFonts w:ascii="Times New Roman" w:hAnsi="Times New Roman" w:cs="Times New Roman"/>
          <w:lang w:val="sr-Cyrl-CS"/>
        </w:rPr>
        <w:t xml:space="preserve">Приходи локалних самоуправа у складу са ЗОФЛС се деле на изворне приходе и приходе од осталих нивоа власти. </w:t>
      </w:r>
      <w:r w:rsidRPr="00226F9D">
        <w:rPr>
          <w:rStyle w:val="normaltextrun"/>
          <w:rFonts w:ascii="Times New Roman" w:hAnsi="Times New Roman" w:cs="Times New Roman"/>
          <w:b/>
          <w:bCs/>
          <w:lang w:val="sr-Cyrl-CS"/>
        </w:rPr>
        <w:t>Изворни приходи</w:t>
      </w:r>
      <w:r w:rsidRPr="00226F9D">
        <w:rPr>
          <w:rStyle w:val="normaltextrun"/>
          <w:rFonts w:ascii="Times New Roman" w:hAnsi="Times New Roman" w:cs="Times New Roman"/>
          <w:lang w:val="sr-Cyrl-CS"/>
        </w:rPr>
        <w:t xml:space="preserve"> укључују локалне порезе, таксе и накнаде које ЈЛС саме обрачунавају и наплаћују и они представљају око трећине свих прихода ЈЛС  што је нешто више од просека земаља у региону.</w:t>
      </w:r>
      <w:r w:rsidR="00911F9B" w:rsidRPr="00226F9D">
        <w:rPr>
          <w:rStyle w:val="FootnoteReference"/>
          <w:rFonts w:ascii="Times New Roman" w:eastAsiaTheme="majorEastAsia" w:hAnsi="Times New Roman" w:cs="Times New Roman"/>
          <w:lang w:val="sr-Cyrl-CS"/>
        </w:rPr>
        <w:footnoteReference w:id="33"/>
      </w:r>
      <w:r w:rsidRPr="00226F9D">
        <w:rPr>
          <w:rStyle w:val="normaltextrun"/>
          <w:rFonts w:ascii="Times New Roman" w:hAnsi="Times New Roman" w:cs="Times New Roman"/>
          <w:lang w:val="sr-Cyrl-CS"/>
        </w:rPr>
        <w:t xml:space="preserve"> Пореска аутономија и развој изворних прихода су кључни за финансијску стабилност локалних самоуправа, за шта је посебно важан ЗПНИ, који уређује предмет опорезивања, пореску основицу, пореске стопе, пореска ослобођења и друга питања од значаја у вези са порезима на имовину. Надлежности које ЈЛС имају над управљањем порезом на имовину и могућност да проширују пореске базе и наплату, додатно ојачавају фискални потенцијал локалних заједница.</w:t>
      </w:r>
      <w:r w:rsidR="3C964FBD" w:rsidRPr="00226F9D">
        <w:rPr>
          <w:rStyle w:val="normaltextrun"/>
          <w:rFonts w:ascii="Times New Roman" w:hAnsi="Times New Roman" w:cs="Times New Roman"/>
          <w:lang w:val="sr-Cyrl-CS"/>
        </w:rPr>
        <w:t xml:space="preserve"> </w:t>
      </w:r>
      <w:r w:rsidRPr="00226F9D">
        <w:rPr>
          <w:rStyle w:val="normaltextrun"/>
          <w:rFonts w:ascii="Times New Roman" w:hAnsi="Times New Roman" w:cs="Times New Roman"/>
          <w:lang w:val="sr-Cyrl-CS"/>
        </w:rPr>
        <w:t xml:space="preserve">Управо појединачно најиздашнији изворни приход је порез на непокретности који чини око </w:t>
      </w:r>
      <w:r w:rsidRPr="00226F9D">
        <w:rPr>
          <w:rFonts w:ascii="Times New Roman" w:hAnsi="Times New Roman" w:cs="Times New Roman"/>
          <w:lang w:val="sr-Cyrl-CS"/>
        </w:rPr>
        <w:t>0</w:t>
      </w:r>
      <w:r w:rsidR="384712B8" w:rsidRPr="00226F9D">
        <w:rPr>
          <w:rFonts w:ascii="Times New Roman" w:hAnsi="Times New Roman" w:cs="Times New Roman"/>
          <w:lang w:val="sr-Cyrl-CS"/>
        </w:rPr>
        <w:t>,</w:t>
      </w:r>
      <w:r w:rsidRPr="00226F9D">
        <w:rPr>
          <w:rFonts w:ascii="Times New Roman" w:hAnsi="Times New Roman" w:cs="Times New Roman"/>
          <w:lang w:val="sr-Cyrl-CS"/>
        </w:rPr>
        <w:t xml:space="preserve">8% БДП  и преко 12 % укупних локалних прихода, </w:t>
      </w:r>
      <w:r w:rsidR="00E02C98" w:rsidRPr="00226F9D">
        <w:rPr>
          <w:rFonts w:ascii="Times New Roman" w:hAnsi="Times New Roman" w:cs="Times New Roman"/>
          <w:lang w:val="sr-Cyrl-CS"/>
        </w:rPr>
        <w:t xml:space="preserve">по </w:t>
      </w:r>
      <w:r w:rsidRPr="00226F9D">
        <w:rPr>
          <w:rFonts w:ascii="Times New Roman" w:hAnsi="Times New Roman" w:cs="Times New Roman"/>
          <w:lang w:val="sr-Cyrl-CS"/>
        </w:rPr>
        <w:t>чему је Србија у самом врху у региону</w:t>
      </w:r>
      <w:r w:rsidR="384712B8" w:rsidRPr="00226F9D">
        <w:rPr>
          <w:rFonts w:ascii="Times New Roman" w:hAnsi="Times New Roman" w:cs="Times New Roman"/>
          <w:lang w:val="sr-Cyrl-CS"/>
        </w:rPr>
        <w:t>.</w:t>
      </w:r>
      <w:r w:rsidR="00911F9B" w:rsidRPr="00226F9D">
        <w:rPr>
          <w:rStyle w:val="FootnoteReference"/>
          <w:rFonts w:ascii="Times New Roman" w:eastAsiaTheme="majorEastAsia" w:hAnsi="Times New Roman" w:cs="Times New Roman"/>
          <w:lang w:val="sr-Cyrl-CS"/>
        </w:rPr>
        <w:footnoteReference w:id="34"/>
      </w:r>
      <w:r w:rsidRPr="00226F9D">
        <w:rPr>
          <w:rStyle w:val="normaltextrun"/>
          <w:rFonts w:ascii="Times New Roman" w:hAnsi="Times New Roman" w:cs="Times New Roman"/>
          <w:lang w:val="sr-Cyrl-CS"/>
        </w:rPr>
        <w:t xml:space="preserve"> Поред пореза на имовину, локалне самоуправе убир</w:t>
      </w:r>
      <w:r w:rsidR="4C0C82E2" w:rsidRPr="00226F9D">
        <w:rPr>
          <w:rStyle w:val="normaltextrun"/>
          <w:rFonts w:ascii="Times New Roman" w:hAnsi="Times New Roman" w:cs="Times New Roman"/>
          <w:lang w:val="sr-Cyrl-CS"/>
        </w:rPr>
        <w:t>ај</w:t>
      </w:r>
      <w:r w:rsidRPr="00226F9D">
        <w:rPr>
          <w:rStyle w:val="normaltextrun"/>
          <w:rFonts w:ascii="Times New Roman" w:hAnsi="Times New Roman" w:cs="Times New Roman"/>
          <w:lang w:val="sr-Cyrl-CS"/>
        </w:rPr>
        <w:t>у и различите таксе и накнаде прописане посебним законима.</w:t>
      </w:r>
    </w:p>
    <w:p w14:paraId="761D27C6" w14:textId="77777777" w:rsidR="003D1657" w:rsidRPr="00226F9D" w:rsidRDefault="003D1657" w:rsidP="006B59F4">
      <w:pPr>
        <w:spacing w:after="0" w:line="240" w:lineRule="auto"/>
        <w:jc w:val="both"/>
        <w:rPr>
          <w:rStyle w:val="eop"/>
          <w:rFonts w:ascii="Times New Roman" w:hAnsi="Times New Roman" w:cs="Times New Roman"/>
          <w:lang w:val="sr-Latn-RS"/>
        </w:rPr>
      </w:pPr>
    </w:p>
    <w:p w14:paraId="2F4A372A" w14:textId="28D52339" w:rsidR="00911F9B" w:rsidRPr="00226F9D" w:rsidRDefault="00911F9B" w:rsidP="006B59F4">
      <w:pPr>
        <w:spacing w:after="0" w:line="240" w:lineRule="auto"/>
        <w:jc w:val="both"/>
        <w:rPr>
          <w:rFonts w:ascii="Times New Roman" w:hAnsi="Times New Roman" w:cs="Times New Roman"/>
          <w:lang w:val="sr-Cyrl-RS"/>
        </w:rPr>
      </w:pPr>
      <w:r w:rsidRPr="00226F9D">
        <w:rPr>
          <w:rStyle w:val="eop"/>
          <w:rFonts w:ascii="Times New Roman" w:hAnsi="Times New Roman" w:cs="Times New Roman"/>
          <w:b/>
          <w:bCs/>
          <w:lang w:val="sr-Cyrl-RS"/>
        </w:rPr>
        <w:t>Приходи од осталих нивоа власти</w:t>
      </w:r>
      <w:r w:rsidRPr="00226F9D">
        <w:rPr>
          <w:rStyle w:val="eop"/>
          <w:rFonts w:ascii="Times New Roman" w:hAnsi="Times New Roman" w:cs="Times New Roman"/>
          <w:lang w:val="sr-Cyrl-RS"/>
        </w:rPr>
        <w:t xml:space="preserve"> могу бити </w:t>
      </w:r>
      <w:r w:rsidRPr="00226F9D">
        <w:rPr>
          <w:rFonts w:ascii="Times New Roman" w:hAnsi="Times New Roman" w:cs="Times New Roman"/>
          <w:lang w:val="sr-Cyrl-RS"/>
        </w:rPr>
        <w:t>у</w:t>
      </w:r>
      <w:r w:rsidRPr="00226F9D">
        <w:rPr>
          <w:rStyle w:val="normaltextrun"/>
          <w:rFonts w:ascii="Times New Roman" w:hAnsi="Times New Roman" w:cs="Times New Roman"/>
          <w:lang w:val="sr-Cyrl-RS"/>
        </w:rPr>
        <w:t>ступљени приходи и трансфери. Уступљени приходи чине преко половине свих прихода ЈЛС и њих чине приходи који се прикупљају на републичком нивоу, и чији се део или целокупни износ приписује локалним самоуправама. Убедљиво најзначајнији уступљени приход представља порез на доходак</w:t>
      </w:r>
      <w:r w:rsidR="00CF11A1" w:rsidRPr="00226F9D">
        <w:rPr>
          <w:rStyle w:val="normaltextrun"/>
          <w:rFonts w:ascii="Times New Roman" w:hAnsi="Times New Roman" w:cs="Times New Roman"/>
          <w:lang w:val="sr-Cyrl-RS"/>
        </w:rPr>
        <w:t>,</w:t>
      </w:r>
      <w:r w:rsidRPr="00226F9D">
        <w:rPr>
          <w:rStyle w:val="normaltextrun"/>
          <w:rFonts w:ascii="Times New Roman" w:hAnsi="Times New Roman" w:cs="Times New Roman"/>
          <w:lang w:val="sr-Cyrl-RS"/>
        </w:rPr>
        <w:t xml:space="preserve"> који </w:t>
      </w:r>
      <w:r w:rsidR="00CF11A1" w:rsidRPr="00226F9D">
        <w:rPr>
          <w:rStyle w:val="normaltextrun"/>
          <w:rFonts w:ascii="Times New Roman" w:hAnsi="Times New Roman" w:cs="Times New Roman"/>
          <w:lang w:val="sr-Cyrl-RS"/>
        </w:rPr>
        <w:t xml:space="preserve">је </w:t>
      </w:r>
      <w:r w:rsidRPr="00226F9D">
        <w:rPr>
          <w:rStyle w:val="normaltextrun"/>
          <w:rFonts w:ascii="Times New Roman" w:hAnsi="Times New Roman" w:cs="Times New Roman"/>
          <w:lang w:val="sr-Cyrl-RS"/>
        </w:rPr>
        <w:t>у 2024. представља</w:t>
      </w:r>
      <w:r w:rsidR="00CF11A1" w:rsidRPr="00226F9D">
        <w:rPr>
          <w:rStyle w:val="normaltextrun"/>
          <w:rFonts w:ascii="Times New Roman" w:hAnsi="Times New Roman" w:cs="Times New Roman"/>
          <w:lang w:val="sr-Cyrl-RS"/>
        </w:rPr>
        <w:t>о</w:t>
      </w:r>
      <w:r w:rsidRPr="00226F9D">
        <w:rPr>
          <w:rStyle w:val="normaltextrun"/>
          <w:rFonts w:ascii="Times New Roman" w:hAnsi="Times New Roman" w:cs="Times New Roman"/>
          <w:lang w:val="sr-Cyrl-RS"/>
        </w:rPr>
        <w:t xml:space="preserve"> половину укупних прихода ЈЛС, а у оквиру њега </w:t>
      </w:r>
      <w:r w:rsidR="00725128" w:rsidRPr="00226F9D">
        <w:rPr>
          <w:rStyle w:val="normaltextrun"/>
          <w:rFonts w:ascii="Times New Roman" w:hAnsi="Times New Roman" w:cs="Times New Roman"/>
          <w:lang w:val="sr-Cyrl-RS"/>
        </w:rPr>
        <w:t xml:space="preserve">- </w:t>
      </w:r>
      <w:r w:rsidRPr="00226F9D">
        <w:rPr>
          <w:rStyle w:val="normaltextrun"/>
          <w:rFonts w:ascii="Times New Roman" w:hAnsi="Times New Roman" w:cs="Times New Roman"/>
          <w:lang w:val="sr-Cyrl-RS"/>
        </w:rPr>
        <w:t>порез на зараде који се дели између Републике и јединица локалне самоуправе</w:t>
      </w:r>
      <w:r w:rsidRPr="00226F9D" w:rsidDel="00485E5B">
        <w:rPr>
          <w:rStyle w:val="normaltextrun"/>
          <w:rFonts w:ascii="Times New Roman" w:hAnsi="Times New Roman" w:cs="Times New Roman"/>
          <w:lang w:val="sr-Cyrl-RS"/>
        </w:rPr>
        <w:t xml:space="preserve"> </w:t>
      </w:r>
      <w:r w:rsidRPr="00226F9D">
        <w:rPr>
          <w:rStyle w:val="normaltextrun"/>
          <w:rFonts w:ascii="Times New Roman" w:hAnsi="Times New Roman" w:cs="Times New Roman"/>
          <w:lang w:val="sr-Cyrl-RS"/>
        </w:rPr>
        <w:t xml:space="preserve">(77% за градове, 74% за општине и 66% за </w:t>
      </w:r>
      <w:r w:rsidR="00813B41" w:rsidRPr="00226F9D">
        <w:rPr>
          <w:rStyle w:val="normaltextrun"/>
          <w:rFonts w:ascii="Times New Roman" w:hAnsi="Times New Roman" w:cs="Times New Roman"/>
          <w:lang w:val="sr-Cyrl-RS"/>
        </w:rPr>
        <w:t xml:space="preserve">град </w:t>
      </w:r>
      <w:r w:rsidRPr="00226F9D">
        <w:rPr>
          <w:rStyle w:val="normaltextrun"/>
          <w:rFonts w:ascii="Times New Roman" w:hAnsi="Times New Roman" w:cs="Times New Roman"/>
          <w:lang w:val="sr-Cyrl-RS"/>
        </w:rPr>
        <w:t>Београд).</w:t>
      </w:r>
      <w:r w:rsidRPr="00226F9D">
        <w:rPr>
          <w:rStyle w:val="eop"/>
          <w:rFonts w:ascii="Times New Roman" w:hAnsi="Times New Roman" w:cs="Times New Roman"/>
          <w:lang w:val="sr-Cyrl-RS"/>
        </w:rPr>
        <w:t> </w:t>
      </w:r>
      <w:r w:rsidRPr="00226F9D">
        <w:rPr>
          <w:rStyle w:val="normaltextrun"/>
          <w:rFonts w:ascii="Times New Roman" w:hAnsi="Times New Roman" w:cs="Times New Roman"/>
          <w:lang w:val="sr-Cyrl-RS"/>
        </w:rPr>
        <w:t xml:space="preserve"> Поред пореза на доходак, у уступљене приходе спадају и две врсте пореза на имовину које се у целокупном износу уступају локалним властима (</w:t>
      </w:r>
      <w:r w:rsidRPr="00226F9D">
        <w:rPr>
          <w:rFonts w:ascii="Times New Roman" w:hAnsi="Times New Roman" w:cs="Times New Roman"/>
          <w:lang w:val="sr-Cyrl-RS"/>
        </w:rPr>
        <w:t>порез на наслеђе и поклон, и порез на пренос апсолутних права и</w:t>
      </w:r>
      <w:r w:rsidRPr="00226F9D">
        <w:rPr>
          <w:rStyle w:val="normaltextrun"/>
          <w:rFonts w:ascii="Times New Roman" w:hAnsi="Times New Roman" w:cs="Times New Roman"/>
          <w:lang w:val="sr-Cyrl-RS"/>
        </w:rPr>
        <w:t xml:space="preserve"> </w:t>
      </w:r>
      <w:r w:rsidRPr="00226F9D">
        <w:rPr>
          <w:rFonts w:ascii="Times New Roman" w:hAnsi="Times New Roman" w:cs="Times New Roman"/>
          <w:lang w:val="sr-Cyrl-RS"/>
        </w:rPr>
        <w:t>који заједно чине око 3% прихода ЈЛС), као и приходи од накнада остварених на територији ЈЛС које им уступа Република у складу са законом.</w:t>
      </w:r>
    </w:p>
    <w:p w14:paraId="4D331695" w14:textId="77777777" w:rsidR="00911F9B" w:rsidRPr="00226F9D" w:rsidRDefault="00911F9B" w:rsidP="006B59F4">
      <w:pPr>
        <w:spacing w:after="0" w:line="240" w:lineRule="auto"/>
        <w:jc w:val="both"/>
        <w:rPr>
          <w:rFonts w:ascii="Times New Roman" w:hAnsi="Times New Roman" w:cs="Times New Roman"/>
          <w:lang w:val="sr-Cyrl-RS"/>
        </w:rPr>
      </w:pPr>
    </w:p>
    <w:p w14:paraId="3BF6212E" w14:textId="1CB6C83B" w:rsidR="00911F9B" w:rsidRPr="00226F9D" w:rsidRDefault="00911F9B" w:rsidP="006B59F4">
      <w:pPr>
        <w:spacing w:after="0" w:line="240" w:lineRule="auto"/>
        <w:jc w:val="both"/>
        <w:rPr>
          <w:rStyle w:val="eop"/>
          <w:rFonts w:ascii="Times New Roman" w:hAnsi="Times New Roman" w:cs="Times New Roman"/>
          <w:lang w:val="sr-Cyrl-RS"/>
        </w:rPr>
      </w:pPr>
      <w:r w:rsidRPr="00226F9D">
        <w:rPr>
          <w:rFonts w:ascii="Times New Roman" w:hAnsi="Times New Roman" w:cs="Times New Roman"/>
          <w:lang w:val="sr-Cyrl-RS"/>
        </w:rPr>
        <w:t>Трансфери се деле на ненаменске и наменске.</w:t>
      </w:r>
      <w:r w:rsidRPr="00226F9D">
        <w:rPr>
          <w:rStyle w:val="normaltextrun"/>
          <w:rFonts w:ascii="Times New Roman" w:hAnsi="Times New Roman" w:cs="Times New Roman"/>
          <w:lang w:val="sr-Cyrl-RS"/>
        </w:rPr>
        <w:t> </w:t>
      </w:r>
      <w:r w:rsidRPr="00226F9D">
        <w:rPr>
          <w:rStyle w:val="eop"/>
          <w:rFonts w:ascii="Times New Roman" w:hAnsi="Times New Roman" w:cs="Times New Roman"/>
          <w:b/>
          <w:bCs/>
          <w:lang w:val="sr-Cyrl-RS"/>
        </w:rPr>
        <w:t xml:space="preserve">Укупни </w:t>
      </w:r>
      <w:r w:rsidRPr="00226F9D">
        <w:rPr>
          <w:rStyle w:val="normaltextrun"/>
          <w:rFonts w:ascii="Times New Roman" w:hAnsi="Times New Roman" w:cs="Times New Roman"/>
          <w:b/>
          <w:bCs/>
          <w:lang w:val="sr-Cyrl-RS"/>
        </w:rPr>
        <w:t>ненаменски трансфер</w:t>
      </w:r>
      <w:r w:rsidRPr="00226F9D">
        <w:rPr>
          <w:rStyle w:val="normaltextrun"/>
          <w:rFonts w:ascii="Times New Roman" w:hAnsi="Times New Roman" w:cs="Times New Roman"/>
          <w:lang w:val="sr-Cyrl-RS"/>
        </w:rPr>
        <w:t xml:space="preserve"> по </w:t>
      </w:r>
      <w:r w:rsidR="006841E7" w:rsidRPr="00226F9D">
        <w:rPr>
          <w:rStyle w:val="normaltextrun"/>
          <w:rFonts w:ascii="Times New Roman" w:hAnsi="Times New Roman" w:cs="Times New Roman"/>
          <w:lang w:val="sr-Cyrl-RS"/>
        </w:rPr>
        <w:t>Закону о финансирању локалне самоуправе</w:t>
      </w:r>
      <w:r w:rsidR="003F74E3" w:rsidRPr="00226F9D">
        <w:rPr>
          <w:rStyle w:val="normaltextrun"/>
          <w:rFonts w:ascii="Times New Roman" w:hAnsi="Times New Roman" w:cs="Times New Roman"/>
          <w:lang w:val="sr-Cyrl-RS"/>
        </w:rPr>
        <w:t xml:space="preserve"> (ЗОФЛС)</w:t>
      </w:r>
      <w:r w:rsidR="006841E7" w:rsidRPr="00226F9D">
        <w:rPr>
          <w:rStyle w:val="normaltextrun"/>
          <w:rFonts w:ascii="Times New Roman" w:hAnsi="Times New Roman" w:cs="Times New Roman"/>
          <w:lang w:val="sr-Cyrl-RS"/>
        </w:rPr>
        <w:t xml:space="preserve"> </w:t>
      </w:r>
      <w:r w:rsidR="0066534D" w:rsidRPr="00226F9D">
        <w:rPr>
          <w:rStyle w:val="normaltextrun"/>
          <w:rFonts w:ascii="Times New Roman" w:hAnsi="Times New Roman" w:cs="Times New Roman"/>
          <w:lang w:val="sr-Cyrl-RS"/>
        </w:rPr>
        <w:t>има четири</w:t>
      </w:r>
      <w:r w:rsidRPr="00226F9D">
        <w:rPr>
          <w:rStyle w:val="normaltextrun"/>
          <w:rFonts w:ascii="Times New Roman" w:hAnsi="Times New Roman" w:cs="Times New Roman"/>
          <w:lang w:val="sr-Cyrl-RS"/>
        </w:rPr>
        <w:t xml:space="preserve"> компоненте:</w:t>
      </w:r>
      <w:r w:rsidRPr="00226F9D">
        <w:rPr>
          <w:rStyle w:val="eop"/>
          <w:rFonts w:ascii="Times New Roman" w:hAnsi="Times New Roman" w:cs="Times New Roman"/>
          <w:lang w:val="sr-Cyrl-RS"/>
        </w:rPr>
        <w:t> </w:t>
      </w:r>
    </w:p>
    <w:p w14:paraId="6C63AD63" w14:textId="7DC26FD5" w:rsidR="00911F9B" w:rsidRPr="00226F9D" w:rsidRDefault="00911F9B" w:rsidP="003D1657">
      <w:pPr>
        <w:pStyle w:val="ListParagraph"/>
        <w:numPr>
          <w:ilvl w:val="0"/>
          <w:numId w:val="30"/>
        </w:numPr>
        <w:spacing w:after="0" w:line="240" w:lineRule="auto"/>
        <w:jc w:val="both"/>
        <w:rPr>
          <w:rStyle w:val="eop"/>
          <w:rFonts w:ascii="Times New Roman" w:hAnsi="Times New Roman" w:cs="Times New Roman"/>
          <w:lang w:val="sr-Cyrl-RS"/>
        </w:rPr>
      </w:pPr>
      <w:r w:rsidRPr="00226F9D">
        <w:rPr>
          <w:rStyle w:val="normaltextrun"/>
          <w:rFonts w:ascii="Times New Roman" w:hAnsi="Times New Roman" w:cs="Times New Roman"/>
          <w:lang w:val="sr-Cyrl-RS"/>
        </w:rPr>
        <w:t>Трансфер за уједначавање који подржава локалне самоуправе са нижим приходом по становнику кроз изједначавање фискалних капацитета</w:t>
      </w:r>
      <w:r w:rsidRPr="00226F9D">
        <w:rPr>
          <w:rStyle w:val="eop"/>
          <w:rFonts w:ascii="Times New Roman" w:hAnsi="Times New Roman" w:cs="Times New Roman"/>
          <w:lang w:val="sr-Cyrl-RS"/>
        </w:rPr>
        <w:t xml:space="preserve">, </w:t>
      </w:r>
    </w:p>
    <w:p w14:paraId="46FF9A56" w14:textId="78FA7373" w:rsidR="00911F9B" w:rsidRPr="00226F9D" w:rsidRDefault="00911F9B" w:rsidP="003D1657">
      <w:pPr>
        <w:pStyle w:val="ListParagraph"/>
        <w:numPr>
          <w:ilvl w:val="0"/>
          <w:numId w:val="30"/>
        </w:numPr>
        <w:spacing w:after="0" w:line="240" w:lineRule="auto"/>
        <w:jc w:val="both"/>
        <w:rPr>
          <w:rFonts w:ascii="Times New Roman" w:hAnsi="Times New Roman" w:cs="Times New Roman"/>
          <w:lang w:val="sr-Cyrl-RS"/>
        </w:rPr>
      </w:pPr>
      <w:r w:rsidRPr="00226F9D">
        <w:rPr>
          <w:rStyle w:val="normaltextrun"/>
          <w:rFonts w:ascii="Times New Roman" w:hAnsi="Times New Roman" w:cs="Times New Roman"/>
          <w:lang w:val="sr-Cyrl-RS"/>
        </w:rPr>
        <w:t>Компензациони</w:t>
      </w:r>
      <w:r w:rsidR="003F74E3" w:rsidRPr="00226F9D">
        <w:rPr>
          <w:rStyle w:val="normaltextrun"/>
          <w:rFonts w:ascii="Times New Roman" w:hAnsi="Times New Roman" w:cs="Times New Roman"/>
          <w:lang w:val="sr-Cyrl-RS"/>
        </w:rPr>
        <w:t xml:space="preserve"> </w:t>
      </w:r>
      <w:r w:rsidRPr="00226F9D">
        <w:rPr>
          <w:rStyle w:val="normaltextrun"/>
          <w:rFonts w:ascii="Times New Roman" w:hAnsi="Times New Roman" w:cs="Times New Roman"/>
          <w:lang w:val="sr-Cyrl-RS"/>
        </w:rPr>
        <w:t>трансфер који има за циљ да надокнади јединице локалне самоуправе за губитке прихода услед промена пореских политика државе</w:t>
      </w:r>
      <w:r w:rsidRPr="00226F9D">
        <w:rPr>
          <w:rStyle w:val="eop"/>
          <w:rFonts w:ascii="Times New Roman" w:hAnsi="Times New Roman" w:cs="Times New Roman"/>
          <w:lang w:val="sr-Cyrl-RS"/>
        </w:rPr>
        <w:t> </w:t>
      </w:r>
    </w:p>
    <w:p w14:paraId="56D0BA52" w14:textId="77777777" w:rsidR="00911F9B" w:rsidRPr="00226F9D" w:rsidRDefault="00911F9B" w:rsidP="003D1657">
      <w:pPr>
        <w:pStyle w:val="ListParagraph"/>
        <w:numPr>
          <w:ilvl w:val="0"/>
          <w:numId w:val="30"/>
        </w:numPr>
        <w:spacing w:after="0" w:line="240" w:lineRule="auto"/>
        <w:jc w:val="both"/>
        <w:rPr>
          <w:rStyle w:val="eop"/>
          <w:rFonts w:ascii="Times New Roman" w:hAnsi="Times New Roman" w:cs="Times New Roman"/>
          <w:lang w:val="sr-Cyrl-RS"/>
        </w:rPr>
      </w:pPr>
      <w:r w:rsidRPr="00226F9D">
        <w:rPr>
          <w:rStyle w:val="normaltextrun"/>
          <w:rFonts w:ascii="Times New Roman" w:hAnsi="Times New Roman" w:cs="Times New Roman"/>
          <w:lang w:val="sr-Cyrl-RS"/>
        </w:rPr>
        <w:t>Општи трансфер којим се расподељују остала расположива средства по критеријумима као што су број становника, површина територије, број школске деце, са измењеним коефицијентима према степену развијености</w:t>
      </w:r>
    </w:p>
    <w:p w14:paraId="2088B6E7" w14:textId="49E45D93" w:rsidR="00911F9B" w:rsidRPr="00226F9D" w:rsidRDefault="00911F9B" w:rsidP="003D1657">
      <w:pPr>
        <w:pStyle w:val="ListParagraph"/>
        <w:numPr>
          <w:ilvl w:val="0"/>
          <w:numId w:val="30"/>
        </w:num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Трансфер солидарности који је уведен 2011. године са циљем да се надокнаде</w:t>
      </w:r>
      <w:r w:rsidR="00222311" w:rsidRPr="00226F9D">
        <w:rPr>
          <w:rStyle w:val="normaltextrun"/>
          <w:rFonts w:ascii="Times New Roman" w:hAnsi="Times New Roman" w:cs="Times New Roman"/>
          <w:lang w:val="sr-Cyrl-RS"/>
        </w:rPr>
        <w:t xml:space="preserve"> </w:t>
      </w:r>
      <w:r w:rsidRPr="00226F9D">
        <w:rPr>
          <w:rStyle w:val="normaltextrun"/>
          <w:rFonts w:ascii="Times New Roman" w:hAnsi="Times New Roman" w:cs="Times New Roman"/>
          <w:lang w:val="sr-Cyrl-RS"/>
        </w:rPr>
        <w:t>мање развијене јединице локалне самоуправе услед промене Закона о финансирању ЈЛС који је променио иницијални начин расподеле укупног наменског трансфера</w:t>
      </w:r>
    </w:p>
    <w:p w14:paraId="37DD90F6" w14:textId="78653D22" w:rsidR="00911F9B" w:rsidRPr="00226F9D" w:rsidRDefault="00911F9B" w:rsidP="006B59F4">
      <w:pPr>
        <w:spacing w:after="0" w:line="240" w:lineRule="auto"/>
        <w:jc w:val="both"/>
        <w:rPr>
          <w:rFonts w:ascii="Times New Roman" w:hAnsi="Times New Roman" w:cs="Times New Roman"/>
          <w:lang w:val="sr-Cyrl-RS"/>
        </w:rPr>
      </w:pPr>
    </w:p>
    <w:p w14:paraId="4A0F0D6D" w14:textId="402C3AF7" w:rsidR="00911F9B" w:rsidRPr="00226F9D" w:rsidRDefault="00911F9B" w:rsidP="006B59F4">
      <w:pPr>
        <w:spacing w:after="0" w:line="240" w:lineRule="auto"/>
        <w:jc w:val="both"/>
        <w:rPr>
          <w:rFonts w:ascii="Times New Roman" w:hAnsi="Times New Roman" w:cs="Times New Roman"/>
          <w:lang w:val="sr-Cyrl-RS"/>
        </w:rPr>
      </w:pPr>
      <w:r w:rsidRPr="00226F9D">
        <w:rPr>
          <w:rStyle w:val="normaltextrun"/>
          <w:rFonts w:ascii="Times New Roman" w:hAnsi="Times New Roman" w:cs="Times New Roman"/>
          <w:b/>
          <w:lang w:val="sr-Cyrl-RS"/>
        </w:rPr>
        <w:t>Наменске трансфере</w:t>
      </w:r>
      <w:r w:rsidRPr="00226F9D">
        <w:rPr>
          <w:rStyle w:val="normaltextrun"/>
          <w:rFonts w:ascii="Times New Roman" w:hAnsi="Times New Roman" w:cs="Times New Roman"/>
          <w:lang w:val="sr-Cyrl-RS"/>
        </w:rPr>
        <w:t xml:space="preserve"> обезбеђује Република (а може и Аутономна Покрајина за ЈЛС на својој територији) и намењени су за специфичне програме и пројекте које локалне самоуправе спроводе на основу њихових надлежности или поверених послова.</w:t>
      </w:r>
      <w:r w:rsidRPr="00226F9D">
        <w:rPr>
          <w:rStyle w:val="eop"/>
          <w:rFonts w:ascii="Times New Roman" w:hAnsi="Times New Roman" w:cs="Times New Roman"/>
          <w:lang w:val="sr-Cyrl-RS"/>
        </w:rPr>
        <w:t> </w:t>
      </w:r>
    </w:p>
    <w:p w14:paraId="0486C878" w14:textId="77777777" w:rsidR="00911F9B" w:rsidRPr="00226F9D" w:rsidRDefault="00911F9B" w:rsidP="006B59F4">
      <w:pPr>
        <w:spacing w:after="0" w:line="240" w:lineRule="auto"/>
        <w:jc w:val="both"/>
        <w:rPr>
          <w:rFonts w:ascii="Times New Roman" w:hAnsi="Times New Roman" w:cs="Times New Roman"/>
          <w:lang w:val="sr-Latn-RS"/>
        </w:rPr>
      </w:pPr>
    </w:p>
    <w:p w14:paraId="41C55798" w14:textId="69F8D7C6" w:rsidR="00911F9B" w:rsidRPr="00226F9D" w:rsidRDefault="00911F9B" w:rsidP="006B59F4">
      <w:pPr>
        <w:spacing w:after="0" w:line="240" w:lineRule="auto"/>
        <w:jc w:val="both"/>
        <w:rPr>
          <w:rFonts w:ascii="Times New Roman" w:hAnsi="Times New Roman" w:cs="Times New Roman"/>
          <w:lang w:val="sr-Latn-RS"/>
        </w:rPr>
      </w:pPr>
      <w:r w:rsidRPr="00226F9D">
        <w:rPr>
          <w:rFonts w:ascii="Times New Roman" w:hAnsi="Times New Roman" w:cs="Times New Roman"/>
          <w:b/>
          <w:bCs/>
          <w:i/>
          <w:color w:val="404040" w:themeColor="text1" w:themeTint="BF"/>
          <w:lang w:val="sr-Cyrl-RS"/>
        </w:rPr>
        <w:t>Приказ 2:</w:t>
      </w:r>
      <w:r w:rsidRPr="00226F9D">
        <w:rPr>
          <w:rFonts w:ascii="Times New Roman" w:hAnsi="Times New Roman" w:cs="Times New Roman"/>
          <w:i/>
          <w:color w:val="404040" w:themeColor="text1" w:themeTint="BF"/>
          <w:lang w:val="sr-Cyrl-RS"/>
        </w:rPr>
        <w:t xml:space="preserve"> Врсте прихода ЈЛС 2017-2024, у милијардама РСД и њихово учешће у </w:t>
      </w:r>
      <w:r w:rsidR="00423020" w:rsidRPr="00226F9D">
        <w:rPr>
          <w:rFonts w:ascii="Times New Roman" w:hAnsi="Times New Roman" w:cs="Times New Roman"/>
          <w:i/>
          <w:color w:val="404040" w:themeColor="text1" w:themeTint="BF"/>
          <w:lang w:val="sr-Cyrl-RS"/>
        </w:rPr>
        <w:t>укупним</w:t>
      </w:r>
      <w:r w:rsidRPr="00226F9D">
        <w:rPr>
          <w:rFonts w:ascii="Times New Roman" w:hAnsi="Times New Roman" w:cs="Times New Roman"/>
          <w:i/>
          <w:color w:val="404040" w:themeColor="text1" w:themeTint="BF"/>
          <w:lang w:val="sr-Cyrl-RS"/>
        </w:rPr>
        <w:t xml:space="preserve"> приходима  ЈЛС (извор: Билтен јавних финансија</w:t>
      </w:r>
      <w:r w:rsidR="000E7658" w:rsidRPr="00226F9D">
        <w:rPr>
          <w:rFonts w:ascii="Times New Roman" w:hAnsi="Times New Roman" w:cs="Times New Roman"/>
          <w:i/>
          <w:color w:val="404040" w:themeColor="text1" w:themeTint="BF"/>
          <w:lang w:val="sr-Cyrl-RS"/>
        </w:rPr>
        <w:t>,</w:t>
      </w:r>
      <w:r w:rsidRPr="00226F9D">
        <w:rPr>
          <w:rFonts w:ascii="Times New Roman" w:hAnsi="Times New Roman" w:cs="Times New Roman"/>
          <w:i/>
          <w:color w:val="404040" w:themeColor="text1" w:themeTint="BF"/>
          <w:lang w:val="sr-Cyrl-RS"/>
        </w:rPr>
        <w:t xml:space="preserve"> Министарство финансија и </w:t>
      </w:r>
      <w:r w:rsidR="00156AF7" w:rsidRPr="00226F9D">
        <w:rPr>
          <w:rFonts w:ascii="Times New Roman" w:hAnsi="Times New Roman" w:cs="Times New Roman"/>
          <w:i/>
          <w:color w:val="404040" w:themeColor="text1" w:themeTint="BF"/>
          <w:lang w:val="sr-Cyrl-RS"/>
        </w:rPr>
        <w:t>з</w:t>
      </w:r>
      <w:r w:rsidRPr="00226F9D">
        <w:rPr>
          <w:rFonts w:ascii="Times New Roman" w:hAnsi="Times New Roman" w:cs="Times New Roman"/>
          <w:i/>
          <w:color w:val="404040" w:themeColor="text1" w:themeTint="BF"/>
          <w:lang w:val="sr-Cyrl-RS"/>
        </w:rPr>
        <w:t xml:space="preserve">авршни рачуни </w:t>
      </w:r>
      <w:r w:rsidR="00156AF7" w:rsidRPr="00226F9D">
        <w:rPr>
          <w:rFonts w:ascii="Times New Roman" w:hAnsi="Times New Roman" w:cs="Times New Roman"/>
          <w:i/>
          <w:color w:val="404040" w:themeColor="text1" w:themeTint="BF"/>
          <w:lang w:val="sr-Cyrl-RS"/>
        </w:rPr>
        <w:t>ЛС</w:t>
      </w:r>
      <w:r w:rsidRPr="00226F9D">
        <w:rPr>
          <w:rFonts w:ascii="Times New Roman" w:hAnsi="Times New Roman" w:cs="Times New Roman"/>
          <w:i/>
          <w:color w:val="404040" w:themeColor="text1" w:themeTint="BF"/>
          <w:lang w:val="sr-Cyrl-RS"/>
        </w:rPr>
        <w:t>)</w:t>
      </w:r>
    </w:p>
    <w:p w14:paraId="260C62FA" w14:textId="77777777" w:rsidR="001F3DC4" w:rsidRPr="00226F9D" w:rsidRDefault="001F3DC4" w:rsidP="006B59F4">
      <w:pPr>
        <w:spacing w:after="0" w:line="240" w:lineRule="auto"/>
        <w:jc w:val="both"/>
        <w:rPr>
          <w:rFonts w:ascii="Times New Roman" w:hAnsi="Times New Roman" w:cs="Times New Roman"/>
          <w:lang w:val="sr-Latn-RS"/>
        </w:rPr>
      </w:pPr>
    </w:p>
    <w:p w14:paraId="5F4443C5" w14:textId="77410DDD" w:rsidR="00423020" w:rsidRPr="00226F9D" w:rsidRDefault="001A6C66" w:rsidP="006B59F4">
      <w:pPr>
        <w:spacing w:after="0" w:line="240" w:lineRule="auto"/>
        <w:jc w:val="both"/>
        <w:rPr>
          <w:rFonts w:ascii="Times New Roman" w:hAnsi="Times New Roman" w:cs="Times New Roman"/>
          <w:lang w:val="sr-Cyrl-RS"/>
        </w:rPr>
      </w:pPr>
      <w:r w:rsidRPr="00226F9D">
        <w:rPr>
          <w:rFonts w:ascii="Times New Roman" w:hAnsi="Times New Roman" w:cs="Times New Roman"/>
          <w:noProof/>
        </w:rPr>
        <w:lastRenderedPageBreak/>
        <w:drawing>
          <wp:inline distT="0" distB="0" distL="0" distR="0" wp14:anchorId="15BDCC07" wp14:editId="044FB878">
            <wp:extent cx="6089650" cy="3486150"/>
            <wp:effectExtent l="0" t="0" r="6350" b="6350"/>
            <wp:docPr id="1225745148" name="Chart 1">
              <a:extLst xmlns:a="http://schemas.openxmlformats.org/drawingml/2006/main">
                <a:ext uri="{FF2B5EF4-FFF2-40B4-BE49-F238E27FC236}">
                  <a16:creationId xmlns:a16="http://schemas.microsoft.com/office/drawing/2014/main" id="{CCD98481-C12C-99DB-9492-44FAA9B9ED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E1AD21" w14:textId="77777777" w:rsidR="00145DD0" w:rsidRPr="00226F9D" w:rsidRDefault="00145DD0" w:rsidP="003D1657">
      <w:pPr>
        <w:spacing w:after="0" w:line="240" w:lineRule="auto"/>
        <w:jc w:val="both"/>
        <w:rPr>
          <w:rFonts w:ascii="Times New Roman" w:hAnsi="Times New Roman" w:cs="Times New Roman"/>
          <w:lang w:val="sr-Latn-RS"/>
        </w:rPr>
      </w:pPr>
    </w:p>
    <w:p w14:paraId="4743EB31" w14:textId="77777777" w:rsidR="003D1657" w:rsidRPr="00226F9D" w:rsidRDefault="003D1657" w:rsidP="003D1657">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Када је у питању структура прихода ЈЛС, она се значајно изменила и то посебно у периоду од 2021. до 2024. Порастао је удео прихода од пореза на доходак који сада чине више од половине прихода ЈЛС, док се смањио удео осталих врста прихода (Приказ 2). Процентуално највише је пао удео ненаменског трансфера (са 12% у 2017. години на тек нешто више од 6% у 2024.) као резултат тога што је номинални износ који се опредељује ЈЛС Законом о буџету РС на истом нивоу већ дужи временски период. </w:t>
      </w:r>
    </w:p>
    <w:p w14:paraId="71A44DA7" w14:textId="77777777" w:rsidR="003D1657" w:rsidRPr="00226F9D" w:rsidRDefault="003D1657" w:rsidP="006B59F4">
      <w:pPr>
        <w:spacing w:after="0" w:line="240" w:lineRule="auto"/>
        <w:jc w:val="both"/>
        <w:rPr>
          <w:rFonts w:ascii="Times New Roman" w:hAnsi="Times New Roman" w:cs="Times New Roman"/>
          <w:lang w:val="sr-Cyrl-RS"/>
        </w:rPr>
      </w:pPr>
    </w:p>
    <w:p w14:paraId="7DFA305E" w14:textId="3C2B7D94" w:rsidR="00911F9B" w:rsidRPr="00226F9D" w:rsidRDefault="00911F9B" w:rsidP="006B59F4">
      <w:pPr>
        <w:spacing w:after="0" w:line="240" w:lineRule="auto"/>
        <w:jc w:val="both"/>
        <w:rPr>
          <w:rStyle w:val="normaltextrun"/>
          <w:rFonts w:ascii="Times New Roman" w:hAnsi="Times New Roman" w:cs="Times New Roman"/>
          <w:lang w:val="sr-Latn-RS"/>
        </w:rPr>
      </w:pPr>
      <w:r w:rsidRPr="00226F9D">
        <w:rPr>
          <w:rStyle w:val="normaltextrun"/>
          <w:rFonts w:ascii="Times New Roman" w:hAnsi="Times New Roman" w:cs="Times New Roman"/>
          <w:lang w:val="sr-Cyrl-RS"/>
        </w:rPr>
        <w:t xml:space="preserve">Поред прихода, локалне самоуправе могу да имају примања од продаје нефинансијске и финансијске имовине, као и да се задужују (примања од задуживања), и </w:t>
      </w:r>
      <w:r w:rsidR="00F3754E" w:rsidRPr="00226F9D">
        <w:rPr>
          <w:rStyle w:val="normaltextrun"/>
          <w:rFonts w:ascii="Times New Roman" w:hAnsi="Times New Roman" w:cs="Times New Roman"/>
          <w:lang w:val="sr-Cyrl-RS"/>
        </w:rPr>
        <w:t>што</w:t>
      </w:r>
      <w:r w:rsidRPr="00226F9D">
        <w:rPr>
          <w:rStyle w:val="normaltextrun"/>
          <w:rFonts w:ascii="Times New Roman" w:hAnsi="Times New Roman" w:cs="Times New Roman"/>
          <w:lang w:val="sr-Cyrl-RS"/>
        </w:rPr>
        <w:t xml:space="preserve"> заједно последњих година у просеку представља око 3% од укупних прихода и примања ЈЛС. Ова средства служе како за финансирање капиталних инвестиција, тако и за покривање привремених потреба ликвидности, али уз строгу регулативу и одобрење Министарства финансија и ограничења са максималним процентима прихода који могу бити коришћени за отплату дуга. Укупни дуг локалних јединица је у континуитету у контролисаном оквиру и износи тек мали део укупног јавног дуга Републике Србије, тако да удео овог дуга у дугу опште државе спада међу најниже у Европи</w:t>
      </w:r>
      <w:r w:rsidR="00186836" w:rsidRPr="00226F9D">
        <w:rPr>
          <w:rStyle w:val="FootnoteReference"/>
          <w:rFonts w:ascii="Times New Roman" w:hAnsi="Times New Roman" w:cs="Times New Roman"/>
          <w:lang w:val="sr-Cyrl-RS"/>
        </w:rPr>
        <w:footnoteReference w:id="35"/>
      </w:r>
      <w:r w:rsidRPr="00226F9D">
        <w:rPr>
          <w:rStyle w:val="normaltextrun"/>
          <w:rFonts w:ascii="Times New Roman" w:hAnsi="Times New Roman" w:cs="Times New Roman"/>
          <w:lang w:val="sr-Cyrl-RS"/>
        </w:rPr>
        <w:t>.</w:t>
      </w:r>
    </w:p>
    <w:p w14:paraId="5FFB13EF" w14:textId="77777777" w:rsidR="006B3C49" w:rsidRPr="00226F9D" w:rsidRDefault="006B3C49" w:rsidP="006B3C49">
      <w:pPr>
        <w:spacing w:after="0" w:line="240" w:lineRule="auto"/>
        <w:jc w:val="both"/>
        <w:rPr>
          <w:rStyle w:val="normaltextrun"/>
          <w:rFonts w:ascii="Times New Roman" w:hAnsi="Times New Roman" w:cs="Times New Roman"/>
          <w:lang w:val="sr-Cyrl-RS"/>
        </w:rPr>
      </w:pPr>
    </w:p>
    <w:p w14:paraId="3E38AB11" w14:textId="0A9DE0DA" w:rsidR="006B3C49" w:rsidRPr="00226F9D" w:rsidRDefault="2F47A753" w:rsidP="006B3C49">
      <w:pPr>
        <w:spacing w:after="0" w:line="240" w:lineRule="auto"/>
        <w:jc w:val="both"/>
        <w:rPr>
          <w:rFonts w:ascii="Times New Roman" w:hAnsi="Times New Roman" w:cs="Times New Roman"/>
          <w:lang w:val="sr-Latn-RS"/>
        </w:rPr>
      </w:pPr>
      <w:r w:rsidRPr="00226F9D">
        <w:rPr>
          <w:rFonts w:ascii="Times New Roman" w:hAnsi="Times New Roman" w:cs="Times New Roman"/>
          <w:lang w:val="sr-Cyrl-RS"/>
        </w:rPr>
        <w:t xml:space="preserve">У сагледавању релевантне међународне праксе у области финансирања локалне самоуправе, треба такође поменути извештај </w:t>
      </w:r>
      <w:r w:rsidRPr="00226F9D">
        <w:rPr>
          <w:rFonts w:ascii="Times New Roman" w:hAnsi="Times New Roman" w:cs="Times New Roman"/>
          <w:lang w:val="sr-Latn-RS"/>
        </w:rPr>
        <w:t>SIGMA</w:t>
      </w:r>
      <w:r w:rsidRPr="00226F9D">
        <w:rPr>
          <w:rFonts w:ascii="Times New Roman" w:hAnsi="Times New Roman" w:cs="Times New Roman"/>
          <w:lang w:val="sr-Cyrl-RS"/>
        </w:rPr>
        <w:t>.  У овој анализи препознаје се да локалне</w:t>
      </w:r>
      <w:r w:rsidRPr="00226F9D">
        <w:rPr>
          <w:rFonts w:ascii="Times New Roman" w:hAnsi="Times New Roman" w:cs="Times New Roman"/>
          <w:lang w:val="sr-Latn-RS"/>
        </w:rPr>
        <w:t xml:space="preserve"> </w:t>
      </w:r>
      <w:r w:rsidRPr="00226F9D">
        <w:rPr>
          <w:rFonts w:ascii="Times New Roman" w:hAnsi="Times New Roman" w:cs="Times New Roman"/>
          <w:lang w:val="sr-Cyrl-RS"/>
        </w:rPr>
        <w:t>власти на територији Западног Балкана,</w:t>
      </w:r>
      <w:r w:rsidRPr="00226F9D">
        <w:rPr>
          <w:rFonts w:ascii="Times New Roman" w:hAnsi="Times New Roman" w:cs="Times New Roman"/>
          <w:lang w:val="sr-Latn-RS"/>
        </w:rPr>
        <w:t xml:space="preserve"> </w:t>
      </w:r>
      <w:r w:rsidRPr="00226F9D">
        <w:rPr>
          <w:rFonts w:ascii="Times New Roman" w:hAnsi="Times New Roman" w:cs="Times New Roman"/>
          <w:lang w:val="sr-Cyrl-RS"/>
        </w:rPr>
        <w:t>располажу</w:t>
      </w:r>
      <w:r w:rsidRPr="00226F9D">
        <w:rPr>
          <w:rFonts w:ascii="Times New Roman" w:hAnsi="Times New Roman" w:cs="Times New Roman"/>
          <w:lang w:val="sr-Latn-RS"/>
        </w:rPr>
        <w:t xml:space="preserve"> </w:t>
      </w:r>
      <w:r w:rsidRPr="00226F9D">
        <w:rPr>
          <w:rFonts w:ascii="Times New Roman" w:hAnsi="Times New Roman" w:cs="Times New Roman"/>
          <w:lang w:val="sr-Cyrl-RS"/>
        </w:rPr>
        <w:t>ограниченим</w:t>
      </w:r>
      <w:r w:rsidRPr="00226F9D">
        <w:rPr>
          <w:rFonts w:ascii="Times New Roman" w:hAnsi="Times New Roman" w:cs="Times New Roman"/>
          <w:lang w:val="sr-Latn-RS"/>
        </w:rPr>
        <w:t xml:space="preserve"> </w:t>
      </w:r>
      <w:r w:rsidRPr="00226F9D">
        <w:rPr>
          <w:rFonts w:ascii="Times New Roman" w:hAnsi="Times New Roman" w:cs="Times New Roman"/>
          <w:lang w:val="sr-Cyrl-RS"/>
        </w:rPr>
        <w:t>и</w:t>
      </w:r>
      <w:r w:rsidRPr="00226F9D">
        <w:rPr>
          <w:rFonts w:ascii="Times New Roman" w:hAnsi="Times New Roman" w:cs="Times New Roman"/>
          <w:lang w:val="sr-Latn-RS"/>
        </w:rPr>
        <w:t xml:space="preserve"> </w:t>
      </w:r>
      <w:r w:rsidRPr="00226F9D">
        <w:rPr>
          <w:rFonts w:ascii="Times New Roman" w:hAnsi="Times New Roman" w:cs="Times New Roman"/>
          <w:lang w:val="sr-Cyrl-RS"/>
        </w:rPr>
        <w:t>структурно</w:t>
      </w:r>
      <w:r w:rsidRPr="00226F9D">
        <w:rPr>
          <w:rFonts w:ascii="Times New Roman" w:hAnsi="Times New Roman" w:cs="Times New Roman"/>
          <w:lang w:val="sr-Latn-RS"/>
        </w:rPr>
        <w:t xml:space="preserve"> </w:t>
      </w:r>
      <w:r w:rsidRPr="00226F9D">
        <w:rPr>
          <w:rFonts w:ascii="Times New Roman" w:hAnsi="Times New Roman" w:cs="Times New Roman"/>
          <w:lang w:val="sr-Cyrl-RS"/>
        </w:rPr>
        <w:t>слабим</w:t>
      </w:r>
      <w:r w:rsidRPr="00226F9D">
        <w:rPr>
          <w:rFonts w:ascii="Times New Roman" w:hAnsi="Times New Roman" w:cs="Times New Roman"/>
          <w:lang w:val="sr-Latn-RS"/>
        </w:rPr>
        <w:t xml:space="preserve"> </w:t>
      </w:r>
      <w:r w:rsidRPr="00226F9D">
        <w:rPr>
          <w:rFonts w:ascii="Times New Roman" w:hAnsi="Times New Roman" w:cs="Times New Roman"/>
          <w:lang w:val="sr-Cyrl-RS"/>
        </w:rPr>
        <w:t>приходима</w:t>
      </w:r>
      <w:r w:rsidRPr="00226F9D">
        <w:rPr>
          <w:rFonts w:ascii="Times New Roman" w:hAnsi="Times New Roman" w:cs="Times New Roman"/>
          <w:lang w:val="sr-Latn-RS"/>
        </w:rPr>
        <w:t xml:space="preserve"> </w:t>
      </w:r>
      <w:r w:rsidRPr="00226F9D">
        <w:rPr>
          <w:rFonts w:ascii="Times New Roman" w:hAnsi="Times New Roman" w:cs="Times New Roman"/>
          <w:lang w:val="sr-Cyrl-RS"/>
        </w:rPr>
        <w:t>у</w:t>
      </w:r>
      <w:r w:rsidRPr="00226F9D">
        <w:rPr>
          <w:rFonts w:ascii="Times New Roman" w:hAnsi="Times New Roman" w:cs="Times New Roman"/>
          <w:lang w:val="sr-Latn-RS"/>
        </w:rPr>
        <w:t xml:space="preserve"> </w:t>
      </w:r>
      <w:r w:rsidRPr="00226F9D">
        <w:rPr>
          <w:rFonts w:ascii="Times New Roman" w:hAnsi="Times New Roman" w:cs="Times New Roman"/>
          <w:lang w:val="sr-Cyrl-RS"/>
        </w:rPr>
        <w:t>поређењу</w:t>
      </w:r>
      <w:r w:rsidRPr="00226F9D">
        <w:rPr>
          <w:rFonts w:ascii="Times New Roman" w:hAnsi="Times New Roman" w:cs="Times New Roman"/>
          <w:lang w:val="sr-Latn-RS"/>
        </w:rPr>
        <w:t xml:space="preserve"> </w:t>
      </w:r>
      <w:r w:rsidRPr="00226F9D">
        <w:rPr>
          <w:rFonts w:ascii="Times New Roman" w:hAnsi="Times New Roman" w:cs="Times New Roman"/>
          <w:lang w:val="sr-Cyrl-RS"/>
        </w:rPr>
        <w:t>са</w:t>
      </w:r>
      <w:r w:rsidRPr="00226F9D">
        <w:rPr>
          <w:rFonts w:ascii="Times New Roman" w:hAnsi="Times New Roman" w:cs="Times New Roman"/>
          <w:lang w:val="sr-Latn-RS"/>
        </w:rPr>
        <w:t xml:space="preserve"> </w:t>
      </w:r>
      <w:r w:rsidRPr="00226F9D">
        <w:rPr>
          <w:rFonts w:ascii="Times New Roman" w:hAnsi="Times New Roman" w:cs="Times New Roman"/>
          <w:lang w:val="sr-Cyrl-RS"/>
        </w:rPr>
        <w:t>државама</w:t>
      </w:r>
      <w:r w:rsidRPr="00226F9D">
        <w:rPr>
          <w:rFonts w:ascii="Times New Roman" w:hAnsi="Times New Roman" w:cs="Times New Roman"/>
          <w:lang w:val="sr-Latn-RS"/>
        </w:rPr>
        <w:t xml:space="preserve"> </w:t>
      </w:r>
      <w:r w:rsidRPr="00226F9D">
        <w:rPr>
          <w:rFonts w:ascii="Times New Roman" w:hAnsi="Times New Roman" w:cs="Times New Roman"/>
          <w:lang w:val="sr-Cyrl-RS"/>
        </w:rPr>
        <w:t>ЕУ</w:t>
      </w:r>
      <w:r w:rsidRPr="00226F9D">
        <w:rPr>
          <w:rFonts w:ascii="Times New Roman" w:hAnsi="Times New Roman" w:cs="Times New Roman"/>
          <w:lang w:val="sr-Latn-RS"/>
        </w:rPr>
        <w:t xml:space="preserve">, </w:t>
      </w:r>
      <w:r w:rsidRPr="00226F9D">
        <w:rPr>
          <w:rFonts w:ascii="Times New Roman" w:hAnsi="Times New Roman" w:cs="Times New Roman"/>
          <w:lang w:val="sr-Cyrl-RS"/>
        </w:rPr>
        <w:t>што</w:t>
      </w:r>
      <w:r w:rsidRPr="00226F9D">
        <w:rPr>
          <w:rFonts w:ascii="Times New Roman" w:hAnsi="Times New Roman" w:cs="Times New Roman"/>
          <w:lang w:val="sr-Latn-RS"/>
        </w:rPr>
        <w:t xml:space="preserve"> </w:t>
      </w:r>
      <w:r w:rsidRPr="00226F9D">
        <w:rPr>
          <w:rFonts w:ascii="Times New Roman" w:hAnsi="Times New Roman" w:cs="Times New Roman"/>
          <w:lang w:val="sr-Cyrl-RS"/>
        </w:rPr>
        <w:t>директно</w:t>
      </w:r>
      <w:r w:rsidRPr="00226F9D">
        <w:rPr>
          <w:rFonts w:ascii="Times New Roman" w:hAnsi="Times New Roman" w:cs="Times New Roman"/>
          <w:lang w:val="sr-Latn-RS"/>
        </w:rPr>
        <w:t xml:space="preserve"> </w:t>
      </w:r>
      <w:r w:rsidRPr="00226F9D">
        <w:rPr>
          <w:rFonts w:ascii="Times New Roman" w:hAnsi="Times New Roman" w:cs="Times New Roman"/>
          <w:lang w:val="sr-Cyrl-RS"/>
        </w:rPr>
        <w:t>утиче</w:t>
      </w:r>
      <w:r w:rsidRPr="00226F9D">
        <w:rPr>
          <w:rFonts w:ascii="Times New Roman" w:hAnsi="Times New Roman" w:cs="Times New Roman"/>
          <w:lang w:val="sr-Latn-RS"/>
        </w:rPr>
        <w:t xml:space="preserve"> </w:t>
      </w:r>
      <w:r w:rsidRPr="00226F9D">
        <w:rPr>
          <w:rFonts w:ascii="Times New Roman" w:hAnsi="Times New Roman" w:cs="Times New Roman"/>
          <w:lang w:val="sr-Cyrl-RS"/>
        </w:rPr>
        <w:t>на</w:t>
      </w:r>
      <w:r w:rsidRPr="00226F9D">
        <w:rPr>
          <w:rFonts w:ascii="Times New Roman" w:hAnsi="Times New Roman" w:cs="Times New Roman"/>
          <w:lang w:val="sr-Latn-RS"/>
        </w:rPr>
        <w:t xml:space="preserve"> </w:t>
      </w:r>
      <w:r w:rsidRPr="00226F9D">
        <w:rPr>
          <w:rFonts w:ascii="Times New Roman" w:hAnsi="Times New Roman" w:cs="Times New Roman"/>
          <w:lang w:val="sr-Cyrl-RS"/>
        </w:rPr>
        <w:t>стварну</w:t>
      </w:r>
      <w:r w:rsidRPr="00226F9D">
        <w:rPr>
          <w:rFonts w:ascii="Times New Roman" w:hAnsi="Times New Roman" w:cs="Times New Roman"/>
          <w:lang w:val="sr-Latn-RS"/>
        </w:rPr>
        <w:t xml:space="preserve"> </w:t>
      </w:r>
      <w:r w:rsidRPr="00226F9D">
        <w:rPr>
          <w:rFonts w:ascii="Times New Roman" w:hAnsi="Times New Roman" w:cs="Times New Roman"/>
          <w:lang w:val="sr-Cyrl-RS"/>
        </w:rPr>
        <w:t>фискалну</w:t>
      </w:r>
      <w:r w:rsidRPr="00226F9D">
        <w:rPr>
          <w:rFonts w:ascii="Times New Roman" w:hAnsi="Times New Roman" w:cs="Times New Roman"/>
          <w:lang w:val="sr-Latn-RS"/>
        </w:rPr>
        <w:t xml:space="preserve"> </w:t>
      </w:r>
      <w:r w:rsidRPr="00226F9D">
        <w:rPr>
          <w:rFonts w:ascii="Times New Roman" w:hAnsi="Times New Roman" w:cs="Times New Roman"/>
          <w:lang w:val="sr-Cyrl-RS"/>
        </w:rPr>
        <w:t>аутономију</w:t>
      </w:r>
      <w:r w:rsidRPr="00226F9D">
        <w:rPr>
          <w:rFonts w:ascii="Times New Roman" w:hAnsi="Times New Roman" w:cs="Times New Roman"/>
          <w:lang w:val="sr-Latn-RS"/>
        </w:rPr>
        <w:t xml:space="preserve">. </w:t>
      </w:r>
      <w:r w:rsidRPr="00226F9D">
        <w:rPr>
          <w:rFonts w:ascii="Times New Roman" w:hAnsi="Times New Roman" w:cs="Times New Roman"/>
        </w:rPr>
        <w:t>Према</w:t>
      </w:r>
      <w:r w:rsidRPr="00226F9D">
        <w:rPr>
          <w:rFonts w:ascii="Times New Roman" w:hAnsi="Times New Roman" w:cs="Times New Roman"/>
          <w:lang w:val="sr-Latn-RS"/>
        </w:rPr>
        <w:t xml:space="preserve"> </w:t>
      </w:r>
      <w:r w:rsidRPr="00226F9D">
        <w:rPr>
          <w:rFonts w:ascii="Times New Roman" w:hAnsi="Times New Roman" w:cs="Times New Roman"/>
        </w:rPr>
        <w:t>анализи</w:t>
      </w:r>
      <w:r w:rsidR="00D97802" w:rsidRPr="00226F9D">
        <w:rPr>
          <w:rStyle w:val="FootnoteReference"/>
          <w:rFonts w:ascii="Times New Roman" w:hAnsi="Times New Roman" w:cs="Times New Roman"/>
        </w:rPr>
        <w:footnoteReference w:id="36"/>
      </w:r>
      <w:r w:rsidRPr="00226F9D">
        <w:rPr>
          <w:rFonts w:ascii="Times New Roman" w:hAnsi="Times New Roman" w:cs="Times New Roman"/>
          <w:lang w:val="sr-Latn-RS"/>
        </w:rPr>
        <w:t xml:space="preserve">, </w:t>
      </w:r>
      <w:r w:rsidRPr="00226F9D">
        <w:rPr>
          <w:rFonts w:ascii="Times New Roman" w:hAnsi="Times New Roman" w:cs="Times New Roman"/>
        </w:rPr>
        <w:t>сопствени</w:t>
      </w:r>
      <w:r w:rsidRPr="00226F9D">
        <w:rPr>
          <w:rFonts w:ascii="Times New Roman" w:hAnsi="Times New Roman" w:cs="Times New Roman"/>
          <w:lang w:val="sr-Latn-RS"/>
        </w:rPr>
        <w:t xml:space="preserve"> </w:t>
      </w:r>
      <w:r w:rsidRPr="00226F9D">
        <w:rPr>
          <w:rFonts w:ascii="Times New Roman" w:hAnsi="Times New Roman" w:cs="Times New Roman"/>
        </w:rPr>
        <w:t>приходи</w:t>
      </w:r>
      <w:r w:rsidRPr="00226F9D">
        <w:rPr>
          <w:rFonts w:ascii="Times New Roman" w:hAnsi="Times New Roman" w:cs="Times New Roman"/>
          <w:lang w:val="sr-Latn-RS"/>
        </w:rPr>
        <w:t xml:space="preserve"> </w:t>
      </w:r>
      <w:r w:rsidRPr="00226F9D">
        <w:rPr>
          <w:rFonts w:ascii="Times New Roman" w:hAnsi="Times New Roman" w:cs="Times New Roman"/>
        </w:rPr>
        <w:t>локалних</w:t>
      </w:r>
      <w:r w:rsidRPr="00226F9D">
        <w:rPr>
          <w:rFonts w:ascii="Times New Roman" w:hAnsi="Times New Roman" w:cs="Times New Roman"/>
          <w:lang w:val="sr-Latn-RS"/>
        </w:rPr>
        <w:t xml:space="preserve"> </w:t>
      </w:r>
      <w:r w:rsidRPr="00226F9D">
        <w:rPr>
          <w:rFonts w:ascii="Times New Roman" w:hAnsi="Times New Roman" w:cs="Times New Roman"/>
        </w:rPr>
        <w:t>власти</w:t>
      </w:r>
      <w:r w:rsidRPr="00226F9D">
        <w:rPr>
          <w:rFonts w:ascii="Times New Roman" w:hAnsi="Times New Roman" w:cs="Times New Roman"/>
          <w:lang w:val="sr-Latn-RS"/>
        </w:rPr>
        <w:t xml:space="preserve"> </w:t>
      </w:r>
      <w:r w:rsidRPr="00226F9D">
        <w:rPr>
          <w:rFonts w:ascii="Times New Roman" w:hAnsi="Times New Roman" w:cs="Times New Roman"/>
        </w:rPr>
        <w:t>чине</w:t>
      </w:r>
      <w:r w:rsidRPr="00226F9D">
        <w:rPr>
          <w:rFonts w:ascii="Times New Roman" w:hAnsi="Times New Roman" w:cs="Times New Roman"/>
          <w:lang w:val="sr-Latn-RS"/>
        </w:rPr>
        <w:t xml:space="preserve"> </w:t>
      </w:r>
      <w:r w:rsidRPr="00226F9D">
        <w:rPr>
          <w:rFonts w:ascii="Times New Roman" w:hAnsi="Times New Roman" w:cs="Times New Roman"/>
        </w:rPr>
        <w:t>релативно</w:t>
      </w:r>
      <w:r w:rsidRPr="00226F9D">
        <w:rPr>
          <w:rFonts w:ascii="Times New Roman" w:hAnsi="Times New Roman" w:cs="Times New Roman"/>
          <w:lang w:val="sr-Latn-RS"/>
        </w:rPr>
        <w:t xml:space="preserve"> </w:t>
      </w:r>
      <w:r w:rsidRPr="00226F9D">
        <w:rPr>
          <w:rFonts w:ascii="Times New Roman" w:hAnsi="Times New Roman" w:cs="Times New Roman"/>
        </w:rPr>
        <w:t>мали</w:t>
      </w:r>
      <w:r w:rsidRPr="00226F9D">
        <w:rPr>
          <w:rFonts w:ascii="Times New Roman" w:hAnsi="Times New Roman" w:cs="Times New Roman"/>
          <w:lang w:val="sr-Latn-RS"/>
        </w:rPr>
        <w:t xml:space="preserve"> </w:t>
      </w:r>
      <w:r w:rsidRPr="00226F9D">
        <w:rPr>
          <w:rFonts w:ascii="Times New Roman" w:hAnsi="Times New Roman" w:cs="Times New Roman"/>
        </w:rPr>
        <w:t>део</w:t>
      </w:r>
      <w:r w:rsidRPr="00226F9D">
        <w:rPr>
          <w:rFonts w:ascii="Times New Roman" w:hAnsi="Times New Roman" w:cs="Times New Roman"/>
          <w:lang w:val="sr-Latn-RS"/>
        </w:rPr>
        <w:t xml:space="preserve"> </w:t>
      </w:r>
      <w:r w:rsidRPr="00226F9D">
        <w:rPr>
          <w:rFonts w:ascii="Times New Roman" w:hAnsi="Times New Roman" w:cs="Times New Roman"/>
        </w:rPr>
        <w:t>укупних</w:t>
      </w:r>
      <w:r w:rsidRPr="00226F9D">
        <w:rPr>
          <w:rFonts w:ascii="Times New Roman" w:hAnsi="Times New Roman" w:cs="Times New Roman"/>
          <w:lang w:val="sr-Latn-RS"/>
        </w:rPr>
        <w:t xml:space="preserve"> </w:t>
      </w:r>
      <w:r w:rsidRPr="00226F9D">
        <w:rPr>
          <w:rFonts w:ascii="Times New Roman" w:hAnsi="Times New Roman" w:cs="Times New Roman"/>
        </w:rPr>
        <w:t>прихода</w:t>
      </w:r>
      <w:r w:rsidRPr="00226F9D">
        <w:rPr>
          <w:rFonts w:ascii="Times New Roman" w:hAnsi="Times New Roman" w:cs="Times New Roman"/>
          <w:lang w:val="sr-Latn-RS"/>
        </w:rPr>
        <w:t xml:space="preserve"> (</w:t>
      </w:r>
      <w:r w:rsidRPr="00226F9D">
        <w:rPr>
          <w:rFonts w:ascii="Times New Roman" w:hAnsi="Times New Roman" w:cs="Times New Roman"/>
        </w:rPr>
        <w:t>често</w:t>
      </w:r>
      <w:r w:rsidRPr="00226F9D">
        <w:rPr>
          <w:rFonts w:ascii="Times New Roman" w:hAnsi="Times New Roman" w:cs="Times New Roman"/>
          <w:lang w:val="sr-Latn-RS"/>
        </w:rPr>
        <w:t xml:space="preserve"> </w:t>
      </w:r>
      <w:r w:rsidRPr="00226F9D">
        <w:rPr>
          <w:rFonts w:ascii="Times New Roman" w:hAnsi="Times New Roman" w:cs="Times New Roman"/>
        </w:rPr>
        <w:t>око</w:t>
      </w:r>
      <w:r w:rsidRPr="00226F9D">
        <w:rPr>
          <w:rFonts w:ascii="Times New Roman" w:hAnsi="Times New Roman" w:cs="Times New Roman"/>
          <w:lang w:val="sr-Latn-RS"/>
        </w:rPr>
        <w:t xml:space="preserve"> </w:t>
      </w:r>
      <w:r w:rsidRPr="00226F9D">
        <w:rPr>
          <w:rFonts w:ascii="Times New Roman" w:hAnsi="Times New Roman" w:cs="Times New Roman"/>
        </w:rPr>
        <w:t>једне</w:t>
      </w:r>
      <w:r w:rsidRPr="00226F9D">
        <w:rPr>
          <w:rFonts w:ascii="Times New Roman" w:hAnsi="Times New Roman" w:cs="Times New Roman"/>
          <w:lang w:val="sr-Latn-RS"/>
        </w:rPr>
        <w:t xml:space="preserve"> </w:t>
      </w:r>
      <w:r w:rsidRPr="00226F9D">
        <w:rPr>
          <w:rFonts w:ascii="Times New Roman" w:hAnsi="Times New Roman" w:cs="Times New Roman"/>
        </w:rPr>
        <w:t>трећине</w:t>
      </w:r>
      <w:r w:rsidRPr="00226F9D">
        <w:rPr>
          <w:rFonts w:ascii="Times New Roman" w:hAnsi="Times New Roman" w:cs="Times New Roman"/>
          <w:lang w:val="sr-Latn-RS"/>
        </w:rPr>
        <w:t xml:space="preserve"> </w:t>
      </w:r>
      <w:r w:rsidRPr="00226F9D">
        <w:rPr>
          <w:rFonts w:ascii="Times New Roman" w:hAnsi="Times New Roman" w:cs="Times New Roman"/>
        </w:rPr>
        <w:t>или</w:t>
      </w:r>
      <w:r w:rsidRPr="00226F9D">
        <w:rPr>
          <w:rFonts w:ascii="Times New Roman" w:hAnsi="Times New Roman" w:cs="Times New Roman"/>
          <w:lang w:val="sr-Latn-RS"/>
        </w:rPr>
        <w:t xml:space="preserve"> </w:t>
      </w:r>
      <w:r w:rsidRPr="00226F9D">
        <w:rPr>
          <w:rFonts w:ascii="Times New Roman" w:hAnsi="Times New Roman" w:cs="Times New Roman"/>
        </w:rPr>
        <w:t>мање</w:t>
      </w:r>
      <w:r w:rsidRPr="00226F9D">
        <w:rPr>
          <w:rFonts w:ascii="Times New Roman" w:hAnsi="Times New Roman" w:cs="Times New Roman"/>
          <w:lang w:val="sr-Latn-RS"/>
        </w:rPr>
        <w:t xml:space="preserve">), </w:t>
      </w:r>
      <w:r w:rsidRPr="00226F9D">
        <w:rPr>
          <w:rFonts w:ascii="Times New Roman" w:hAnsi="Times New Roman" w:cs="Times New Roman"/>
        </w:rPr>
        <w:t>уз</w:t>
      </w:r>
      <w:r w:rsidRPr="00226F9D">
        <w:rPr>
          <w:rFonts w:ascii="Times New Roman" w:hAnsi="Times New Roman" w:cs="Times New Roman"/>
          <w:lang w:val="sr-Latn-RS"/>
        </w:rPr>
        <w:t xml:space="preserve"> </w:t>
      </w:r>
      <w:r w:rsidRPr="00226F9D">
        <w:rPr>
          <w:rFonts w:ascii="Times New Roman" w:hAnsi="Times New Roman" w:cs="Times New Roman"/>
        </w:rPr>
        <w:t>снажно</w:t>
      </w:r>
      <w:r w:rsidRPr="00226F9D">
        <w:rPr>
          <w:rFonts w:ascii="Times New Roman" w:hAnsi="Times New Roman" w:cs="Times New Roman"/>
          <w:lang w:val="sr-Latn-RS"/>
        </w:rPr>
        <w:t xml:space="preserve"> </w:t>
      </w:r>
      <w:r w:rsidRPr="00226F9D">
        <w:rPr>
          <w:rFonts w:ascii="Times New Roman" w:hAnsi="Times New Roman" w:cs="Times New Roman"/>
        </w:rPr>
        <w:t>ослањање</w:t>
      </w:r>
      <w:r w:rsidRPr="00226F9D">
        <w:rPr>
          <w:rFonts w:ascii="Times New Roman" w:hAnsi="Times New Roman" w:cs="Times New Roman"/>
          <w:lang w:val="sr-Latn-RS"/>
        </w:rPr>
        <w:t xml:space="preserve"> </w:t>
      </w:r>
      <w:r w:rsidRPr="00226F9D">
        <w:rPr>
          <w:rFonts w:ascii="Times New Roman" w:hAnsi="Times New Roman" w:cs="Times New Roman"/>
        </w:rPr>
        <w:t>на</w:t>
      </w:r>
      <w:r w:rsidRPr="00226F9D">
        <w:rPr>
          <w:rFonts w:ascii="Times New Roman" w:hAnsi="Times New Roman" w:cs="Times New Roman"/>
          <w:lang w:val="sr-Latn-RS"/>
        </w:rPr>
        <w:t xml:space="preserve"> </w:t>
      </w:r>
      <w:r w:rsidRPr="00226F9D">
        <w:rPr>
          <w:rFonts w:ascii="Times New Roman" w:hAnsi="Times New Roman" w:cs="Times New Roman"/>
        </w:rPr>
        <w:t>трансфере</w:t>
      </w:r>
      <w:r w:rsidRPr="00226F9D">
        <w:rPr>
          <w:rFonts w:ascii="Times New Roman" w:hAnsi="Times New Roman" w:cs="Times New Roman"/>
          <w:lang w:val="sr-Latn-RS"/>
        </w:rPr>
        <w:t xml:space="preserve"> </w:t>
      </w:r>
      <w:r w:rsidRPr="00226F9D">
        <w:rPr>
          <w:rFonts w:ascii="Times New Roman" w:hAnsi="Times New Roman" w:cs="Times New Roman"/>
        </w:rPr>
        <w:t>са</w:t>
      </w:r>
      <w:r w:rsidRPr="00226F9D">
        <w:rPr>
          <w:rFonts w:ascii="Times New Roman" w:hAnsi="Times New Roman" w:cs="Times New Roman"/>
          <w:lang w:val="sr-Latn-RS"/>
        </w:rPr>
        <w:t xml:space="preserve"> </w:t>
      </w:r>
      <w:r w:rsidRPr="00226F9D">
        <w:rPr>
          <w:rFonts w:ascii="Times New Roman" w:hAnsi="Times New Roman" w:cs="Times New Roman"/>
        </w:rPr>
        <w:t>централног</w:t>
      </w:r>
      <w:r w:rsidRPr="00226F9D">
        <w:rPr>
          <w:rFonts w:ascii="Times New Roman" w:hAnsi="Times New Roman" w:cs="Times New Roman"/>
          <w:lang w:val="sr-Latn-RS"/>
        </w:rPr>
        <w:t xml:space="preserve"> </w:t>
      </w:r>
      <w:r w:rsidRPr="00226F9D">
        <w:rPr>
          <w:rFonts w:ascii="Times New Roman" w:hAnsi="Times New Roman" w:cs="Times New Roman"/>
        </w:rPr>
        <w:t>нивоа</w:t>
      </w:r>
      <w:r w:rsidRPr="00226F9D">
        <w:rPr>
          <w:rFonts w:ascii="Times New Roman" w:hAnsi="Times New Roman" w:cs="Times New Roman"/>
          <w:lang w:val="sr-Latn-RS"/>
        </w:rPr>
        <w:t xml:space="preserve">, </w:t>
      </w:r>
      <w:r w:rsidRPr="00226F9D">
        <w:rPr>
          <w:rFonts w:ascii="Times New Roman" w:hAnsi="Times New Roman" w:cs="Times New Roman"/>
          <w:lang w:val="sr-Cyrl-RS"/>
        </w:rPr>
        <w:t>често</w:t>
      </w:r>
      <w:r w:rsidRPr="00226F9D">
        <w:rPr>
          <w:rFonts w:ascii="Times New Roman" w:hAnsi="Times New Roman" w:cs="Times New Roman"/>
          <w:lang w:val="sr-Latn-RS"/>
        </w:rPr>
        <w:t xml:space="preserve"> </w:t>
      </w:r>
      <w:r w:rsidRPr="00226F9D">
        <w:rPr>
          <w:rFonts w:ascii="Times New Roman" w:hAnsi="Times New Roman" w:cs="Times New Roman"/>
        </w:rPr>
        <w:t>наменски</w:t>
      </w:r>
      <w:r w:rsidRPr="00226F9D">
        <w:rPr>
          <w:rFonts w:ascii="Times New Roman" w:hAnsi="Times New Roman" w:cs="Times New Roman"/>
          <w:lang w:val="sr-Latn-RS"/>
        </w:rPr>
        <w:t xml:space="preserve"> </w:t>
      </w:r>
      <w:r w:rsidRPr="00226F9D">
        <w:rPr>
          <w:rFonts w:ascii="Times New Roman" w:hAnsi="Times New Roman" w:cs="Times New Roman"/>
        </w:rPr>
        <w:t>одређене</w:t>
      </w:r>
      <w:r w:rsidRPr="00226F9D">
        <w:rPr>
          <w:rFonts w:ascii="Times New Roman" w:hAnsi="Times New Roman" w:cs="Times New Roman"/>
          <w:lang w:val="sr-Latn-RS"/>
        </w:rPr>
        <w:t xml:space="preserve">. </w:t>
      </w:r>
      <w:r w:rsidRPr="00226F9D">
        <w:rPr>
          <w:rFonts w:ascii="Times New Roman" w:hAnsi="Times New Roman" w:cs="Times New Roman"/>
        </w:rPr>
        <w:t>Порески</w:t>
      </w:r>
      <w:r w:rsidRPr="00226F9D">
        <w:rPr>
          <w:rFonts w:ascii="Times New Roman" w:hAnsi="Times New Roman" w:cs="Times New Roman"/>
          <w:lang w:val="sr-Latn-RS"/>
        </w:rPr>
        <w:t xml:space="preserve"> </w:t>
      </w:r>
      <w:r w:rsidRPr="00226F9D">
        <w:rPr>
          <w:rFonts w:ascii="Times New Roman" w:hAnsi="Times New Roman" w:cs="Times New Roman"/>
        </w:rPr>
        <w:t>приходи</w:t>
      </w:r>
      <w:r w:rsidRPr="00226F9D">
        <w:rPr>
          <w:rFonts w:ascii="Times New Roman" w:hAnsi="Times New Roman" w:cs="Times New Roman"/>
          <w:lang w:val="sr-Latn-RS"/>
        </w:rPr>
        <w:t xml:space="preserve"> </w:t>
      </w:r>
      <w:r w:rsidRPr="00226F9D">
        <w:rPr>
          <w:rFonts w:ascii="Times New Roman" w:hAnsi="Times New Roman" w:cs="Times New Roman"/>
        </w:rPr>
        <w:t>са</w:t>
      </w:r>
      <w:r w:rsidRPr="00226F9D">
        <w:rPr>
          <w:rFonts w:ascii="Times New Roman" w:hAnsi="Times New Roman" w:cs="Times New Roman"/>
          <w:lang w:val="sr-Latn-RS"/>
        </w:rPr>
        <w:t xml:space="preserve"> </w:t>
      </w:r>
      <w:r w:rsidRPr="00226F9D">
        <w:rPr>
          <w:rFonts w:ascii="Times New Roman" w:hAnsi="Times New Roman" w:cs="Times New Roman"/>
        </w:rPr>
        <w:t>локалном</w:t>
      </w:r>
      <w:r w:rsidRPr="00226F9D">
        <w:rPr>
          <w:rFonts w:ascii="Times New Roman" w:hAnsi="Times New Roman" w:cs="Times New Roman"/>
          <w:lang w:val="sr-Latn-RS"/>
        </w:rPr>
        <w:t xml:space="preserve"> </w:t>
      </w:r>
      <w:r w:rsidRPr="00226F9D">
        <w:rPr>
          <w:rFonts w:ascii="Times New Roman" w:hAnsi="Times New Roman" w:cs="Times New Roman"/>
        </w:rPr>
        <w:t>дискрецијом</w:t>
      </w:r>
      <w:r w:rsidRPr="00226F9D">
        <w:rPr>
          <w:rFonts w:ascii="Times New Roman" w:hAnsi="Times New Roman" w:cs="Times New Roman"/>
          <w:lang w:val="sr-Latn-RS"/>
        </w:rPr>
        <w:t xml:space="preserve"> (</w:t>
      </w:r>
      <w:r w:rsidRPr="00226F9D">
        <w:rPr>
          <w:rFonts w:ascii="Times New Roman" w:hAnsi="Times New Roman" w:cs="Times New Roman"/>
        </w:rPr>
        <w:t>посебно</w:t>
      </w:r>
      <w:r w:rsidRPr="00226F9D">
        <w:rPr>
          <w:rFonts w:ascii="Times New Roman" w:hAnsi="Times New Roman" w:cs="Times New Roman"/>
          <w:lang w:val="sr-Latn-RS"/>
        </w:rPr>
        <w:t xml:space="preserve"> </w:t>
      </w:r>
      <w:r w:rsidRPr="00226F9D">
        <w:rPr>
          <w:rFonts w:ascii="Times New Roman" w:hAnsi="Times New Roman" w:cs="Times New Roman"/>
        </w:rPr>
        <w:t>порез</w:t>
      </w:r>
      <w:r w:rsidRPr="00226F9D">
        <w:rPr>
          <w:rFonts w:ascii="Times New Roman" w:hAnsi="Times New Roman" w:cs="Times New Roman"/>
          <w:lang w:val="sr-Latn-RS"/>
        </w:rPr>
        <w:t xml:space="preserve"> </w:t>
      </w:r>
      <w:r w:rsidRPr="00226F9D">
        <w:rPr>
          <w:rFonts w:ascii="Times New Roman" w:hAnsi="Times New Roman" w:cs="Times New Roman"/>
        </w:rPr>
        <w:t>на</w:t>
      </w:r>
      <w:r w:rsidRPr="00226F9D">
        <w:rPr>
          <w:rFonts w:ascii="Times New Roman" w:hAnsi="Times New Roman" w:cs="Times New Roman"/>
          <w:lang w:val="sr-Latn-RS"/>
        </w:rPr>
        <w:t xml:space="preserve"> </w:t>
      </w:r>
      <w:r w:rsidRPr="00226F9D">
        <w:rPr>
          <w:rFonts w:ascii="Times New Roman" w:hAnsi="Times New Roman" w:cs="Times New Roman"/>
        </w:rPr>
        <w:t>имовину</w:t>
      </w:r>
      <w:r w:rsidRPr="00226F9D">
        <w:rPr>
          <w:rFonts w:ascii="Times New Roman" w:hAnsi="Times New Roman" w:cs="Times New Roman"/>
          <w:lang w:val="sr-Latn-RS"/>
        </w:rPr>
        <w:t xml:space="preserve">) </w:t>
      </w:r>
      <w:r w:rsidRPr="00226F9D">
        <w:rPr>
          <w:rFonts w:ascii="Times New Roman" w:hAnsi="Times New Roman" w:cs="Times New Roman"/>
        </w:rPr>
        <w:t>имају</w:t>
      </w:r>
      <w:r w:rsidRPr="00226F9D">
        <w:rPr>
          <w:rFonts w:ascii="Times New Roman" w:hAnsi="Times New Roman" w:cs="Times New Roman"/>
          <w:lang w:val="sr-Latn-RS"/>
        </w:rPr>
        <w:t xml:space="preserve"> </w:t>
      </w:r>
      <w:r w:rsidRPr="00226F9D">
        <w:rPr>
          <w:rFonts w:ascii="Times New Roman" w:hAnsi="Times New Roman" w:cs="Times New Roman"/>
        </w:rPr>
        <w:t>низак</w:t>
      </w:r>
      <w:r w:rsidRPr="00226F9D">
        <w:rPr>
          <w:rFonts w:ascii="Times New Roman" w:hAnsi="Times New Roman" w:cs="Times New Roman"/>
          <w:lang w:val="sr-Latn-RS"/>
        </w:rPr>
        <w:t xml:space="preserve"> </w:t>
      </w:r>
      <w:r w:rsidRPr="00226F9D">
        <w:rPr>
          <w:rFonts w:ascii="Times New Roman" w:hAnsi="Times New Roman" w:cs="Times New Roman"/>
        </w:rPr>
        <w:t>фискални</w:t>
      </w:r>
      <w:r w:rsidRPr="00226F9D">
        <w:rPr>
          <w:rFonts w:ascii="Times New Roman" w:hAnsi="Times New Roman" w:cs="Times New Roman"/>
          <w:lang w:val="sr-Latn-RS"/>
        </w:rPr>
        <w:t xml:space="preserve"> </w:t>
      </w:r>
      <w:r w:rsidRPr="00226F9D">
        <w:rPr>
          <w:rFonts w:ascii="Times New Roman" w:hAnsi="Times New Roman" w:cs="Times New Roman"/>
        </w:rPr>
        <w:t>капацитет</w:t>
      </w:r>
      <w:r w:rsidRPr="00226F9D">
        <w:rPr>
          <w:rFonts w:ascii="Times New Roman" w:hAnsi="Times New Roman" w:cs="Times New Roman"/>
          <w:lang w:val="sr-Latn-RS"/>
        </w:rPr>
        <w:t xml:space="preserve"> </w:t>
      </w:r>
      <w:r w:rsidRPr="00226F9D">
        <w:rPr>
          <w:rFonts w:ascii="Times New Roman" w:hAnsi="Times New Roman" w:cs="Times New Roman"/>
        </w:rPr>
        <w:t>и</w:t>
      </w:r>
      <w:r w:rsidRPr="00226F9D">
        <w:rPr>
          <w:rFonts w:ascii="Times New Roman" w:hAnsi="Times New Roman" w:cs="Times New Roman"/>
          <w:lang w:val="sr-Latn-RS"/>
        </w:rPr>
        <w:t xml:space="preserve"> </w:t>
      </w:r>
      <w:r w:rsidRPr="00226F9D">
        <w:rPr>
          <w:rFonts w:ascii="Times New Roman" w:hAnsi="Times New Roman" w:cs="Times New Roman"/>
        </w:rPr>
        <w:t>слаб</w:t>
      </w:r>
      <w:r w:rsidRPr="00226F9D">
        <w:rPr>
          <w:rFonts w:ascii="Times New Roman" w:hAnsi="Times New Roman" w:cs="Times New Roman"/>
          <w:lang w:val="sr-Latn-RS"/>
        </w:rPr>
        <w:t xml:space="preserve"> </w:t>
      </w:r>
      <w:r w:rsidRPr="00226F9D">
        <w:rPr>
          <w:rFonts w:ascii="Times New Roman" w:hAnsi="Times New Roman" w:cs="Times New Roman"/>
        </w:rPr>
        <w:t>допринос</w:t>
      </w:r>
      <w:r w:rsidRPr="00226F9D">
        <w:rPr>
          <w:rFonts w:ascii="Times New Roman" w:hAnsi="Times New Roman" w:cs="Times New Roman"/>
          <w:lang w:val="sr-Latn-RS"/>
        </w:rPr>
        <w:t xml:space="preserve"> </w:t>
      </w:r>
      <w:r w:rsidRPr="00226F9D">
        <w:rPr>
          <w:rFonts w:ascii="Times New Roman" w:hAnsi="Times New Roman" w:cs="Times New Roman"/>
        </w:rPr>
        <w:t>БДП</w:t>
      </w:r>
      <w:r w:rsidRPr="00226F9D">
        <w:rPr>
          <w:rFonts w:ascii="Times New Roman" w:hAnsi="Times New Roman" w:cs="Times New Roman"/>
          <w:lang w:val="sr-Latn-RS"/>
        </w:rPr>
        <w:t>-</w:t>
      </w:r>
      <w:r w:rsidRPr="00226F9D">
        <w:rPr>
          <w:rFonts w:ascii="Times New Roman" w:hAnsi="Times New Roman" w:cs="Times New Roman"/>
        </w:rPr>
        <w:t>у</w:t>
      </w:r>
      <w:r w:rsidRPr="00226F9D">
        <w:rPr>
          <w:rFonts w:ascii="Times New Roman" w:hAnsi="Times New Roman" w:cs="Times New Roman"/>
          <w:lang w:val="sr-Latn-RS"/>
        </w:rPr>
        <w:t xml:space="preserve">, </w:t>
      </w:r>
      <w:r w:rsidRPr="00226F9D">
        <w:rPr>
          <w:rFonts w:ascii="Times New Roman" w:hAnsi="Times New Roman" w:cs="Times New Roman"/>
        </w:rPr>
        <w:t>док</w:t>
      </w:r>
      <w:r w:rsidRPr="00226F9D">
        <w:rPr>
          <w:rFonts w:ascii="Times New Roman" w:hAnsi="Times New Roman" w:cs="Times New Roman"/>
          <w:lang w:val="sr-Latn-RS"/>
        </w:rPr>
        <w:t xml:space="preserve"> </w:t>
      </w:r>
      <w:r w:rsidRPr="00226F9D">
        <w:rPr>
          <w:rFonts w:ascii="Times New Roman" w:hAnsi="Times New Roman" w:cs="Times New Roman"/>
        </w:rPr>
        <w:t>дељени</w:t>
      </w:r>
      <w:r w:rsidRPr="00226F9D">
        <w:rPr>
          <w:rFonts w:ascii="Times New Roman" w:hAnsi="Times New Roman" w:cs="Times New Roman"/>
          <w:lang w:val="sr-Latn-RS"/>
        </w:rPr>
        <w:t xml:space="preserve"> </w:t>
      </w:r>
      <w:r w:rsidRPr="00226F9D">
        <w:rPr>
          <w:rFonts w:ascii="Times New Roman" w:hAnsi="Times New Roman" w:cs="Times New Roman"/>
        </w:rPr>
        <w:t>порези</w:t>
      </w:r>
      <w:r w:rsidRPr="00226F9D">
        <w:rPr>
          <w:rFonts w:ascii="Times New Roman" w:hAnsi="Times New Roman" w:cs="Times New Roman"/>
          <w:lang w:val="sr-Latn-RS"/>
        </w:rPr>
        <w:t xml:space="preserve"> (</w:t>
      </w:r>
      <w:r w:rsidRPr="00226F9D">
        <w:rPr>
          <w:rFonts w:ascii="Times New Roman" w:hAnsi="Times New Roman" w:cs="Times New Roman"/>
        </w:rPr>
        <w:t>нпр</w:t>
      </w:r>
      <w:r w:rsidRPr="00226F9D">
        <w:rPr>
          <w:rFonts w:ascii="Times New Roman" w:hAnsi="Times New Roman" w:cs="Times New Roman"/>
          <w:lang w:val="sr-Latn-RS"/>
        </w:rPr>
        <w:t xml:space="preserve">. </w:t>
      </w:r>
      <w:r w:rsidRPr="00226F9D">
        <w:rPr>
          <w:rFonts w:ascii="Times New Roman" w:hAnsi="Times New Roman" w:cs="Times New Roman"/>
        </w:rPr>
        <w:t>порез</w:t>
      </w:r>
      <w:r w:rsidRPr="00226F9D">
        <w:rPr>
          <w:rFonts w:ascii="Times New Roman" w:hAnsi="Times New Roman" w:cs="Times New Roman"/>
          <w:lang w:val="sr-Latn-RS"/>
        </w:rPr>
        <w:t xml:space="preserve"> </w:t>
      </w:r>
      <w:r w:rsidRPr="00226F9D">
        <w:rPr>
          <w:rFonts w:ascii="Times New Roman" w:hAnsi="Times New Roman" w:cs="Times New Roman"/>
        </w:rPr>
        <w:t>на</w:t>
      </w:r>
      <w:r w:rsidRPr="00226F9D">
        <w:rPr>
          <w:rFonts w:ascii="Times New Roman" w:hAnsi="Times New Roman" w:cs="Times New Roman"/>
          <w:lang w:val="sr-Latn-RS"/>
        </w:rPr>
        <w:t xml:space="preserve"> </w:t>
      </w:r>
      <w:r w:rsidRPr="00226F9D">
        <w:rPr>
          <w:rFonts w:ascii="Times New Roman" w:hAnsi="Times New Roman" w:cs="Times New Roman"/>
        </w:rPr>
        <w:t>доходак</w:t>
      </w:r>
      <w:r w:rsidRPr="00226F9D">
        <w:rPr>
          <w:rFonts w:ascii="Times New Roman" w:hAnsi="Times New Roman" w:cs="Times New Roman"/>
          <w:lang w:val="sr-Latn-RS"/>
        </w:rPr>
        <w:t xml:space="preserve"> </w:t>
      </w:r>
      <w:r w:rsidRPr="00226F9D">
        <w:rPr>
          <w:rFonts w:ascii="Times New Roman" w:hAnsi="Times New Roman" w:cs="Times New Roman"/>
        </w:rPr>
        <w:t>грађана</w:t>
      </w:r>
      <w:r w:rsidRPr="00226F9D">
        <w:rPr>
          <w:rFonts w:ascii="Times New Roman" w:hAnsi="Times New Roman" w:cs="Times New Roman"/>
          <w:lang w:val="sr-Latn-RS"/>
        </w:rPr>
        <w:t xml:space="preserve"> </w:t>
      </w:r>
      <w:r w:rsidRPr="00226F9D">
        <w:rPr>
          <w:rFonts w:ascii="Times New Roman" w:hAnsi="Times New Roman" w:cs="Times New Roman"/>
        </w:rPr>
        <w:t>или</w:t>
      </w:r>
      <w:r w:rsidRPr="00226F9D">
        <w:rPr>
          <w:rFonts w:ascii="Times New Roman" w:hAnsi="Times New Roman" w:cs="Times New Roman"/>
          <w:lang w:val="sr-Latn-RS"/>
        </w:rPr>
        <w:t xml:space="preserve"> </w:t>
      </w:r>
      <w:r w:rsidRPr="00226F9D">
        <w:rPr>
          <w:rFonts w:ascii="Times New Roman" w:hAnsi="Times New Roman" w:cs="Times New Roman"/>
        </w:rPr>
        <w:t>ПДВ</w:t>
      </w:r>
      <w:r w:rsidRPr="00226F9D">
        <w:rPr>
          <w:rFonts w:ascii="Times New Roman" w:hAnsi="Times New Roman" w:cs="Times New Roman"/>
          <w:lang w:val="sr-Latn-RS"/>
        </w:rPr>
        <w:t xml:space="preserve">) </w:t>
      </w:r>
      <w:r w:rsidRPr="00226F9D">
        <w:rPr>
          <w:rFonts w:ascii="Times New Roman" w:hAnsi="Times New Roman" w:cs="Times New Roman"/>
        </w:rPr>
        <w:t>имају</w:t>
      </w:r>
      <w:r w:rsidRPr="00226F9D">
        <w:rPr>
          <w:rFonts w:ascii="Times New Roman" w:hAnsi="Times New Roman" w:cs="Times New Roman"/>
          <w:lang w:val="sr-Latn-RS"/>
        </w:rPr>
        <w:t xml:space="preserve"> </w:t>
      </w:r>
      <w:r w:rsidRPr="00226F9D">
        <w:rPr>
          <w:rFonts w:ascii="Times New Roman" w:hAnsi="Times New Roman" w:cs="Times New Roman"/>
        </w:rPr>
        <w:t>ограничен</w:t>
      </w:r>
      <w:r w:rsidRPr="00226F9D">
        <w:rPr>
          <w:rFonts w:ascii="Times New Roman" w:hAnsi="Times New Roman" w:cs="Times New Roman"/>
          <w:lang w:val="sr-Latn-RS"/>
        </w:rPr>
        <w:t xml:space="preserve"> </w:t>
      </w:r>
      <w:r w:rsidRPr="00226F9D">
        <w:rPr>
          <w:rFonts w:ascii="Times New Roman" w:hAnsi="Times New Roman" w:cs="Times New Roman"/>
        </w:rPr>
        <w:t>стабилизациони</w:t>
      </w:r>
      <w:r w:rsidRPr="00226F9D">
        <w:rPr>
          <w:rFonts w:ascii="Times New Roman" w:hAnsi="Times New Roman" w:cs="Times New Roman"/>
          <w:lang w:val="sr-Latn-RS"/>
        </w:rPr>
        <w:t xml:space="preserve"> </w:t>
      </w:r>
      <w:r w:rsidRPr="00226F9D">
        <w:rPr>
          <w:rFonts w:ascii="Times New Roman" w:hAnsi="Times New Roman" w:cs="Times New Roman"/>
        </w:rPr>
        <w:t>и</w:t>
      </w:r>
      <w:r w:rsidRPr="00226F9D">
        <w:rPr>
          <w:rFonts w:ascii="Times New Roman" w:hAnsi="Times New Roman" w:cs="Times New Roman"/>
          <w:lang w:val="sr-Latn-RS"/>
        </w:rPr>
        <w:t xml:space="preserve"> </w:t>
      </w:r>
      <w:r w:rsidRPr="00226F9D">
        <w:rPr>
          <w:rFonts w:ascii="Times New Roman" w:hAnsi="Times New Roman" w:cs="Times New Roman"/>
        </w:rPr>
        <w:t>изједначавајући</w:t>
      </w:r>
      <w:r w:rsidRPr="00226F9D">
        <w:rPr>
          <w:rFonts w:ascii="Times New Roman" w:hAnsi="Times New Roman" w:cs="Times New Roman"/>
          <w:lang w:val="sr-Latn-RS"/>
        </w:rPr>
        <w:t xml:space="preserve"> </w:t>
      </w:r>
      <w:r w:rsidRPr="00226F9D">
        <w:rPr>
          <w:rFonts w:ascii="Times New Roman" w:hAnsi="Times New Roman" w:cs="Times New Roman"/>
        </w:rPr>
        <w:t>ефекат</w:t>
      </w:r>
      <w:r w:rsidRPr="00226F9D">
        <w:rPr>
          <w:rFonts w:ascii="Times New Roman" w:hAnsi="Times New Roman" w:cs="Times New Roman"/>
          <w:lang w:val="sr-Latn-RS"/>
        </w:rPr>
        <w:t xml:space="preserve">. </w:t>
      </w:r>
      <w:r w:rsidRPr="00226F9D">
        <w:rPr>
          <w:rFonts w:ascii="Times New Roman" w:hAnsi="Times New Roman" w:cs="Times New Roman"/>
        </w:rPr>
        <w:lastRenderedPageBreak/>
        <w:t>Системи</w:t>
      </w:r>
      <w:r w:rsidRPr="00226F9D">
        <w:rPr>
          <w:rFonts w:ascii="Times New Roman" w:hAnsi="Times New Roman" w:cs="Times New Roman"/>
          <w:lang w:val="sr-Latn-RS"/>
        </w:rPr>
        <w:t xml:space="preserve"> </w:t>
      </w:r>
      <w:r w:rsidRPr="00226F9D">
        <w:rPr>
          <w:rFonts w:ascii="Times New Roman" w:hAnsi="Times New Roman" w:cs="Times New Roman"/>
        </w:rPr>
        <w:t>фискалне</w:t>
      </w:r>
      <w:r w:rsidRPr="00226F9D">
        <w:rPr>
          <w:rFonts w:ascii="Times New Roman" w:hAnsi="Times New Roman" w:cs="Times New Roman"/>
          <w:lang w:val="sr-Latn-RS"/>
        </w:rPr>
        <w:t xml:space="preserve"> </w:t>
      </w:r>
      <w:r w:rsidRPr="00226F9D">
        <w:rPr>
          <w:rFonts w:ascii="Times New Roman" w:hAnsi="Times New Roman" w:cs="Times New Roman"/>
        </w:rPr>
        <w:t>једнакости</w:t>
      </w:r>
      <w:r w:rsidRPr="00226F9D">
        <w:rPr>
          <w:rFonts w:ascii="Times New Roman" w:hAnsi="Times New Roman" w:cs="Times New Roman"/>
          <w:lang w:val="sr-Latn-RS"/>
        </w:rPr>
        <w:t xml:space="preserve"> </w:t>
      </w:r>
      <w:r w:rsidRPr="00226F9D">
        <w:rPr>
          <w:rFonts w:ascii="Times New Roman" w:hAnsi="Times New Roman" w:cs="Times New Roman"/>
        </w:rPr>
        <w:t>постоје</w:t>
      </w:r>
      <w:r w:rsidRPr="00226F9D">
        <w:rPr>
          <w:rFonts w:ascii="Times New Roman" w:hAnsi="Times New Roman" w:cs="Times New Roman"/>
          <w:lang w:val="sr-Latn-RS"/>
        </w:rPr>
        <w:t xml:space="preserve">, </w:t>
      </w:r>
      <w:r w:rsidRPr="00226F9D">
        <w:rPr>
          <w:rFonts w:ascii="Times New Roman" w:hAnsi="Times New Roman" w:cs="Times New Roman"/>
        </w:rPr>
        <w:t>али</w:t>
      </w:r>
      <w:r w:rsidRPr="00226F9D">
        <w:rPr>
          <w:rFonts w:ascii="Times New Roman" w:hAnsi="Times New Roman" w:cs="Times New Roman"/>
          <w:lang w:val="sr-Latn-RS"/>
        </w:rPr>
        <w:t xml:space="preserve"> </w:t>
      </w:r>
      <w:r w:rsidRPr="00226F9D">
        <w:rPr>
          <w:rFonts w:ascii="Times New Roman" w:hAnsi="Times New Roman" w:cs="Times New Roman"/>
        </w:rPr>
        <w:t>су</w:t>
      </w:r>
      <w:r w:rsidRPr="00226F9D">
        <w:rPr>
          <w:rFonts w:ascii="Times New Roman" w:hAnsi="Times New Roman" w:cs="Times New Roman"/>
          <w:lang w:val="sr-Latn-RS"/>
        </w:rPr>
        <w:t xml:space="preserve"> </w:t>
      </w:r>
      <w:r w:rsidRPr="00226F9D">
        <w:rPr>
          <w:rFonts w:ascii="Times New Roman" w:hAnsi="Times New Roman" w:cs="Times New Roman"/>
        </w:rPr>
        <w:t>у</w:t>
      </w:r>
      <w:r w:rsidRPr="00226F9D">
        <w:rPr>
          <w:rFonts w:ascii="Times New Roman" w:hAnsi="Times New Roman" w:cs="Times New Roman"/>
          <w:lang w:val="sr-Latn-RS"/>
        </w:rPr>
        <w:t xml:space="preserve"> </w:t>
      </w:r>
      <w:r w:rsidRPr="00226F9D">
        <w:rPr>
          <w:rFonts w:ascii="Times New Roman" w:hAnsi="Times New Roman" w:cs="Times New Roman"/>
        </w:rPr>
        <w:t>пракси</w:t>
      </w:r>
      <w:r w:rsidRPr="00226F9D">
        <w:rPr>
          <w:rFonts w:ascii="Times New Roman" w:hAnsi="Times New Roman" w:cs="Times New Roman"/>
          <w:lang w:val="sr-Latn-RS"/>
        </w:rPr>
        <w:t xml:space="preserve"> </w:t>
      </w:r>
      <w:r w:rsidRPr="00226F9D">
        <w:rPr>
          <w:rFonts w:ascii="Times New Roman" w:hAnsi="Times New Roman" w:cs="Times New Roman"/>
        </w:rPr>
        <w:t>недовољно</w:t>
      </w:r>
      <w:r w:rsidRPr="00226F9D">
        <w:rPr>
          <w:rFonts w:ascii="Times New Roman" w:hAnsi="Times New Roman" w:cs="Times New Roman"/>
          <w:lang w:val="sr-Latn-RS"/>
        </w:rPr>
        <w:t xml:space="preserve"> </w:t>
      </w:r>
      <w:r w:rsidRPr="00226F9D">
        <w:rPr>
          <w:rFonts w:ascii="Times New Roman" w:hAnsi="Times New Roman" w:cs="Times New Roman"/>
        </w:rPr>
        <w:t>ефикасни</w:t>
      </w:r>
      <w:r w:rsidRPr="00226F9D">
        <w:rPr>
          <w:rFonts w:ascii="Times New Roman" w:hAnsi="Times New Roman" w:cs="Times New Roman"/>
          <w:lang w:val="sr-Latn-RS"/>
        </w:rPr>
        <w:t xml:space="preserve">, </w:t>
      </w:r>
      <w:r w:rsidRPr="00226F9D">
        <w:rPr>
          <w:rFonts w:ascii="Times New Roman" w:hAnsi="Times New Roman" w:cs="Times New Roman"/>
        </w:rPr>
        <w:t>што</w:t>
      </w:r>
      <w:r w:rsidRPr="00226F9D">
        <w:rPr>
          <w:rFonts w:ascii="Times New Roman" w:hAnsi="Times New Roman" w:cs="Times New Roman"/>
          <w:lang w:val="sr-Latn-RS"/>
        </w:rPr>
        <w:t xml:space="preserve"> </w:t>
      </w:r>
      <w:r w:rsidRPr="00226F9D">
        <w:rPr>
          <w:rFonts w:ascii="Times New Roman" w:hAnsi="Times New Roman" w:cs="Times New Roman"/>
        </w:rPr>
        <w:t>резултира</w:t>
      </w:r>
      <w:r w:rsidRPr="00226F9D">
        <w:rPr>
          <w:rFonts w:ascii="Times New Roman" w:hAnsi="Times New Roman" w:cs="Times New Roman"/>
          <w:lang w:val="sr-Latn-RS"/>
        </w:rPr>
        <w:t xml:space="preserve"> </w:t>
      </w:r>
      <w:r w:rsidRPr="00226F9D">
        <w:rPr>
          <w:rFonts w:ascii="Times New Roman" w:hAnsi="Times New Roman" w:cs="Times New Roman"/>
        </w:rPr>
        <w:t>великим</w:t>
      </w:r>
      <w:r w:rsidRPr="00226F9D">
        <w:rPr>
          <w:rFonts w:ascii="Times New Roman" w:hAnsi="Times New Roman" w:cs="Times New Roman"/>
          <w:lang w:val="sr-Latn-RS"/>
        </w:rPr>
        <w:t xml:space="preserve"> </w:t>
      </w:r>
      <w:r w:rsidRPr="00226F9D">
        <w:rPr>
          <w:rFonts w:ascii="Times New Roman" w:hAnsi="Times New Roman" w:cs="Times New Roman"/>
        </w:rPr>
        <w:t>разликама</w:t>
      </w:r>
      <w:r w:rsidRPr="00226F9D">
        <w:rPr>
          <w:rFonts w:ascii="Times New Roman" w:hAnsi="Times New Roman" w:cs="Times New Roman"/>
          <w:lang w:val="sr-Latn-RS"/>
        </w:rPr>
        <w:t xml:space="preserve"> </w:t>
      </w:r>
      <w:r w:rsidRPr="00226F9D">
        <w:rPr>
          <w:rFonts w:ascii="Times New Roman" w:hAnsi="Times New Roman" w:cs="Times New Roman"/>
        </w:rPr>
        <w:t>у</w:t>
      </w:r>
      <w:r w:rsidRPr="00226F9D">
        <w:rPr>
          <w:rFonts w:ascii="Times New Roman" w:hAnsi="Times New Roman" w:cs="Times New Roman"/>
          <w:lang w:val="sr-Latn-RS"/>
        </w:rPr>
        <w:t xml:space="preserve"> </w:t>
      </w:r>
      <w:r w:rsidRPr="00226F9D">
        <w:rPr>
          <w:rFonts w:ascii="Times New Roman" w:hAnsi="Times New Roman" w:cs="Times New Roman"/>
        </w:rPr>
        <w:t>приходима</w:t>
      </w:r>
      <w:r w:rsidRPr="00226F9D">
        <w:rPr>
          <w:rFonts w:ascii="Times New Roman" w:hAnsi="Times New Roman" w:cs="Times New Roman"/>
          <w:lang w:val="sr-Latn-RS"/>
        </w:rPr>
        <w:t xml:space="preserve"> </w:t>
      </w:r>
      <w:r w:rsidRPr="00226F9D">
        <w:rPr>
          <w:rFonts w:ascii="Times New Roman" w:hAnsi="Times New Roman" w:cs="Times New Roman"/>
        </w:rPr>
        <w:t>по</w:t>
      </w:r>
      <w:r w:rsidRPr="00226F9D">
        <w:rPr>
          <w:rFonts w:ascii="Times New Roman" w:hAnsi="Times New Roman" w:cs="Times New Roman"/>
          <w:lang w:val="sr-Latn-RS"/>
        </w:rPr>
        <w:t xml:space="preserve"> </w:t>
      </w:r>
      <w:r w:rsidRPr="00226F9D">
        <w:rPr>
          <w:rFonts w:ascii="Times New Roman" w:hAnsi="Times New Roman" w:cs="Times New Roman"/>
        </w:rPr>
        <w:t>становнику</w:t>
      </w:r>
      <w:r w:rsidRPr="00226F9D">
        <w:rPr>
          <w:rFonts w:ascii="Times New Roman" w:hAnsi="Times New Roman" w:cs="Times New Roman"/>
          <w:lang w:val="sr-Latn-RS"/>
        </w:rPr>
        <w:t xml:space="preserve"> </w:t>
      </w:r>
      <w:r w:rsidRPr="00226F9D">
        <w:rPr>
          <w:rFonts w:ascii="Times New Roman" w:hAnsi="Times New Roman" w:cs="Times New Roman"/>
        </w:rPr>
        <w:t>између</w:t>
      </w:r>
      <w:r w:rsidRPr="00226F9D">
        <w:rPr>
          <w:rFonts w:ascii="Times New Roman" w:hAnsi="Times New Roman" w:cs="Times New Roman"/>
          <w:lang w:val="sr-Latn-RS"/>
        </w:rPr>
        <w:t xml:space="preserve"> </w:t>
      </w:r>
      <w:r w:rsidRPr="00226F9D">
        <w:rPr>
          <w:rFonts w:ascii="Times New Roman" w:hAnsi="Times New Roman" w:cs="Times New Roman"/>
        </w:rPr>
        <w:t>јединица</w:t>
      </w:r>
      <w:r w:rsidRPr="00226F9D">
        <w:rPr>
          <w:rFonts w:ascii="Times New Roman" w:hAnsi="Times New Roman" w:cs="Times New Roman"/>
          <w:lang w:val="sr-Latn-RS"/>
        </w:rPr>
        <w:t xml:space="preserve"> </w:t>
      </w:r>
      <w:r w:rsidRPr="00226F9D">
        <w:rPr>
          <w:rFonts w:ascii="Times New Roman" w:hAnsi="Times New Roman" w:cs="Times New Roman"/>
        </w:rPr>
        <w:t>локалне</w:t>
      </w:r>
      <w:r w:rsidRPr="00226F9D">
        <w:rPr>
          <w:rFonts w:ascii="Times New Roman" w:hAnsi="Times New Roman" w:cs="Times New Roman"/>
          <w:lang w:val="sr-Latn-RS"/>
        </w:rPr>
        <w:t xml:space="preserve"> </w:t>
      </w:r>
      <w:r w:rsidRPr="00226F9D">
        <w:rPr>
          <w:rFonts w:ascii="Times New Roman" w:hAnsi="Times New Roman" w:cs="Times New Roman"/>
        </w:rPr>
        <w:t>самоуправе</w:t>
      </w:r>
      <w:r w:rsidRPr="00226F9D">
        <w:rPr>
          <w:rFonts w:ascii="Times New Roman" w:hAnsi="Times New Roman" w:cs="Times New Roman"/>
          <w:lang w:val="sr-Latn-RS"/>
        </w:rPr>
        <w:t xml:space="preserve"> </w:t>
      </w:r>
      <w:r w:rsidRPr="00226F9D">
        <w:rPr>
          <w:rFonts w:ascii="Times New Roman" w:hAnsi="Times New Roman" w:cs="Times New Roman"/>
        </w:rPr>
        <w:t>и</w:t>
      </w:r>
      <w:r w:rsidRPr="00226F9D">
        <w:rPr>
          <w:rFonts w:ascii="Times New Roman" w:hAnsi="Times New Roman" w:cs="Times New Roman"/>
          <w:lang w:val="sr-Latn-RS"/>
        </w:rPr>
        <w:t xml:space="preserve"> </w:t>
      </w:r>
      <w:r w:rsidRPr="00226F9D">
        <w:rPr>
          <w:rFonts w:ascii="Times New Roman" w:hAnsi="Times New Roman" w:cs="Times New Roman"/>
        </w:rPr>
        <w:t>трајним</w:t>
      </w:r>
      <w:r w:rsidRPr="00226F9D">
        <w:rPr>
          <w:rFonts w:ascii="Times New Roman" w:hAnsi="Times New Roman" w:cs="Times New Roman"/>
          <w:lang w:val="sr-Latn-RS"/>
        </w:rPr>
        <w:t xml:space="preserve"> </w:t>
      </w:r>
      <w:r w:rsidRPr="00226F9D">
        <w:rPr>
          <w:rFonts w:ascii="Times New Roman" w:hAnsi="Times New Roman" w:cs="Times New Roman"/>
        </w:rPr>
        <w:t>ликвидносним</w:t>
      </w:r>
      <w:r w:rsidRPr="00226F9D">
        <w:rPr>
          <w:rFonts w:ascii="Times New Roman" w:hAnsi="Times New Roman" w:cs="Times New Roman"/>
          <w:lang w:val="sr-Latn-RS"/>
        </w:rPr>
        <w:t xml:space="preserve"> </w:t>
      </w:r>
      <w:r w:rsidRPr="00226F9D">
        <w:rPr>
          <w:rFonts w:ascii="Times New Roman" w:hAnsi="Times New Roman" w:cs="Times New Roman"/>
        </w:rPr>
        <w:t>проблемима</w:t>
      </w:r>
      <w:r w:rsidRPr="00226F9D">
        <w:rPr>
          <w:rFonts w:ascii="Times New Roman" w:hAnsi="Times New Roman" w:cs="Times New Roman"/>
          <w:lang w:val="sr-Latn-RS"/>
        </w:rPr>
        <w:t xml:space="preserve"> </w:t>
      </w:r>
      <w:r w:rsidRPr="00226F9D">
        <w:rPr>
          <w:rFonts w:ascii="Times New Roman" w:hAnsi="Times New Roman" w:cs="Times New Roman"/>
        </w:rPr>
        <w:t>дела</w:t>
      </w:r>
      <w:r w:rsidRPr="00226F9D">
        <w:rPr>
          <w:rFonts w:ascii="Times New Roman" w:hAnsi="Times New Roman" w:cs="Times New Roman"/>
          <w:lang w:val="sr-Latn-RS"/>
        </w:rPr>
        <w:t xml:space="preserve"> </w:t>
      </w:r>
      <w:r w:rsidRPr="00226F9D">
        <w:rPr>
          <w:rFonts w:ascii="Times New Roman" w:hAnsi="Times New Roman" w:cs="Times New Roman"/>
        </w:rPr>
        <w:t>локалних</w:t>
      </w:r>
      <w:r w:rsidR="00632999" w:rsidRPr="00226F9D">
        <w:rPr>
          <w:rFonts w:ascii="Times New Roman" w:hAnsi="Times New Roman" w:cs="Times New Roman"/>
          <w:lang w:val="sr-Latn-RS"/>
        </w:rPr>
        <w:t xml:space="preserve"> </w:t>
      </w:r>
      <w:r w:rsidR="00632999" w:rsidRPr="00226F9D">
        <w:rPr>
          <w:rFonts w:ascii="Times New Roman" w:hAnsi="Times New Roman" w:cs="Times New Roman"/>
        </w:rPr>
        <w:t>буџета</w:t>
      </w:r>
      <w:r w:rsidR="1F426168" w:rsidRPr="00226F9D">
        <w:rPr>
          <w:rFonts w:ascii="Times New Roman" w:hAnsi="Times New Roman" w:cs="Times New Roman"/>
          <w:lang w:val="sr-Latn-RS"/>
        </w:rPr>
        <w:t>.</w:t>
      </w:r>
    </w:p>
    <w:p w14:paraId="1F07780E" w14:textId="77777777" w:rsidR="006B3C49" w:rsidRPr="00226F9D" w:rsidRDefault="006B3C49" w:rsidP="006B3C49">
      <w:pPr>
        <w:spacing w:after="0" w:line="240" w:lineRule="auto"/>
        <w:jc w:val="both"/>
        <w:rPr>
          <w:rStyle w:val="normaltextrun"/>
          <w:rFonts w:ascii="Times New Roman" w:hAnsi="Times New Roman" w:cs="Times New Roman"/>
          <w:lang w:val="sr-Cyrl-RS"/>
        </w:rPr>
      </w:pPr>
    </w:p>
    <w:p w14:paraId="7C95727F" w14:textId="7400D1D5" w:rsidR="006B3C49" w:rsidRPr="00226F9D" w:rsidRDefault="006B3C49" w:rsidP="006B3C49">
      <w:pPr>
        <w:spacing w:after="0" w:line="240" w:lineRule="auto"/>
        <w:jc w:val="both"/>
        <w:rPr>
          <w:rStyle w:val="normaltextrun"/>
          <w:rFonts w:ascii="Times New Roman" w:hAnsi="Times New Roman" w:cs="Times New Roman"/>
          <w:lang w:val="sr-Cyrl-RS"/>
        </w:rPr>
      </w:pPr>
      <w:r w:rsidRPr="00226F9D">
        <w:rPr>
          <w:rFonts w:ascii="Times New Roman" w:hAnsi="Times New Roman" w:cs="Times New Roman"/>
          <w:lang w:val="sr-Cyrl-RS"/>
        </w:rPr>
        <w:t>У поређењу са државама Европске уније, где локалне власти имају већи удео у укупним јавним расходима и разноврсније и стабилније изворе сопствених прихода, уз већи удео општих (ненаменских) трансфера, системи финансирања локалне самоуправе у Западном Балкану одликују се ограниченом фискалном аутономијом и ниском предвидивошћу прихода. У ЕУ је у већој мери успостављена веза између надлежности и адекватних финансијских ресурса, примењују се снажнији и транспарентнији механизми изједначавања и оставља се више простора локалним властима за самостално планирање и управљање јавним услугама. Насупрот томе, у региону доминирају централно дефинисани фискални оквири, висока условљеност трансфера и недовољно развијени локални порески капацитети, што отежава дугорочно буџетско планирање, умањује одговорност локалних власти према грађанима и успорава приближавање стандардима Европске уније.</w:t>
      </w:r>
    </w:p>
    <w:p w14:paraId="26EF614E" w14:textId="77777777" w:rsidR="00DD40F1" w:rsidRPr="00226F9D" w:rsidRDefault="00DD40F1" w:rsidP="006B59F4">
      <w:pPr>
        <w:spacing w:after="0" w:line="240" w:lineRule="auto"/>
        <w:jc w:val="both"/>
        <w:rPr>
          <w:rStyle w:val="normaltextrun"/>
          <w:rFonts w:ascii="Times New Roman" w:hAnsi="Times New Roman" w:cs="Times New Roman"/>
          <w:lang w:val="sr-Cyrl-RS"/>
        </w:rPr>
      </w:pPr>
    </w:p>
    <w:p w14:paraId="2C7560C1" w14:textId="1BB858BE" w:rsidR="00F34656" w:rsidRPr="00226F9D" w:rsidRDefault="00F34656" w:rsidP="00EF3891">
      <w:pPr>
        <w:pStyle w:val="Heading2"/>
        <w:numPr>
          <w:ilvl w:val="0"/>
          <w:numId w:val="25"/>
        </w:numPr>
        <w:rPr>
          <w:rFonts w:ascii="Times New Roman" w:hAnsi="Times New Roman" w:cs="Times New Roman"/>
          <w:lang w:val="sr-Cyrl-RS"/>
        </w:rPr>
      </w:pPr>
      <w:bookmarkStart w:id="4" w:name="_Toc222753913"/>
      <w:r w:rsidRPr="00226F9D">
        <w:rPr>
          <w:rFonts w:ascii="Times New Roman" w:hAnsi="Times New Roman" w:cs="Times New Roman"/>
          <w:i/>
          <w:iCs/>
        </w:rPr>
        <w:t>Ex</w:t>
      </w:r>
      <w:r w:rsidRPr="00226F9D">
        <w:rPr>
          <w:rFonts w:ascii="Times New Roman" w:hAnsi="Times New Roman" w:cs="Times New Roman"/>
          <w:i/>
          <w:iCs/>
          <w:lang w:val="sr-Cyrl-RS"/>
        </w:rPr>
        <w:t>-</w:t>
      </w:r>
      <w:r w:rsidRPr="00226F9D">
        <w:rPr>
          <w:rFonts w:ascii="Times New Roman" w:hAnsi="Times New Roman" w:cs="Times New Roman"/>
          <w:i/>
          <w:iCs/>
        </w:rPr>
        <w:t>post</w:t>
      </w:r>
      <w:r w:rsidRPr="00226F9D">
        <w:rPr>
          <w:rFonts w:ascii="Times New Roman" w:hAnsi="Times New Roman" w:cs="Times New Roman"/>
          <w:lang w:val="sr-Cyrl-RS"/>
        </w:rPr>
        <w:t xml:space="preserve"> </w:t>
      </w:r>
      <w:r w:rsidRPr="00226F9D">
        <w:rPr>
          <w:rFonts w:ascii="Times New Roman" w:eastAsia="Calibri" w:hAnsi="Times New Roman" w:cs="Times New Roman"/>
          <w:lang w:val="sr-Cyrl-RS"/>
        </w:rPr>
        <w:t>анализе</w:t>
      </w:r>
      <w:r w:rsidRPr="00226F9D">
        <w:rPr>
          <w:rFonts w:ascii="Times New Roman" w:hAnsi="Times New Roman" w:cs="Times New Roman"/>
          <w:lang w:val="sr-Cyrl-RS"/>
        </w:rPr>
        <w:t xml:space="preserve"> и општи осврт на учинке ПРСЛС 2021-2025</w:t>
      </w:r>
      <w:bookmarkEnd w:id="4"/>
    </w:p>
    <w:p w14:paraId="2E0D9E76"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5B84E03E" w14:textId="683B065C"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Свеобухватни извештај о резултатима спровођења ПРСЛС 2021-2025 биће припремљен у року (до средине 2026. године) и на начин предвиђен Уредбом о</w:t>
      </w:r>
      <w:r w:rsidRPr="00226F9D">
        <w:rPr>
          <w:rFonts w:ascii="Times New Roman" w:hAnsi="Times New Roman" w:cs="Times New Roman"/>
          <w:lang w:val="sr-Cyrl-RS"/>
        </w:rPr>
        <w:t xml:space="preserve"> </w:t>
      </w:r>
      <w:r w:rsidRPr="00226F9D">
        <w:rPr>
          <w:rStyle w:val="normaltextrun"/>
          <w:rFonts w:ascii="Times New Roman" w:hAnsi="Times New Roman" w:cs="Times New Roman"/>
          <w:lang w:val="sr-Cyrl-RS"/>
        </w:rPr>
        <w:t>методологији израде докумената јавних политика. МДУЛС је следећи важећу регулативу и методолшка упутства, током целог периода спровођења претходног Програма, на годишњем нивоу и континуирано кроз координацију са надлежним актерима, пратило реализацију, припремало извештајне материјале и сагледавало успешност постизања планираних учинака. Имајући у виду да је иницијални АП усвојен за период 2021-2023. године, током 2023. године припреман је и осврт на програмске резултате са елементима критеријума за вредновање</w:t>
      </w:r>
      <w:r w:rsidR="00DE7D05" w:rsidRPr="00226F9D">
        <w:rPr>
          <w:rStyle w:val="normaltextrun"/>
          <w:rFonts w:ascii="Times New Roman" w:hAnsi="Times New Roman" w:cs="Times New Roman"/>
          <w:lang w:val="sr-Cyrl-RS"/>
        </w:rPr>
        <w:t xml:space="preserve"> </w:t>
      </w:r>
      <w:r w:rsidR="000B7855" w:rsidRPr="00226F9D">
        <w:rPr>
          <w:rStyle w:val="normaltextrun"/>
          <w:rFonts w:ascii="Times New Roman" w:hAnsi="Times New Roman" w:cs="Times New Roman"/>
          <w:lang w:val="sr-Latn-RS"/>
        </w:rPr>
        <w:t>(</w:t>
      </w:r>
      <w:r w:rsidR="00DE7D05" w:rsidRPr="00226F9D">
        <w:rPr>
          <w:rStyle w:val="normaltextrun"/>
          <w:rFonts w:ascii="Times New Roman" w:hAnsi="Times New Roman" w:cs="Times New Roman"/>
          <w:i/>
          <w:iCs/>
          <w:lang w:val="sr-Cyrl-RS"/>
        </w:rPr>
        <w:t>Ex</w:t>
      </w:r>
      <w:r w:rsidR="000B7855" w:rsidRPr="00226F9D">
        <w:rPr>
          <w:rStyle w:val="normaltextrun"/>
          <w:rFonts w:ascii="Times New Roman" w:hAnsi="Times New Roman" w:cs="Times New Roman"/>
          <w:i/>
          <w:iCs/>
          <w:lang w:val="sr-Latn-RS"/>
        </w:rPr>
        <w:t>-</w:t>
      </w:r>
      <w:r w:rsidR="00DE7D05" w:rsidRPr="00226F9D">
        <w:rPr>
          <w:rStyle w:val="normaltextrun"/>
          <w:rFonts w:ascii="Times New Roman" w:hAnsi="Times New Roman" w:cs="Times New Roman"/>
          <w:i/>
          <w:iCs/>
          <w:lang w:val="sr-Cyrl-RS"/>
        </w:rPr>
        <w:t>post</w:t>
      </w:r>
      <w:r w:rsidR="00DE7D05" w:rsidRPr="00226F9D">
        <w:rPr>
          <w:rStyle w:val="normaltextrun"/>
          <w:rFonts w:ascii="Times New Roman" w:hAnsi="Times New Roman" w:cs="Times New Roman"/>
          <w:lang w:val="sr-Cyrl-RS"/>
        </w:rPr>
        <w:t xml:space="preserve"> анализа)</w:t>
      </w:r>
      <w:r w:rsidRPr="00226F9D">
        <w:rPr>
          <w:rStyle w:val="normaltextrun"/>
          <w:rFonts w:ascii="Times New Roman" w:hAnsi="Times New Roman" w:cs="Times New Roman"/>
          <w:lang w:val="sr-Cyrl-RS"/>
        </w:rPr>
        <w:t>, што је представљало подлогу за израду наредног АП за период 2024-2025. године (усвојен октобра 2024. године) и примену одређених корективних интервенција – углавном кроз прилагођавања показатеља на нивоу мера и ревизију циљаних вредности. Процес израде новог ПРСЛС 2026-2030, практично током целе 2025. године, искоришћен је за сагледавање главних постигнућа за цео претходни програмски период, као и фактора који су условили остварење одређених учинака на нивоу слабијем од очекиваног. Комбиновано са упоредним анализама, доступним новим прегледима и препорукама ЕК/СИГМА и информацијама о резултатима других планских докумената из обухвата СРЈУ од утицаја на ПРСЛС, кроз овај процес дошло се до закључака о трасирању даљих реформи за систем локалне самоуправе, како је предочено у наставку документа.</w:t>
      </w:r>
    </w:p>
    <w:p w14:paraId="139BA064"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5464C517" w14:textId="77777777"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У уводном осврту следи приказ остварења показатеља на нивоу општег циља ПРСЛС 2021-2025 на бази расположивих информација, уз начелне квалификације претходног Програма по критеријумима вредновања произашле из досадашњих планских и извештајних процеса. Иако ће методолошки потпун процес е</w:t>
      </w:r>
      <w:r w:rsidRPr="00226F9D">
        <w:rPr>
          <w:rStyle w:val="normaltextrun"/>
          <w:rFonts w:ascii="Times New Roman" w:hAnsi="Times New Roman" w:cs="Times New Roman"/>
          <w:lang w:val="sr-Latn-RS"/>
        </w:rPr>
        <w:t xml:space="preserve">x-post </w:t>
      </w:r>
      <w:r w:rsidRPr="00226F9D">
        <w:rPr>
          <w:rStyle w:val="normaltextrun"/>
          <w:rFonts w:ascii="Times New Roman" w:hAnsi="Times New Roman" w:cs="Times New Roman"/>
          <w:lang w:val="sr-Cyrl-RS"/>
        </w:rPr>
        <w:t xml:space="preserve">оцене сходно евалуационом оквиру и свим елементима извештаја о спровођењу Програма тек уследити, приказ у наставку значајан је у тренутку израде ПРСЛС за 2026-2030 за разумевање стратешких опредељења и решења предложених у новом Програму. </w:t>
      </w:r>
    </w:p>
    <w:p w14:paraId="38E9D601"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7DC3A53F" w14:textId="67413701" w:rsidR="00F34656" w:rsidRPr="00226F9D" w:rsidRDefault="00F34656" w:rsidP="00F34656">
      <w:pPr>
        <w:spacing w:after="0" w:line="240" w:lineRule="auto"/>
        <w:jc w:val="both"/>
        <w:rPr>
          <w:rFonts w:ascii="Times New Roman" w:hAnsi="Times New Roman" w:cs="Times New Roman"/>
          <w:i/>
          <w:iCs/>
          <w:spacing w:val="-4"/>
          <w:lang w:val="sr-Latn-RS"/>
        </w:rPr>
      </w:pPr>
      <w:r w:rsidRPr="00226F9D">
        <w:rPr>
          <w:rFonts w:ascii="Times New Roman" w:hAnsi="Times New Roman" w:cs="Times New Roman"/>
          <w:b/>
          <w:bCs/>
          <w:i/>
          <w:iCs/>
          <w:spacing w:val="-4"/>
          <w:lang w:val="sr-Cyrl-RS"/>
        </w:rPr>
        <w:t xml:space="preserve">Табела </w:t>
      </w:r>
      <w:r w:rsidR="0057576C" w:rsidRPr="00226F9D">
        <w:rPr>
          <w:rFonts w:ascii="Times New Roman" w:hAnsi="Times New Roman" w:cs="Times New Roman"/>
          <w:b/>
          <w:bCs/>
          <w:i/>
          <w:iCs/>
          <w:spacing w:val="-4"/>
          <w:lang w:val="sr-Cyrl-RS"/>
        </w:rPr>
        <w:t>0</w:t>
      </w:r>
      <w:r w:rsidR="009C200D" w:rsidRPr="00226F9D">
        <w:rPr>
          <w:rFonts w:ascii="Times New Roman" w:hAnsi="Times New Roman" w:cs="Times New Roman"/>
          <w:b/>
          <w:bCs/>
          <w:i/>
          <w:iCs/>
          <w:spacing w:val="-4"/>
          <w:lang w:val="sr-Cyrl-RS"/>
        </w:rPr>
        <w:t>.</w:t>
      </w:r>
      <w:r w:rsidR="00136957" w:rsidRPr="00226F9D">
        <w:rPr>
          <w:rFonts w:ascii="Times New Roman" w:hAnsi="Times New Roman" w:cs="Times New Roman"/>
          <w:b/>
          <w:bCs/>
          <w:i/>
          <w:iCs/>
          <w:spacing w:val="-4"/>
          <w:lang w:val="sr-Cyrl-RS"/>
        </w:rPr>
        <w:t>1</w:t>
      </w:r>
      <w:r w:rsidRPr="00226F9D">
        <w:rPr>
          <w:rFonts w:ascii="Times New Roman" w:hAnsi="Times New Roman" w:cs="Times New Roman"/>
          <w:b/>
          <w:bCs/>
          <w:i/>
          <w:iCs/>
          <w:spacing w:val="-4"/>
          <w:lang w:val="sr-Cyrl-RS"/>
        </w:rPr>
        <w:t>:</w:t>
      </w:r>
      <w:r w:rsidRPr="00226F9D">
        <w:rPr>
          <w:rFonts w:ascii="Times New Roman" w:hAnsi="Times New Roman" w:cs="Times New Roman"/>
          <w:i/>
          <w:iCs/>
          <w:spacing w:val="-4"/>
          <w:lang w:val="sr-Cyrl-RS"/>
        </w:rPr>
        <w:t xml:space="preserve"> Приказ остварења показатеља на нивоу Општег циља ПРСЛС 2021-2025:</w:t>
      </w:r>
    </w:p>
    <w:p w14:paraId="210521BB" w14:textId="77777777" w:rsidR="001F3DC4" w:rsidRPr="00226F9D" w:rsidRDefault="001F3DC4" w:rsidP="00F34656">
      <w:pPr>
        <w:spacing w:after="0" w:line="240" w:lineRule="auto"/>
        <w:jc w:val="both"/>
        <w:rPr>
          <w:rFonts w:ascii="Times New Roman" w:hAnsi="Times New Roman" w:cs="Times New Roman"/>
          <w:i/>
          <w:iCs/>
          <w:spacing w:val="-4"/>
          <w:lang w:val="sr-Latn-RS"/>
        </w:rPr>
      </w:pPr>
    </w:p>
    <w:tbl>
      <w:tblPr>
        <w:tblStyle w:val="TableGrid"/>
        <w:tblW w:w="9360" w:type="dxa"/>
        <w:tblInd w:w="-5" w:type="dxa"/>
        <w:tblLook w:val="04A0" w:firstRow="1" w:lastRow="0" w:firstColumn="1" w:lastColumn="0" w:noHBand="0" w:noVBand="1"/>
      </w:tblPr>
      <w:tblGrid>
        <w:gridCol w:w="1980"/>
        <w:gridCol w:w="2415"/>
        <w:gridCol w:w="1220"/>
        <w:gridCol w:w="1473"/>
        <w:gridCol w:w="2272"/>
      </w:tblGrid>
      <w:tr w:rsidR="00E80D7D" w:rsidRPr="00226F9D" w14:paraId="25B32730" w14:textId="77777777" w:rsidTr="000454EC">
        <w:tc>
          <w:tcPr>
            <w:tcW w:w="198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3258A30" w14:textId="77777777" w:rsidR="00F34656" w:rsidRPr="00226F9D" w:rsidRDefault="00F34656">
            <w:pPr>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Општи циљ</w:t>
            </w:r>
          </w:p>
        </w:tc>
        <w:tc>
          <w:tcPr>
            <w:tcW w:w="241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2331EF8" w14:textId="77777777" w:rsidR="00F34656" w:rsidRPr="00226F9D" w:rsidRDefault="00F34656">
            <w:pPr>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Показатељи на нивоу општег циља</w:t>
            </w:r>
          </w:p>
        </w:tc>
        <w:tc>
          <w:tcPr>
            <w:tcW w:w="1220"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E37C72B" w14:textId="77777777" w:rsidR="00F34656" w:rsidRPr="00226F9D" w:rsidRDefault="00F34656">
            <w:pPr>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Почетна вредност</w:t>
            </w:r>
          </w:p>
        </w:tc>
        <w:tc>
          <w:tcPr>
            <w:tcW w:w="1473"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CE08380" w14:textId="77777777" w:rsidR="00F34656" w:rsidRPr="00226F9D" w:rsidRDefault="00F34656">
            <w:pPr>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Планирана вредност</w:t>
            </w:r>
          </w:p>
        </w:tc>
        <w:tc>
          <w:tcPr>
            <w:tcW w:w="2272"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C21BF43" w14:textId="77777777" w:rsidR="00F34656" w:rsidRPr="00226F9D" w:rsidRDefault="00F34656">
            <w:pPr>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Остварена вредност</w:t>
            </w:r>
          </w:p>
        </w:tc>
      </w:tr>
      <w:tr w:rsidR="00C42225" w:rsidRPr="00226F9D" w14:paraId="68C75722" w14:textId="77777777" w:rsidTr="00B247A3">
        <w:trPr>
          <w:trHeight w:val="659"/>
        </w:trPr>
        <w:tc>
          <w:tcPr>
            <w:tcW w:w="1980" w:type="dxa"/>
            <w:vMerge w:val="restart"/>
            <w:tcBorders>
              <w:top w:val="single" w:sz="4" w:space="0" w:color="auto"/>
              <w:left w:val="single" w:sz="4" w:space="0" w:color="auto"/>
              <w:bottom w:val="single" w:sz="4" w:space="0" w:color="auto"/>
              <w:right w:val="single" w:sz="4" w:space="0" w:color="auto"/>
            </w:tcBorders>
          </w:tcPr>
          <w:p w14:paraId="47CDB2B1"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 xml:space="preserve">Успостављање система локалне самоуправе који </w:t>
            </w:r>
            <w:r w:rsidRPr="00226F9D">
              <w:rPr>
                <w:rFonts w:ascii="Times New Roman" w:hAnsi="Times New Roman" w:cs="Times New Roman"/>
                <w:sz w:val="20"/>
                <w:szCs w:val="20"/>
                <w:lang w:val="sr-Cyrl-RS"/>
              </w:rPr>
              <w:lastRenderedPageBreak/>
              <w:t>омогућава ефикасно и одрживо остваривање права грађана на локалну самоуправу</w:t>
            </w:r>
          </w:p>
        </w:tc>
        <w:tc>
          <w:tcPr>
            <w:tcW w:w="2415" w:type="dxa"/>
            <w:tcBorders>
              <w:top w:val="single" w:sz="4" w:space="0" w:color="auto"/>
              <w:left w:val="single" w:sz="4" w:space="0" w:color="auto"/>
              <w:bottom w:val="single" w:sz="4" w:space="0" w:color="auto"/>
              <w:right w:val="single" w:sz="4" w:space="0" w:color="auto"/>
            </w:tcBorders>
          </w:tcPr>
          <w:p w14:paraId="394D098B"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lastRenderedPageBreak/>
              <w:t xml:space="preserve">1. Усаглашеност система локалне самоуправе са кључним принципима </w:t>
            </w:r>
            <w:r w:rsidRPr="00226F9D">
              <w:rPr>
                <w:rFonts w:ascii="Times New Roman" w:hAnsi="Times New Roman" w:cs="Times New Roman"/>
                <w:sz w:val="20"/>
                <w:szCs w:val="20"/>
                <w:lang w:val="sr-Cyrl-RS"/>
              </w:rPr>
              <w:lastRenderedPageBreak/>
              <w:t>Европске повеље о локалној самоуправи</w:t>
            </w:r>
          </w:p>
        </w:tc>
        <w:tc>
          <w:tcPr>
            <w:tcW w:w="1220" w:type="dxa"/>
            <w:tcBorders>
              <w:top w:val="single" w:sz="4" w:space="0" w:color="auto"/>
              <w:left w:val="single" w:sz="4" w:space="0" w:color="auto"/>
              <w:bottom w:val="single" w:sz="4" w:space="0" w:color="auto"/>
              <w:right w:val="single" w:sz="4" w:space="0" w:color="auto"/>
            </w:tcBorders>
          </w:tcPr>
          <w:p w14:paraId="5B73D9C9"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lastRenderedPageBreak/>
              <w:t>3 (2020)</w:t>
            </w:r>
          </w:p>
        </w:tc>
        <w:tc>
          <w:tcPr>
            <w:tcW w:w="1473" w:type="dxa"/>
            <w:tcBorders>
              <w:top w:val="single" w:sz="4" w:space="0" w:color="auto"/>
              <w:left w:val="single" w:sz="4" w:space="0" w:color="auto"/>
              <w:bottom w:val="single" w:sz="4" w:space="0" w:color="auto"/>
              <w:right w:val="single" w:sz="4" w:space="0" w:color="auto"/>
            </w:tcBorders>
          </w:tcPr>
          <w:p w14:paraId="0676C805"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4 (2025)</w:t>
            </w:r>
          </w:p>
        </w:tc>
        <w:tc>
          <w:tcPr>
            <w:tcW w:w="2272" w:type="dxa"/>
            <w:tcBorders>
              <w:top w:val="single" w:sz="4" w:space="0" w:color="auto"/>
              <w:left w:val="single" w:sz="4" w:space="0" w:color="auto"/>
              <w:bottom w:val="single" w:sz="4" w:space="0" w:color="auto"/>
              <w:right w:val="single" w:sz="4" w:space="0" w:color="auto"/>
            </w:tcBorders>
          </w:tcPr>
          <w:p w14:paraId="15E40CAF" w14:textId="54B5991B" w:rsidR="00F34656" w:rsidRPr="009210DC" w:rsidRDefault="00F34656">
            <w:pPr>
              <w:rPr>
                <w:rFonts w:ascii="Times New Roman" w:hAnsi="Times New Roman" w:cs="Times New Roman"/>
                <w:sz w:val="20"/>
                <w:szCs w:val="20"/>
              </w:rPr>
            </w:pPr>
            <w:r w:rsidRPr="00226F9D">
              <w:rPr>
                <w:rFonts w:ascii="Times New Roman" w:hAnsi="Times New Roman" w:cs="Times New Roman"/>
                <w:sz w:val="20"/>
                <w:szCs w:val="20"/>
                <w:lang w:val="sr-Cyrl-RS"/>
              </w:rPr>
              <w:t>3 (извештајна вредност закључно са 202</w:t>
            </w:r>
            <w:r w:rsidR="009B12BA" w:rsidRPr="00226F9D">
              <w:rPr>
                <w:rFonts w:ascii="Times New Roman" w:hAnsi="Times New Roman" w:cs="Times New Roman"/>
                <w:sz w:val="20"/>
                <w:szCs w:val="20"/>
                <w:lang w:val="sr-Cyrl-RS"/>
              </w:rPr>
              <w:t>5</w:t>
            </w:r>
            <w:r w:rsidR="00326274">
              <w:rPr>
                <w:rFonts w:ascii="Times New Roman" w:hAnsi="Times New Roman" w:cs="Times New Roman"/>
                <w:sz w:val="20"/>
                <w:szCs w:val="20"/>
                <w:lang w:val="sr-Cyrl-RS"/>
              </w:rPr>
              <w:t>. годином)</w:t>
            </w:r>
          </w:p>
        </w:tc>
      </w:tr>
      <w:tr w:rsidR="00903294" w:rsidRPr="00226F9D" w14:paraId="05A1D78F" w14:textId="77777777" w:rsidTr="000454EC">
        <w:trPr>
          <w:trHeight w:val="790"/>
        </w:trPr>
        <w:tc>
          <w:tcPr>
            <w:tcW w:w="1980" w:type="dxa"/>
            <w:vMerge/>
            <w:tcBorders>
              <w:top w:val="single" w:sz="4" w:space="0" w:color="auto"/>
              <w:left w:val="single" w:sz="4" w:space="0" w:color="auto"/>
              <w:bottom w:val="single" w:sz="4" w:space="0" w:color="auto"/>
            </w:tcBorders>
          </w:tcPr>
          <w:p w14:paraId="4266B115" w14:textId="77777777" w:rsidR="00F34656" w:rsidRPr="00226F9D" w:rsidRDefault="00F34656">
            <w:pPr>
              <w:rPr>
                <w:rFonts w:ascii="Times New Roman" w:hAnsi="Times New Roman" w:cs="Times New Roman"/>
                <w:sz w:val="20"/>
                <w:szCs w:val="20"/>
                <w:lang w:val="sr-Cyrl-RS"/>
              </w:rPr>
            </w:pPr>
          </w:p>
        </w:tc>
        <w:tc>
          <w:tcPr>
            <w:tcW w:w="2415" w:type="dxa"/>
            <w:tcBorders>
              <w:top w:val="single" w:sz="4" w:space="0" w:color="auto"/>
              <w:left w:val="single" w:sz="4" w:space="0" w:color="auto"/>
              <w:bottom w:val="single" w:sz="4" w:space="0" w:color="auto"/>
              <w:right w:val="single" w:sz="4" w:space="0" w:color="auto"/>
            </w:tcBorders>
          </w:tcPr>
          <w:p w14:paraId="78A44486"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2. Удео расхода ЛС у консолидованим јавним расходима у Републици Србији</w:t>
            </w:r>
          </w:p>
        </w:tc>
        <w:tc>
          <w:tcPr>
            <w:tcW w:w="1220" w:type="dxa"/>
            <w:tcBorders>
              <w:top w:val="single" w:sz="4" w:space="0" w:color="auto"/>
              <w:left w:val="single" w:sz="4" w:space="0" w:color="auto"/>
              <w:bottom w:val="single" w:sz="4" w:space="0" w:color="auto"/>
              <w:right w:val="single" w:sz="4" w:space="0" w:color="auto"/>
            </w:tcBorders>
          </w:tcPr>
          <w:p w14:paraId="50E5B6F9"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14,75% (2019)</w:t>
            </w:r>
          </w:p>
        </w:tc>
        <w:tc>
          <w:tcPr>
            <w:tcW w:w="1473" w:type="dxa"/>
            <w:tcBorders>
              <w:top w:val="single" w:sz="4" w:space="0" w:color="auto"/>
              <w:left w:val="single" w:sz="4" w:space="0" w:color="auto"/>
              <w:bottom w:val="single" w:sz="4" w:space="0" w:color="auto"/>
              <w:right w:val="single" w:sz="4" w:space="0" w:color="auto"/>
            </w:tcBorders>
          </w:tcPr>
          <w:p w14:paraId="17A956AF"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18% (2025)</w:t>
            </w:r>
          </w:p>
        </w:tc>
        <w:tc>
          <w:tcPr>
            <w:tcW w:w="2272" w:type="dxa"/>
            <w:tcBorders>
              <w:top w:val="single" w:sz="4" w:space="0" w:color="auto"/>
              <w:left w:val="single" w:sz="4" w:space="0" w:color="auto"/>
              <w:bottom w:val="single" w:sz="4" w:space="0" w:color="auto"/>
              <w:right w:val="single" w:sz="4" w:space="0" w:color="auto"/>
            </w:tcBorders>
          </w:tcPr>
          <w:p w14:paraId="566F4473" w14:textId="193B43F5" w:rsidR="00F34656" w:rsidRPr="00226F9D" w:rsidRDefault="009B12BA">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 xml:space="preserve">10,9 </w:t>
            </w:r>
            <w:r w:rsidR="00F34656" w:rsidRPr="00226F9D">
              <w:rPr>
                <w:rFonts w:ascii="Times New Roman" w:hAnsi="Times New Roman" w:cs="Times New Roman"/>
                <w:sz w:val="20"/>
                <w:szCs w:val="20"/>
                <w:lang w:val="sr-Cyrl-RS"/>
              </w:rPr>
              <w:t>% (извештајна вредност закључно са 202</w:t>
            </w:r>
            <w:r w:rsidRPr="00226F9D">
              <w:rPr>
                <w:rFonts w:ascii="Times New Roman" w:hAnsi="Times New Roman" w:cs="Times New Roman"/>
                <w:sz w:val="20"/>
                <w:szCs w:val="20"/>
                <w:lang w:val="sr-Cyrl-RS"/>
              </w:rPr>
              <w:t>5</w:t>
            </w:r>
            <w:r w:rsidR="00F34656" w:rsidRPr="00226F9D">
              <w:rPr>
                <w:rFonts w:ascii="Times New Roman" w:hAnsi="Times New Roman" w:cs="Times New Roman"/>
                <w:sz w:val="20"/>
                <w:szCs w:val="20"/>
                <w:lang w:val="sr-Cyrl-RS"/>
              </w:rPr>
              <w:t>. годином)</w:t>
            </w:r>
          </w:p>
        </w:tc>
      </w:tr>
      <w:tr w:rsidR="00C42225" w:rsidRPr="00226F9D" w14:paraId="4099B568" w14:textId="77777777" w:rsidTr="000454EC">
        <w:trPr>
          <w:trHeight w:val="1191"/>
        </w:trPr>
        <w:tc>
          <w:tcPr>
            <w:tcW w:w="1980" w:type="dxa"/>
            <w:vMerge/>
            <w:tcBorders>
              <w:top w:val="single" w:sz="4" w:space="0" w:color="auto"/>
              <w:left w:val="single" w:sz="4" w:space="0" w:color="auto"/>
              <w:bottom w:val="single" w:sz="4" w:space="0" w:color="auto"/>
            </w:tcBorders>
          </w:tcPr>
          <w:p w14:paraId="2CD72C04" w14:textId="77777777" w:rsidR="00F34656" w:rsidRPr="00226F9D" w:rsidRDefault="00F34656">
            <w:pPr>
              <w:rPr>
                <w:rFonts w:ascii="Times New Roman" w:hAnsi="Times New Roman" w:cs="Times New Roman"/>
                <w:sz w:val="20"/>
                <w:szCs w:val="20"/>
                <w:lang w:val="sr-Cyrl-RS"/>
              </w:rPr>
            </w:pPr>
          </w:p>
        </w:tc>
        <w:tc>
          <w:tcPr>
            <w:tcW w:w="2415" w:type="dxa"/>
            <w:tcBorders>
              <w:top w:val="single" w:sz="4" w:space="0" w:color="auto"/>
              <w:left w:val="single" w:sz="4" w:space="0" w:color="auto"/>
              <w:bottom w:val="single" w:sz="4" w:space="0" w:color="auto"/>
              <w:right w:val="single" w:sz="4" w:space="0" w:color="auto"/>
            </w:tcBorders>
          </w:tcPr>
          <w:p w14:paraId="55C06F97"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3. Капацитет ЈЛС за примену начела доброг управљања</w:t>
            </w:r>
          </w:p>
        </w:tc>
        <w:tc>
          <w:tcPr>
            <w:tcW w:w="1220" w:type="dxa"/>
            <w:tcBorders>
              <w:top w:val="single" w:sz="4" w:space="0" w:color="auto"/>
              <w:left w:val="single" w:sz="4" w:space="0" w:color="auto"/>
              <w:bottom w:val="single" w:sz="4" w:space="0" w:color="auto"/>
              <w:right w:val="single" w:sz="4" w:space="0" w:color="auto"/>
            </w:tcBorders>
          </w:tcPr>
          <w:p w14:paraId="5285E166"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39% (2018)</w:t>
            </w:r>
          </w:p>
        </w:tc>
        <w:tc>
          <w:tcPr>
            <w:tcW w:w="1473" w:type="dxa"/>
            <w:tcBorders>
              <w:top w:val="single" w:sz="4" w:space="0" w:color="auto"/>
              <w:left w:val="single" w:sz="4" w:space="0" w:color="auto"/>
              <w:bottom w:val="single" w:sz="4" w:space="0" w:color="auto"/>
              <w:right w:val="single" w:sz="4" w:space="0" w:color="auto"/>
            </w:tcBorders>
          </w:tcPr>
          <w:p w14:paraId="7524F552"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55% (2025)</w:t>
            </w:r>
          </w:p>
        </w:tc>
        <w:tc>
          <w:tcPr>
            <w:tcW w:w="2272" w:type="dxa"/>
            <w:tcBorders>
              <w:top w:val="single" w:sz="4" w:space="0" w:color="auto"/>
              <w:left w:val="single" w:sz="4" w:space="0" w:color="auto"/>
              <w:bottom w:val="single" w:sz="4" w:space="0" w:color="auto"/>
              <w:right w:val="single" w:sz="4" w:space="0" w:color="auto"/>
            </w:tcBorders>
          </w:tcPr>
          <w:p w14:paraId="25E440E1"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52,9% (извештајна вредност закључно са 2023. годином, обрада података за 2025. је у току)</w:t>
            </w:r>
          </w:p>
        </w:tc>
      </w:tr>
      <w:tr w:rsidR="00C42225" w:rsidRPr="00226F9D" w14:paraId="008A85A1" w14:textId="77777777" w:rsidTr="000454EC">
        <w:trPr>
          <w:trHeight w:val="540"/>
        </w:trPr>
        <w:tc>
          <w:tcPr>
            <w:tcW w:w="1980" w:type="dxa"/>
            <w:vMerge/>
            <w:tcBorders>
              <w:top w:val="single" w:sz="4" w:space="0" w:color="auto"/>
              <w:left w:val="single" w:sz="4" w:space="0" w:color="auto"/>
              <w:bottom w:val="single" w:sz="4" w:space="0" w:color="auto"/>
            </w:tcBorders>
          </w:tcPr>
          <w:p w14:paraId="63D11D10" w14:textId="77777777" w:rsidR="00F34656" w:rsidRPr="00226F9D" w:rsidRDefault="00F34656">
            <w:pPr>
              <w:rPr>
                <w:rFonts w:ascii="Times New Roman" w:hAnsi="Times New Roman" w:cs="Times New Roman"/>
                <w:sz w:val="20"/>
                <w:szCs w:val="20"/>
                <w:lang w:val="sr-Cyrl-RS"/>
              </w:rPr>
            </w:pPr>
          </w:p>
        </w:tc>
        <w:tc>
          <w:tcPr>
            <w:tcW w:w="2415" w:type="dxa"/>
            <w:tcBorders>
              <w:top w:val="single" w:sz="4" w:space="0" w:color="auto"/>
              <w:left w:val="single" w:sz="4" w:space="0" w:color="auto"/>
              <w:bottom w:val="single" w:sz="4" w:space="0" w:color="auto"/>
              <w:right w:val="single" w:sz="4" w:space="0" w:color="auto"/>
            </w:tcBorders>
          </w:tcPr>
          <w:p w14:paraId="6854D72F"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4. Доступност и квалитет пружања приоритетних јавних услуга локалне самоуправе</w:t>
            </w:r>
          </w:p>
        </w:tc>
        <w:tc>
          <w:tcPr>
            <w:tcW w:w="1220" w:type="dxa"/>
            <w:tcBorders>
              <w:top w:val="single" w:sz="4" w:space="0" w:color="auto"/>
              <w:left w:val="single" w:sz="4" w:space="0" w:color="auto"/>
              <w:bottom w:val="single" w:sz="4" w:space="0" w:color="auto"/>
              <w:right w:val="single" w:sz="4" w:space="0" w:color="auto"/>
            </w:tcBorders>
          </w:tcPr>
          <w:p w14:paraId="19D02741"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0 (2020)</w:t>
            </w:r>
          </w:p>
        </w:tc>
        <w:tc>
          <w:tcPr>
            <w:tcW w:w="1473" w:type="dxa"/>
            <w:tcBorders>
              <w:top w:val="single" w:sz="4" w:space="0" w:color="auto"/>
              <w:left w:val="single" w:sz="4" w:space="0" w:color="auto"/>
              <w:bottom w:val="single" w:sz="4" w:space="0" w:color="auto"/>
              <w:right w:val="single" w:sz="4" w:space="0" w:color="auto"/>
            </w:tcBorders>
          </w:tcPr>
          <w:p w14:paraId="617EA1C8" w14:textId="77777777" w:rsidR="00F34656" w:rsidRPr="00226F9D" w:rsidRDefault="00F34656">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6,1 (2025)</w:t>
            </w:r>
          </w:p>
        </w:tc>
        <w:tc>
          <w:tcPr>
            <w:tcW w:w="2272" w:type="dxa"/>
            <w:tcBorders>
              <w:top w:val="single" w:sz="4" w:space="0" w:color="auto"/>
              <w:left w:val="single" w:sz="4" w:space="0" w:color="auto"/>
              <w:bottom w:val="single" w:sz="4" w:space="0" w:color="auto"/>
              <w:right w:val="single" w:sz="4" w:space="0" w:color="auto"/>
            </w:tcBorders>
          </w:tcPr>
          <w:p w14:paraId="52116633" w14:textId="77777777" w:rsidR="00F34656" w:rsidRPr="00226F9D" w:rsidRDefault="00F34656">
            <w:pPr>
              <w:rPr>
                <w:rFonts w:ascii="Times New Roman" w:hAnsi="Times New Roman" w:cs="Times New Roman"/>
                <w:sz w:val="20"/>
                <w:szCs w:val="20"/>
                <w:highlight w:val="yellow"/>
                <w:lang w:val="sr-Cyrl-RS"/>
              </w:rPr>
            </w:pPr>
            <w:r w:rsidRPr="00226F9D">
              <w:rPr>
                <w:rFonts w:ascii="Times New Roman" w:hAnsi="Times New Roman" w:cs="Times New Roman"/>
                <w:sz w:val="20"/>
                <w:szCs w:val="20"/>
                <w:lang w:val="sr-Cyrl-RS"/>
              </w:rPr>
              <w:t>5,6 (извештајна вредност закључно са 2023. годином)</w:t>
            </w:r>
          </w:p>
        </w:tc>
      </w:tr>
    </w:tbl>
    <w:p w14:paraId="5D350F75"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579EEE85" w14:textId="618D9DAB"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 xml:space="preserve">- У погледу првог показатеља о усаглашености система ЛС са кључним принципима ЕПЛС, констатује се стагнирање закључно са 2024. годином и мерено по установљеној композитној скали, уз веома значајне напомене у тренутку финализације извештајних пресека за 2025. годину и нацрта ПРСЛС 2026-2030: У референтном програмском периоду, већ је у октобру 2023. године Влада РС утврдила Предлог закона о допуни Закона о потврђивању ЕПЛС, који међутим тада није усвојен у скупштини, </w:t>
      </w:r>
      <w:r w:rsidRPr="00226F9D">
        <w:rPr>
          <w:rStyle w:val="normaltextrun"/>
          <w:rFonts w:ascii="Times New Roman" w:hAnsi="Times New Roman" w:cs="Times New Roman"/>
          <w:u w:val="single"/>
          <w:lang w:val="sr-Cyrl-RS"/>
        </w:rPr>
        <w:t>али је то учињено у октобру 2025. године</w:t>
      </w:r>
      <w:r w:rsidRPr="00226F9D">
        <w:rPr>
          <w:rStyle w:val="normaltextrun"/>
          <w:rFonts w:ascii="Times New Roman" w:hAnsi="Times New Roman" w:cs="Times New Roman"/>
          <w:lang w:val="sr-Cyrl-RS"/>
        </w:rPr>
        <w:t>. Тиме су и дефинитивно у правном систему РС прихваћене одредбе члана 6., ставови 1. и 2. Повеље који се односе на административну структуру и средства за обављање задатака локалних органа власти, као и члана 7., став 2. Повеље који се односи на услове вршења овлашћења на локалном нивоу. Отежавајуће околности за ранију позитивну законодавну интервенцију у овом погледу, укључују чињеницу да су годне 2022/2023 биле изборне те да је Влада и у делу 2025. године функционисала у техничком мандату. У тренутном статусу, закључно са 2025. годином дакле, помак је евидентан и посматрано по броју одредби ЕПЛС које су предмет прихватања</w:t>
      </w:r>
      <w:r w:rsidR="005E65A1" w:rsidRPr="00226F9D">
        <w:rPr>
          <w:rStyle w:val="normaltextrun"/>
          <w:rFonts w:ascii="Times New Roman" w:hAnsi="Times New Roman" w:cs="Times New Roman"/>
          <w:lang w:val="sr-Cyrl-RS"/>
        </w:rPr>
        <w:t xml:space="preserve"> </w:t>
      </w:r>
      <w:r w:rsidRPr="00226F9D">
        <w:rPr>
          <w:rStyle w:val="normaltextrun"/>
          <w:rFonts w:ascii="Times New Roman" w:hAnsi="Times New Roman" w:cs="Times New Roman"/>
          <w:lang w:val="sr-Cyrl-RS"/>
        </w:rPr>
        <w:t xml:space="preserve">– максимално 30 одредби – Република Србија је актуелно на 27 прихваћених одредби (што је помак у односу на базно/полазно стање од 24 одредбе). Имајући у виду значај међународних стандарда у овој области, као и амбицију што доследнијег усаглашавања домаћег система са ЕПЛС у целини – у конципирању новог ПРСЛС заузето је становиште о изразитој релевантности показатеља који би указивао на комплетирање ратификације свих 30 одредби ЕПЛС. Показатељ је стога у прилагођеној форми постављен на ниво првог посебног циља новог ПРСЛС са планираним остварењем пуне вредности најкасније у 2030. години.  </w:t>
      </w:r>
    </w:p>
    <w:p w14:paraId="073142A8"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07D6CE73" w14:textId="7A14DCAD"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 Други показатељ – којим се прати учешће расхода ЛС у консолидованим јавним расходима у РС – идентификован је као изразито релевантан, будући да се и у међународном контексту овај параметар користи за сагледавање степена значаја ЛС (децентрализације) у систему јавне управе. Ипак, на нивоу ПРСЛС 2021-2025 констатује се силазна путања вредности овог показатеља (у односу на полазну вредност од 14,75% - резултат показатеља за претходни програмски период закључно са 202</w:t>
      </w:r>
      <w:r w:rsidR="009B12BA" w:rsidRPr="00226F9D">
        <w:rPr>
          <w:rStyle w:val="normaltextrun"/>
          <w:rFonts w:ascii="Times New Roman" w:hAnsi="Times New Roman" w:cs="Times New Roman"/>
          <w:lang w:val="sr-Cyrl-RS"/>
        </w:rPr>
        <w:t>5</w:t>
      </w:r>
      <w:r w:rsidRPr="00226F9D">
        <w:rPr>
          <w:rStyle w:val="normaltextrun"/>
          <w:rFonts w:ascii="Times New Roman" w:hAnsi="Times New Roman" w:cs="Times New Roman"/>
          <w:lang w:val="sr-Cyrl-RS"/>
        </w:rPr>
        <w:t xml:space="preserve">. годином је ослабио на </w:t>
      </w:r>
      <w:r w:rsidR="009B12BA" w:rsidRPr="00226F9D">
        <w:rPr>
          <w:rStyle w:val="normaltextrun"/>
          <w:rFonts w:ascii="Times New Roman" w:hAnsi="Times New Roman" w:cs="Times New Roman"/>
          <w:lang w:val="sr-Cyrl-RS"/>
        </w:rPr>
        <w:t>10,9</w:t>
      </w:r>
      <w:r w:rsidRPr="00226F9D">
        <w:rPr>
          <w:rStyle w:val="normaltextrun"/>
          <w:rFonts w:ascii="Times New Roman" w:hAnsi="Times New Roman" w:cs="Times New Roman"/>
          <w:lang w:val="sr-Cyrl-RS"/>
        </w:rPr>
        <w:t>%). Као објективну околност од непосредног утицаја на слаб реформски резултат, треба препознати чињеницу да је повећано извршења расхода на републичком нивоу (пре свега реализацијом капиталних инвестиција, укључујући и значајна улагања у локалну инфраструктуру), те је последично удео расхода локалних власти мањи од пројектованог. Будући међутим да се ради о системски опредељеном и упоредно релевантном показатељу – опредељено је да исти буде задржан и у обухвату новог ПРСЛС на нивоу општег циља. Са реалистично одмереним очекиваним темпом раста до удела од 15% у 2030. години, и предвиђеним сетом интервенција у оквиру другог посебног циља за унапређење фискалне одрживости и фискалне аутономије ЛС, интенција је да ПРСЛС 2026-2030 омогући да се значај система ЛС и по овом критеријуму приближи просеку земаља ЕУ.</w:t>
      </w:r>
    </w:p>
    <w:p w14:paraId="56BAB3B8"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538D7E8C" w14:textId="4EDD4403"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lastRenderedPageBreak/>
        <w:t xml:space="preserve">- Трећи исходни показатељ којим се прати капацитет ЈЛС за примену начела доброг управљања – представља и пример посебно дизајнираног домаћег инструмента/индекса за остваривање увида у кретање стања у градовима и општинама, који је због своје софистицираности инкорпориран и у оквире за примену секторске буџетске подршке ЕУ Републици Србији у домену РЈУ у претходном периоду </w:t>
      </w:r>
      <w:r w:rsidR="00846540" w:rsidRPr="00226F9D">
        <w:rPr>
          <w:rStyle w:val="normaltextrun"/>
          <w:rFonts w:ascii="Times New Roman" w:hAnsi="Times New Roman" w:cs="Times New Roman"/>
          <w:lang w:val="sr-Latn-RS"/>
        </w:rPr>
        <w:t>(</w:t>
      </w:r>
      <w:r w:rsidRPr="00226F9D">
        <w:rPr>
          <w:rStyle w:val="normaltextrun"/>
          <w:rFonts w:ascii="Times New Roman" w:hAnsi="Times New Roman" w:cs="Times New Roman"/>
          <w:lang w:val="sr-Cyrl-RS"/>
        </w:rPr>
        <w:t>ИПА 2022). Охрабрујућ позитивни резултат констатован је на бази мерења за 2023. годину, те иако финална вредност индекса за 2025. годину још увек није доступна, достизање планиране вредности од 55% сматра се реалистичном (уз могућа и прихватљива мања одступања како је предвиђено пасошем показатеља). Имајући у виду изузетно обухватан захват предметног индекса ка аспектима доброг управљања кроз практично све кључне области функционисања и надлежности ЛС – опредељено је да исти буде задржан (у ажурираној поставци) и у оквиру новог ПРСЛС на нивоу општег циља. Сходно томе, у конципирању ПРСЛС 2026-2030 испланиране су и адекватне подржавајуће интервенције за даља унапређења перформанси градова и општина по кључним параметрима доброг управљања.</w:t>
      </w:r>
    </w:p>
    <w:p w14:paraId="763C9F7E"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0EBF8E6D" w14:textId="77777777"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 За четврти показатељ намењен сагледавању доступности и квалитета пружања приоритетних јавних услуга ЛС, у претходном програмском периоду констатују се такође позитивна остварења. Најпре је закључно са 2022. годином и у складу са планом - креиран индекс који је у основи овог показатеља, тј. припремљена је   методологија за мерење квалитета и доступности услуга које пружају ЛС (органи управе, локална јавна комунална предузећа, комунална предузећа и јавне установе), а затим је у 2023. години обављено мерење сходно којем је остварена вредност од 5,6 надомак циљаној коначној вредности од 6,1 (према установљеној композитној скали).</w:t>
      </w:r>
    </w:p>
    <w:p w14:paraId="65C7A391" w14:textId="24FF6FF5"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Искуства стечена применом предметног индекса и мерења, имплицирају ипак важне закључке о ресурсно и трошковно изузетно захтевном подухвату, чије реплицирање у редовн</w:t>
      </w:r>
      <w:r w:rsidR="00FF502C" w:rsidRPr="00226F9D">
        <w:rPr>
          <w:rStyle w:val="normaltextrun"/>
          <w:rFonts w:ascii="Times New Roman" w:hAnsi="Times New Roman" w:cs="Times New Roman"/>
          <w:lang w:val="sr-Cyrl-RS"/>
        </w:rPr>
        <w:t>и</w:t>
      </w:r>
      <w:r w:rsidRPr="00226F9D">
        <w:rPr>
          <w:rStyle w:val="normaltextrun"/>
          <w:rFonts w:ascii="Times New Roman" w:hAnsi="Times New Roman" w:cs="Times New Roman"/>
          <w:lang w:val="sr-Cyrl-RS"/>
        </w:rPr>
        <w:t>м интервалима делује тешко изводљиво. Стога је у конципирању ПРСЛС 2026-2030, по обављеним консултацијама и сагледавању могућих алтернатива за даље праћење неспорно релевантних аспеката</w:t>
      </w:r>
      <w:r w:rsidRPr="00226F9D">
        <w:rPr>
          <w:rStyle w:val="normaltextrun"/>
          <w:rFonts w:ascii="Times New Roman" w:hAnsi="Times New Roman" w:cs="Times New Roman"/>
          <w:lang w:val="sr-Latn-RS"/>
        </w:rPr>
        <w:t xml:space="preserve"> </w:t>
      </w:r>
      <w:r w:rsidRPr="00226F9D">
        <w:rPr>
          <w:rStyle w:val="normaltextrun"/>
          <w:rFonts w:ascii="Times New Roman" w:hAnsi="Times New Roman" w:cs="Times New Roman"/>
          <w:lang w:val="sr-Cyrl-RS"/>
        </w:rPr>
        <w:t>у вези са услугама које пружају градови и општине, као прихватљиво решење констатовано постојање новоуведене мониторинг праксе СИГМА Програма ка ЛС и могућност примене показатеља бр. 14 за вишеслојно управљање (</w:t>
      </w:r>
      <w:r w:rsidRPr="00226F9D">
        <w:rPr>
          <w:rStyle w:val="normaltextrun"/>
          <w:rFonts w:ascii="Times New Roman" w:hAnsi="Times New Roman" w:cs="Times New Roman"/>
          <w:lang w:val="sr-Latn-RS"/>
        </w:rPr>
        <w:t xml:space="preserve">multilevel governance). </w:t>
      </w:r>
      <w:r w:rsidRPr="00226F9D">
        <w:rPr>
          <w:rStyle w:val="normaltextrun"/>
          <w:rFonts w:ascii="Times New Roman" w:hAnsi="Times New Roman" w:cs="Times New Roman"/>
          <w:lang w:val="sr-Cyrl-RS"/>
        </w:rPr>
        <w:t>Имајући у виду да овај СИГМА показатељ, поред анализирања функција за које су ЛС одговорне, обухвата и још шест системских потпоказатеља и квалификује адекватност расподеле одговорности између нивоа власти у складу са принципима супсидијарности и локалне аутономије – исти је опредељен као вишесреуко релевантан за ниво општег циља у реформском хоризонту до 2030. године.</w:t>
      </w:r>
    </w:p>
    <w:p w14:paraId="36DAE5D1"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06AF4B3C" w14:textId="77777777"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Из угла критеријума за оцењивање, збирне опсервације и главне тезе о учинцима ПРСЛС 2021-2025 могу се резимирати како следи, а без прејудицирања коначних квалификација о успешности на нивоу специфичности који ће дати детаљнији процес вредновања у склопу финалног извештавања:</w:t>
      </w:r>
    </w:p>
    <w:p w14:paraId="0DE5FB24" w14:textId="77777777" w:rsidR="00F34656" w:rsidRPr="00226F9D" w:rsidRDefault="00F34656" w:rsidP="00F34656">
      <w:pPr>
        <w:pStyle w:val="ListParagraph"/>
        <w:numPr>
          <w:ilvl w:val="0"/>
          <w:numId w:val="23"/>
        </w:num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 xml:space="preserve">Програм је формулисан као изразито </w:t>
      </w:r>
      <w:r w:rsidRPr="00226F9D">
        <w:rPr>
          <w:rStyle w:val="normaltextrun"/>
          <w:rFonts w:ascii="Times New Roman" w:hAnsi="Times New Roman" w:cs="Times New Roman"/>
          <w:b/>
          <w:bCs/>
          <w:lang w:val="sr-Cyrl-RS"/>
        </w:rPr>
        <w:t>релевантан плански документ</w:t>
      </w:r>
      <w:r w:rsidRPr="00226F9D">
        <w:rPr>
          <w:rStyle w:val="normaltextrun"/>
          <w:rFonts w:ascii="Times New Roman" w:hAnsi="Times New Roman" w:cs="Times New Roman"/>
          <w:lang w:val="sr-Cyrl-RS"/>
        </w:rPr>
        <w:t>, адекватно уклопљен у шири стратешки оквир РЈУ. Потенцирање усмерења ка постулатима ЕПЛС и принципима јавне управе (СИГМА) дали су Програму јасан европски оквир, а на домаћем плану постигнута је суштински нова димензија препознавања важности реформисања ЛС као (под)система јавне управе. Релевантност се потврђује и у односу на идентификоване системске проблеме ЛС, тако да су полазишта и приоритети добро одговарали стварним потребама система, али су и препознати изазови углавном опстали током целог референтног периода и налажу даље реформска настојања у правцу њиховог адресирања (монотипски модел ЛС, недовољна примена принципа супсидијарности, ограничена фискална аутономија, слаби управљачки и кадровски капацитети);</w:t>
      </w:r>
    </w:p>
    <w:p w14:paraId="4AE04C59" w14:textId="7A242F32" w:rsidR="00F34656" w:rsidRPr="00226F9D" w:rsidRDefault="00F34656" w:rsidP="00F34656">
      <w:pPr>
        <w:pStyle w:val="ListParagraph"/>
        <w:numPr>
          <w:ilvl w:val="0"/>
          <w:numId w:val="23"/>
        </w:num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lastRenderedPageBreak/>
        <w:t xml:space="preserve">Са становишта </w:t>
      </w:r>
      <w:r w:rsidRPr="00226F9D">
        <w:rPr>
          <w:rStyle w:val="normaltextrun"/>
          <w:rFonts w:ascii="Times New Roman" w:hAnsi="Times New Roman" w:cs="Times New Roman"/>
          <w:b/>
          <w:bCs/>
          <w:lang w:val="sr-Cyrl-RS"/>
        </w:rPr>
        <w:t>ефикасности,</w:t>
      </w:r>
      <w:r w:rsidRPr="00226F9D">
        <w:rPr>
          <w:rStyle w:val="normaltextrun"/>
          <w:rFonts w:ascii="Times New Roman" w:hAnsi="Times New Roman" w:cs="Times New Roman"/>
          <w:lang w:val="sr-Cyrl-RS"/>
        </w:rPr>
        <w:t xml:space="preserve"> код значајног дела активности евидентна су кашњења у односу на планиране распореде и последично ниже вредности остварења одређених показатеља по циљаним годинама, дакле </w:t>
      </w:r>
      <w:r w:rsidRPr="00226F9D">
        <w:rPr>
          <w:rStyle w:val="normaltextrun"/>
          <w:rFonts w:ascii="Times New Roman" w:hAnsi="Times New Roman" w:cs="Times New Roman"/>
          <w:b/>
          <w:bCs/>
          <w:lang w:val="sr-Cyrl-RS"/>
        </w:rPr>
        <w:t>и ефективности</w:t>
      </w:r>
      <w:r w:rsidRPr="00226F9D">
        <w:rPr>
          <w:rStyle w:val="normaltextrun"/>
          <w:rFonts w:ascii="Times New Roman" w:hAnsi="Times New Roman" w:cs="Times New Roman"/>
          <w:lang w:val="sr-Cyrl-RS"/>
        </w:rPr>
        <w:t xml:space="preserve"> Програма, што додатно креира притисак за надокнаду у завршним програмским кварталима. Посебно изазован аспект представљала су кашњења, а у неким случајевима и изостанак реализације предвиђених нормативних активности у референтном периоду, и тиме и предуслова за ефективније реформс</w:t>
      </w:r>
      <w:r w:rsidR="00E255D4" w:rsidRPr="00226F9D">
        <w:rPr>
          <w:rStyle w:val="normaltextrun"/>
          <w:rFonts w:ascii="Times New Roman" w:hAnsi="Times New Roman" w:cs="Times New Roman"/>
          <w:lang w:val="sr-Cyrl-RS"/>
        </w:rPr>
        <w:t>к</w:t>
      </w:r>
      <w:r w:rsidRPr="00226F9D">
        <w:rPr>
          <w:rStyle w:val="normaltextrun"/>
          <w:rFonts w:ascii="Times New Roman" w:hAnsi="Times New Roman" w:cs="Times New Roman"/>
          <w:lang w:val="sr-Cyrl-RS"/>
        </w:rPr>
        <w:t>е резултате. Ипак, опредељени начини/технике за спровођење интервенција могу се сагледати као веома адекватни за потребе приступања комплексном систему какав ЛС јесте. У том смислу, веома се позитивно може оценити комбиновање типова активности доступних свим ЛС (изградња капацитета/обуке, хоризонтална умрежавања ЛС, расположивост саветодавне подршке и модела, примена индекса и закључци анализа) – са интервенцијама које су намењене мањем броју конкурсно изабраних градова и општина (и подразумевају непосреднију стручну подршку, па и доделу награда, подстицајних средстава за исказане напредне перформансе и сл.), а који затим постају и колегијални примери/носиоци најбољих пракси са потенцијалом за реплицирање;</w:t>
      </w:r>
    </w:p>
    <w:p w14:paraId="19DDDBFC" w14:textId="77777777" w:rsidR="00F34656" w:rsidRPr="00226F9D" w:rsidRDefault="00F34656" w:rsidP="47A38C02">
      <w:pPr>
        <w:pStyle w:val="ListParagraph"/>
        <w:numPr>
          <w:ilvl w:val="0"/>
          <w:numId w:val="23"/>
        </w:num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 xml:space="preserve">Са становишта </w:t>
      </w:r>
      <w:r w:rsidRPr="00226F9D">
        <w:rPr>
          <w:rStyle w:val="normaltextrun"/>
          <w:rFonts w:ascii="Times New Roman" w:hAnsi="Times New Roman" w:cs="Times New Roman"/>
          <w:b/>
          <w:lang w:val="sr-Cyrl-RS"/>
        </w:rPr>
        <w:t>одрживости</w:t>
      </w:r>
      <w:r w:rsidRPr="00226F9D">
        <w:rPr>
          <w:rStyle w:val="normaltextrun"/>
          <w:rFonts w:ascii="Times New Roman" w:hAnsi="Times New Roman" w:cs="Times New Roman"/>
          <w:lang w:val="sr-Cyrl-RS"/>
        </w:rPr>
        <w:t xml:space="preserve">, такође је начело посматрано спровођење мера на начин предвиђен Програмом – адекватно и изводљиво и у дужем временском хоризонту, уз важне предуслове – да се нормативни оквир унапређује у складу са плановима и да се у разумној мери постепено повећава финансијски капацитет ЛС. За одрживост на нивоу Програма важно је и реално сагледавање околности у којима се расположива подршка из средстава развојне помоћи сужава тј., мењају се модалитети од пројектне реализације – ка финансирању заснованом на резултатима (као у случају буџетске подршке, али и спровођења Инстумента за раст и реформе у оквиру Реформске агенде РС) што је истовремено и потенцијал/прилика да се домаћа буџетска средства у већој мери алоцирају ка приоритетима реформисања ЛС. Уз одговарајућу едукацију и подршку за операционализацију нових нормативних решења, за тестирање, моделовање и примену напреднијих приступа у функционисању и пружању услуга – градови и општине по правилу усвајају пожељне нове обрасце и обавезе и на дужи рок/трајно настављају са њиховим спровођењем.   </w:t>
      </w:r>
    </w:p>
    <w:p w14:paraId="6F4D0A5E" w14:textId="77777777" w:rsidR="00F34656" w:rsidRPr="00226F9D" w:rsidRDefault="00F34656" w:rsidP="00F34656">
      <w:pPr>
        <w:spacing w:after="0" w:line="240" w:lineRule="auto"/>
        <w:jc w:val="both"/>
        <w:rPr>
          <w:rStyle w:val="normaltextrun"/>
          <w:rFonts w:ascii="Times New Roman" w:hAnsi="Times New Roman" w:cs="Times New Roman"/>
          <w:lang w:val="sr-Cyrl-RS"/>
        </w:rPr>
      </w:pPr>
    </w:p>
    <w:p w14:paraId="79939E59" w14:textId="77777777"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 xml:space="preserve">За све наведене аспекте вредновања и анализа (и </w:t>
      </w:r>
      <w:r w:rsidRPr="00226F9D">
        <w:rPr>
          <w:rStyle w:val="normaltextrun"/>
          <w:rFonts w:ascii="Times New Roman" w:hAnsi="Times New Roman" w:cs="Times New Roman"/>
          <w:lang w:val="sr-Latn-RS"/>
        </w:rPr>
        <w:t xml:space="preserve">ex post </w:t>
      </w:r>
      <w:r w:rsidRPr="00226F9D">
        <w:rPr>
          <w:rStyle w:val="normaltextrun"/>
          <w:rFonts w:ascii="Times New Roman" w:hAnsi="Times New Roman" w:cs="Times New Roman"/>
          <w:lang w:val="sr-Cyrl-RS"/>
        </w:rPr>
        <w:t>и</w:t>
      </w:r>
      <w:r w:rsidRPr="00226F9D">
        <w:rPr>
          <w:rStyle w:val="normaltextrun"/>
          <w:rFonts w:ascii="Times New Roman" w:hAnsi="Times New Roman" w:cs="Times New Roman"/>
          <w:lang w:val="sr-Latn-RS"/>
        </w:rPr>
        <w:t xml:space="preserve"> ex ante)</w:t>
      </w:r>
      <w:r w:rsidRPr="00226F9D">
        <w:rPr>
          <w:rStyle w:val="normaltextrun"/>
          <w:rFonts w:ascii="Times New Roman" w:hAnsi="Times New Roman" w:cs="Times New Roman"/>
          <w:lang w:val="sr-Cyrl-RS"/>
        </w:rPr>
        <w:t xml:space="preserve"> и за позитивне реформске резултате, фактор од кључног значаја на централном нивоу власти – је стабилност у стратешкој оријентацији, приоритетима у управљању и посвећеност курсу суштинског реформисања ЛС. На страни локалних самоуправа пак, нужне су конкретније позитивне промене како у погледу реалног обима средстава којима располажу, тако и у погледу механизама за задржавање, мотивисање кадрова и унапређење њиховог положаја.   </w:t>
      </w:r>
    </w:p>
    <w:p w14:paraId="2F2EB33F" w14:textId="77777777" w:rsidR="00F34656" w:rsidRPr="00226F9D" w:rsidRDefault="00F34656" w:rsidP="00F34656">
      <w:pPr>
        <w:spacing w:after="0" w:line="240" w:lineRule="auto"/>
        <w:jc w:val="both"/>
        <w:rPr>
          <w:rStyle w:val="normaltextrun"/>
          <w:rFonts w:ascii="Times New Roman" w:hAnsi="Times New Roman" w:cs="Times New Roman"/>
          <w:lang w:val="sr-Latn-RS"/>
        </w:rPr>
      </w:pPr>
    </w:p>
    <w:p w14:paraId="2D9F358E" w14:textId="77777777" w:rsidR="00F34656" w:rsidRPr="00226F9D" w:rsidRDefault="00F34656" w:rsidP="00F34656">
      <w:pPr>
        <w:spacing w:after="0" w:line="240" w:lineRule="auto"/>
        <w:jc w:val="both"/>
        <w:rPr>
          <w:rStyle w:val="normaltextrun"/>
          <w:rFonts w:ascii="Times New Roman" w:hAnsi="Times New Roman" w:cs="Times New Roman"/>
          <w:lang w:val="sr-Cyrl-RS"/>
        </w:rPr>
      </w:pPr>
      <w:r w:rsidRPr="00226F9D">
        <w:rPr>
          <w:rStyle w:val="normaltextrun"/>
          <w:rFonts w:ascii="Times New Roman" w:hAnsi="Times New Roman" w:cs="Times New Roman"/>
          <w:lang w:val="sr-Cyrl-RS"/>
        </w:rPr>
        <w:t>Детаљнија разматрања учинака ПРСЛС 2021-2025, аргументација и резоновање о пожељним поставкама за нови програмски период, дата су у наредним одељцима о прегледу и анализи стања, који одговарају посебним циљевима претходног Програма. Надаље се предочава поставка новог Програма који артикулише умерен и изводљив реформски правац и даје петогодишњи оквир за спровођење активности и праћење резултата.</w:t>
      </w:r>
    </w:p>
    <w:p w14:paraId="71CBEE23" w14:textId="77777777" w:rsidR="006B55F7" w:rsidRPr="00226F9D" w:rsidRDefault="006B55F7" w:rsidP="006B59F4">
      <w:pPr>
        <w:spacing w:after="0" w:line="240" w:lineRule="auto"/>
        <w:jc w:val="both"/>
        <w:rPr>
          <w:rStyle w:val="normaltextrun"/>
          <w:rFonts w:ascii="Times New Roman" w:hAnsi="Times New Roman" w:cs="Times New Roman"/>
          <w:lang w:val="sr-Latn-RS"/>
        </w:rPr>
      </w:pPr>
    </w:p>
    <w:p w14:paraId="0471BE16" w14:textId="77777777" w:rsidR="003D1657" w:rsidRPr="00226F9D" w:rsidRDefault="003D1657" w:rsidP="006B59F4">
      <w:pPr>
        <w:spacing w:after="0" w:line="240" w:lineRule="auto"/>
        <w:jc w:val="both"/>
        <w:rPr>
          <w:rStyle w:val="normaltextrun"/>
          <w:rFonts w:ascii="Times New Roman" w:hAnsi="Times New Roman" w:cs="Times New Roman"/>
          <w:lang w:val="sr-Latn-RS"/>
        </w:rPr>
      </w:pPr>
    </w:p>
    <w:p w14:paraId="3D5F4C6B" w14:textId="0DF338CA" w:rsidR="007A2D9B" w:rsidRPr="00226F9D" w:rsidRDefault="00E75D5A" w:rsidP="00E847EF">
      <w:pPr>
        <w:pStyle w:val="Heading2"/>
        <w:numPr>
          <w:ilvl w:val="0"/>
          <w:numId w:val="25"/>
        </w:numPr>
        <w:rPr>
          <w:rFonts w:ascii="Times New Roman" w:eastAsia="Calibri" w:hAnsi="Times New Roman" w:cs="Times New Roman"/>
          <w:lang w:val="sr-Cyrl-RS"/>
        </w:rPr>
      </w:pPr>
      <w:bookmarkStart w:id="5" w:name="_Toc222753914"/>
      <w:r w:rsidRPr="00226F9D">
        <w:rPr>
          <w:rFonts w:ascii="Times New Roman" w:eastAsia="Calibri" w:hAnsi="Times New Roman" w:cs="Times New Roman"/>
          <w:lang w:val="sr-Cyrl-RS"/>
        </w:rPr>
        <w:t xml:space="preserve">Положај и одговорности локалне </w:t>
      </w:r>
      <w:r w:rsidR="00F10685" w:rsidRPr="00226F9D">
        <w:rPr>
          <w:rFonts w:ascii="Times New Roman" w:eastAsia="Calibri" w:hAnsi="Times New Roman" w:cs="Times New Roman"/>
          <w:lang w:val="sr-Cyrl-RS"/>
        </w:rPr>
        <w:t>само</w:t>
      </w:r>
      <w:r w:rsidRPr="00226F9D">
        <w:rPr>
          <w:rFonts w:ascii="Times New Roman" w:eastAsia="Calibri" w:hAnsi="Times New Roman" w:cs="Times New Roman"/>
          <w:lang w:val="sr-Cyrl-RS"/>
        </w:rPr>
        <w:t>управе</w:t>
      </w:r>
      <w:bookmarkEnd w:id="5"/>
    </w:p>
    <w:p w14:paraId="311B0F9B" w14:textId="77777777" w:rsidR="002E0DA5" w:rsidRPr="00226F9D" w:rsidRDefault="002E0DA5" w:rsidP="006B59F4">
      <w:pPr>
        <w:spacing w:after="0" w:line="240" w:lineRule="auto"/>
        <w:jc w:val="both"/>
        <w:rPr>
          <w:rFonts w:ascii="Times New Roman" w:hAnsi="Times New Roman" w:cs="Times New Roman"/>
          <w:sz w:val="22"/>
          <w:szCs w:val="22"/>
          <w:lang w:val="sr-Cyrl-RS"/>
        </w:rPr>
      </w:pPr>
    </w:p>
    <w:p w14:paraId="567565B9" w14:textId="77777777" w:rsidR="00DE6ABC" w:rsidRPr="00226F9D" w:rsidRDefault="007A2D9B"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У Програму за реформу система локалне самоуправе за период 2021-2025 године, препознато је да је правни и институционални оквир за функционисање локалне самоуправе у Србији развијен и у значајној мери усклађен са европским стандардима. Међутим, овај програм указао </w:t>
      </w:r>
      <w:r w:rsidRPr="00226F9D">
        <w:rPr>
          <w:rFonts w:ascii="Times New Roman" w:hAnsi="Times New Roman" w:cs="Times New Roman"/>
          <w:lang w:val="sr-Cyrl-RS"/>
        </w:rPr>
        <w:lastRenderedPageBreak/>
        <w:t>је и на бројне структурне и функционалне изазове који успоравају развој и ефикасност система локалне самоуправе као што су:</w:t>
      </w:r>
    </w:p>
    <w:p w14:paraId="45C9905F" w14:textId="77777777" w:rsidR="00677DB4" w:rsidRPr="00226F9D" w:rsidRDefault="00677DB4" w:rsidP="006B59F4">
      <w:pPr>
        <w:spacing w:after="0" w:line="240" w:lineRule="auto"/>
        <w:jc w:val="both"/>
        <w:rPr>
          <w:rFonts w:ascii="Times New Roman" w:hAnsi="Times New Roman" w:cs="Times New Roman"/>
          <w:lang w:val="sr-Cyrl-RS"/>
        </w:rPr>
      </w:pPr>
    </w:p>
    <w:p w14:paraId="7384A94F" w14:textId="7676C319" w:rsidR="007A2D9B" w:rsidRPr="00226F9D" w:rsidRDefault="007A2D9B" w:rsidP="006B59F4">
      <w:pPr>
        <w:spacing w:after="0" w:line="240" w:lineRule="auto"/>
        <w:jc w:val="both"/>
        <w:rPr>
          <w:rFonts w:ascii="Times New Roman" w:hAnsi="Times New Roman" w:cs="Times New Roman"/>
          <w:lang w:val="sr-Cyrl-RS"/>
        </w:rPr>
      </w:pPr>
      <w:r w:rsidRPr="00226F9D">
        <w:rPr>
          <w:rFonts w:ascii="Times New Roman" w:hAnsi="Times New Roman" w:cs="Times New Roman"/>
          <w:b/>
          <w:lang w:val="sr-Cyrl-RS"/>
        </w:rPr>
        <w:t>Монотипски модел локалне самоуправе</w:t>
      </w:r>
      <w:r w:rsidRPr="00226F9D">
        <w:rPr>
          <w:rFonts w:ascii="Times New Roman" w:hAnsi="Times New Roman" w:cs="Times New Roman"/>
          <w:lang w:val="sr-Cyrl-RS"/>
        </w:rPr>
        <w:t xml:space="preserve"> – постојећи систем је у суштини једнообразан и не прави довољну разлику између општина, градова и Београда. То доводи до ситуације у којој мање општине преузимају задатке за које немају капацитет, док веће јединице остају ограничене у обављању послова које би могле ефикасно да спроводе.</w:t>
      </w:r>
    </w:p>
    <w:p w14:paraId="0706ED9E" w14:textId="77777777" w:rsidR="00677DB4" w:rsidRPr="00226F9D" w:rsidRDefault="00677DB4" w:rsidP="006B59F4">
      <w:pPr>
        <w:spacing w:after="0" w:line="240" w:lineRule="auto"/>
        <w:jc w:val="both"/>
        <w:rPr>
          <w:rFonts w:ascii="Times New Roman" w:hAnsi="Times New Roman" w:cs="Times New Roman"/>
          <w:lang w:val="sr-Cyrl-RS"/>
        </w:rPr>
      </w:pPr>
    </w:p>
    <w:p w14:paraId="43603336" w14:textId="0F788B2D" w:rsidR="007A2D9B" w:rsidRPr="00226F9D" w:rsidRDefault="007A2D9B" w:rsidP="006B59F4">
      <w:pPr>
        <w:spacing w:after="0" w:line="240" w:lineRule="auto"/>
        <w:jc w:val="both"/>
        <w:rPr>
          <w:rFonts w:ascii="Times New Roman" w:hAnsi="Times New Roman" w:cs="Times New Roman"/>
          <w:lang w:val="sr-Cyrl-RS"/>
        </w:rPr>
      </w:pPr>
      <w:r w:rsidRPr="00226F9D">
        <w:rPr>
          <w:rFonts w:ascii="Times New Roman" w:hAnsi="Times New Roman" w:cs="Times New Roman"/>
          <w:b/>
          <w:lang w:val="sr-Cyrl-RS"/>
        </w:rPr>
        <w:t>Недовољна примена начела супсидијарности</w:t>
      </w:r>
      <w:r w:rsidRPr="00226F9D">
        <w:rPr>
          <w:rFonts w:ascii="Times New Roman" w:hAnsi="Times New Roman" w:cs="Times New Roman"/>
          <w:lang w:val="sr-Cyrl-RS"/>
        </w:rPr>
        <w:t xml:space="preserve"> – принцип да јавне послове обављају органи власти најближи грађанима није у потпуности прихваћен у пракси</w:t>
      </w:r>
      <w:r w:rsidR="007D769F" w:rsidRPr="00226F9D">
        <w:rPr>
          <w:rFonts w:ascii="Times New Roman" w:hAnsi="Times New Roman" w:cs="Times New Roman"/>
          <w:lang w:val="sr-Cyrl-RS"/>
        </w:rPr>
        <w:t>,</w:t>
      </w:r>
      <w:r w:rsidR="00FB4087" w:rsidRPr="00226F9D">
        <w:rPr>
          <w:rFonts w:ascii="Times New Roman" w:hAnsi="Times New Roman" w:cs="Times New Roman"/>
          <w:lang w:val="sr-Cyrl-RS"/>
        </w:rPr>
        <w:t xml:space="preserve"> а Република</w:t>
      </w:r>
      <w:r w:rsidRPr="00226F9D">
        <w:rPr>
          <w:rFonts w:ascii="Times New Roman" w:hAnsi="Times New Roman" w:cs="Times New Roman"/>
          <w:lang w:val="sr-Cyrl-RS"/>
        </w:rPr>
        <w:t xml:space="preserve"> Србија није ратификовала све релевантне одредбе Европске повеље о локалној самоуправи.</w:t>
      </w:r>
    </w:p>
    <w:p w14:paraId="15D0E637" w14:textId="77777777" w:rsidR="00677DB4" w:rsidRPr="00226F9D" w:rsidRDefault="00677DB4" w:rsidP="006B59F4">
      <w:pPr>
        <w:spacing w:after="0" w:line="240" w:lineRule="auto"/>
        <w:jc w:val="both"/>
        <w:rPr>
          <w:rFonts w:ascii="Times New Roman" w:hAnsi="Times New Roman" w:cs="Times New Roman"/>
          <w:lang w:val="sr-Cyrl-RS"/>
        </w:rPr>
      </w:pPr>
    </w:p>
    <w:p w14:paraId="34389C67" w14:textId="6EE9D680" w:rsidR="00FA6086" w:rsidRPr="00226F9D" w:rsidRDefault="007A2D9B" w:rsidP="006B59F4">
      <w:pPr>
        <w:spacing w:after="0" w:line="240" w:lineRule="auto"/>
        <w:jc w:val="both"/>
        <w:rPr>
          <w:rFonts w:ascii="Times New Roman" w:hAnsi="Times New Roman" w:cs="Times New Roman"/>
          <w:lang w:val="sr-Cyrl-RS"/>
        </w:rPr>
      </w:pPr>
      <w:r w:rsidRPr="00226F9D">
        <w:rPr>
          <w:rFonts w:ascii="Times New Roman" w:hAnsi="Times New Roman" w:cs="Times New Roman"/>
          <w:b/>
          <w:lang w:val="sr-Cyrl-RS"/>
        </w:rPr>
        <w:t>Недовољна примена принципа доброг управљања</w:t>
      </w:r>
      <w:r w:rsidRPr="00226F9D">
        <w:rPr>
          <w:rFonts w:ascii="Times New Roman" w:hAnsi="Times New Roman" w:cs="Times New Roman"/>
          <w:lang w:val="sr-Cyrl-RS"/>
        </w:rPr>
        <w:t xml:space="preserve">. </w:t>
      </w:r>
      <w:r w:rsidR="00C65091" w:rsidRPr="00226F9D">
        <w:rPr>
          <w:rFonts w:ascii="Times New Roman" w:hAnsi="Times New Roman" w:cs="Times New Roman"/>
          <w:lang w:val="sr-Cyrl-RS"/>
        </w:rPr>
        <w:t>Тамо где постоје законске обавезе, ЈЛС постижу боље резултате, али у пракси се често ради више о формалном испуњавању.</w:t>
      </w:r>
      <w:r w:rsidR="000F2BC7" w:rsidRPr="00226F9D">
        <w:rPr>
          <w:rFonts w:ascii="Times New Roman" w:hAnsi="Times New Roman" w:cs="Times New Roman"/>
          <w:lang w:val="sr-Cyrl-RS"/>
        </w:rPr>
        <w:t xml:space="preserve"> </w:t>
      </w:r>
      <w:r w:rsidR="00052C34" w:rsidRPr="00226F9D">
        <w:rPr>
          <w:rFonts w:ascii="Times New Roman" w:hAnsi="Times New Roman" w:cs="Times New Roman"/>
          <w:lang w:val="sr-Cyrl-RS"/>
        </w:rPr>
        <w:t>Примера ради, ј</w:t>
      </w:r>
      <w:r w:rsidRPr="00226F9D">
        <w:rPr>
          <w:rFonts w:ascii="Times New Roman" w:hAnsi="Times New Roman" w:cs="Times New Roman"/>
          <w:lang w:val="sr-Cyrl-RS"/>
        </w:rPr>
        <w:t>авне расправе се чешће организују, али остају проблеми у њиховом квалитету – трајање, начин организовања, укљученост заинтересованих страна и повратне информације. Рад скупштина и њихових тела често није довољно отворен, а транспарентност ЈЛС је ограничена. Недостају јасни механизми за</w:t>
      </w:r>
      <w:r w:rsidR="003A0876" w:rsidRPr="00226F9D">
        <w:rPr>
          <w:rFonts w:ascii="Times New Roman" w:hAnsi="Times New Roman" w:cs="Times New Roman"/>
          <w:lang w:val="sr-Cyrl-RS"/>
        </w:rPr>
        <w:t xml:space="preserve"> управљање</w:t>
      </w:r>
      <w:r w:rsidRPr="00226F9D">
        <w:rPr>
          <w:rFonts w:ascii="Times New Roman" w:hAnsi="Times New Roman" w:cs="Times New Roman"/>
          <w:lang w:val="sr-Cyrl-RS"/>
        </w:rPr>
        <w:t xml:space="preserve"> сукоб</w:t>
      </w:r>
      <w:r w:rsidR="003A0876" w:rsidRPr="00226F9D">
        <w:rPr>
          <w:rFonts w:ascii="Times New Roman" w:hAnsi="Times New Roman" w:cs="Times New Roman"/>
          <w:lang w:val="sr-Cyrl-RS"/>
        </w:rPr>
        <w:t>ом</w:t>
      </w:r>
      <w:r w:rsidRPr="00226F9D">
        <w:rPr>
          <w:rFonts w:ascii="Times New Roman" w:hAnsi="Times New Roman" w:cs="Times New Roman"/>
          <w:lang w:val="sr-Cyrl-RS"/>
        </w:rPr>
        <w:t xml:space="preserve"> интереса, заштиту узбуњивача и спровођење локалних антикорупцијских планова. П</w:t>
      </w:r>
      <w:r w:rsidR="00887F5E" w:rsidRPr="00226F9D">
        <w:rPr>
          <w:rFonts w:ascii="Times New Roman" w:hAnsi="Times New Roman" w:cs="Times New Roman"/>
          <w:lang w:val="sr-Cyrl-RS"/>
        </w:rPr>
        <w:t>р</w:t>
      </w:r>
      <w:r w:rsidRPr="00226F9D">
        <w:rPr>
          <w:rFonts w:ascii="Times New Roman" w:hAnsi="Times New Roman" w:cs="Times New Roman"/>
          <w:lang w:val="sr-Cyrl-RS"/>
        </w:rPr>
        <w:t>и</w:t>
      </w:r>
      <w:r w:rsidR="00887F5E" w:rsidRPr="00226F9D">
        <w:rPr>
          <w:rFonts w:ascii="Times New Roman" w:hAnsi="Times New Roman" w:cs="Times New Roman"/>
          <w:lang w:val="sr-Cyrl-RS"/>
        </w:rPr>
        <w:t>сутан је</w:t>
      </w:r>
      <w:r w:rsidRPr="00226F9D">
        <w:rPr>
          <w:rFonts w:ascii="Times New Roman" w:hAnsi="Times New Roman" w:cs="Times New Roman"/>
          <w:lang w:val="sr-Cyrl-RS"/>
        </w:rPr>
        <w:t xml:space="preserve"> слаб ниво стандардизације у раду управе, </w:t>
      </w:r>
      <w:r w:rsidR="00F936F1" w:rsidRPr="00226F9D">
        <w:rPr>
          <w:rFonts w:ascii="Times New Roman" w:hAnsi="Times New Roman" w:cs="Times New Roman"/>
          <w:lang w:val="sr-Cyrl-RS"/>
        </w:rPr>
        <w:t xml:space="preserve">и </w:t>
      </w:r>
      <w:r w:rsidR="004A0807" w:rsidRPr="00226F9D">
        <w:rPr>
          <w:rFonts w:ascii="Times New Roman" w:hAnsi="Times New Roman" w:cs="Times New Roman"/>
          <w:lang w:val="sr-Cyrl-RS"/>
        </w:rPr>
        <w:t>још увек</w:t>
      </w:r>
      <w:r w:rsidRPr="00226F9D">
        <w:rPr>
          <w:rFonts w:ascii="Times New Roman" w:hAnsi="Times New Roman" w:cs="Times New Roman"/>
          <w:lang w:val="sr-Cyrl-RS"/>
        </w:rPr>
        <w:t xml:space="preserve"> слаб развој међуопштинске сарадње. </w:t>
      </w:r>
    </w:p>
    <w:p w14:paraId="3B9B3FA4" w14:textId="77777777" w:rsidR="00C65091" w:rsidRPr="00226F9D" w:rsidRDefault="00C65091" w:rsidP="006B59F4">
      <w:pPr>
        <w:spacing w:after="0" w:line="240" w:lineRule="auto"/>
        <w:jc w:val="both"/>
        <w:rPr>
          <w:rFonts w:ascii="Times New Roman" w:hAnsi="Times New Roman" w:cs="Times New Roman"/>
          <w:lang w:val="sr-Cyrl-RS"/>
        </w:rPr>
      </w:pPr>
    </w:p>
    <w:p w14:paraId="02247F40" w14:textId="2B17F356" w:rsidR="00677DB4" w:rsidRPr="00226F9D" w:rsidRDefault="007A2D9B"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За покретање реформи у правцу решавања ових и других изазова у систему локалне самоуправе, током претходно</w:t>
      </w:r>
      <w:r w:rsidR="00F936F1" w:rsidRPr="00226F9D">
        <w:rPr>
          <w:rFonts w:ascii="Times New Roman" w:hAnsi="Times New Roman" w:cs="Times New Roman"/>
          <w:lang w:val="sr-Cyrl-RS"/>
        </w:rPr>
        <w:t>г</w:t>
      </w:r>
      <w:r w:rsidRPr="00226F9D">
        <w:rPr>
          <w:rFonts w:ascii="Times New Roman" w:hAnsi="Times New Roman" w:cs="Times New Roman"/>
          <w:lang w:val="sr-Cyrl-RS"/>
        </w:rPr>
        <w:t xml:space="preserve"> Програма за реформу система локалне самоуправе у периоду 2021</w:t>
      </w:r>
      <w:r w:rsidR="00F936F1" w:rsidRPr="00226F9D">
        <w:rPr>
          <w:rFonts w:ascii="Times New Roman" w:hAnsi="Times New Roman" w:cs="Times New Roman"/>
          <w:lang w:val="sr-Cyrl-RS"/>
        </w:rPr>
        <w:t>.</w:t>
      </w:r>
      <w:r w:rsidRPr="00226F9D">
        <w:rPr>
          <w:rFonts w:ascii="Times New Roman" w:hAnsi="Times New Roman" w:cs="Times New Roman"/>
          <w:lang w:val="sr-Cyrl-RS"/>
        </w:rPr>
        <w:t xml:space="preserve"> до 2025.</w:t>
      </w:r>
      <w:r w:rsidR="002400F0" w:rsidRPr="00226F9D">
        <w:rPr>
          <w:rFonts w:ascii="Times New Roman" w:hAnsi="Times New Roman" w:cs="Times New Roman"/>
          <w:lang w:val="sr-Cyrl-RS"/>
        </w:rPr>
        <w:t xml:space="preserve"> </w:t>
      </w:r>
      <w:r w:rsidRPr="00226F9D">
        <w:rPr>
          <w:rFonts w:ascii="Times New Roman" w:hAnsi="Times New Roman" w:cs="Times New Roman"/>
          <w:lang w:val="sr-Cyrl-RS"/>
        </w:rPr>
        <w:t>године, планиране су конкретне мере и активности у оквиру Посебног циља 1. Унапређење положаја и одговорности локалне самоуправе.</w:t>
      </w:r>
      <w:r w:rsidR="008C3DA5" w:rsidRPr="00226F9D">
        <w:rPr>
          <w:rFonts w:ascii="Times New Roman" w:hAnsi="Times New Roman" w:cs="Times New Roman"/>
          <w:lang w:val="sr-Cyrl-RS"/>
        </w:rPr>
        <w:t xml:space="preserve"> Током периода спровођења овог Програма, остварене су бројне активности али нису остварене и све планиране вредности показатеља за Посебни циљ 1</w:t>
      </w:r>
      <w:r w:rsidR="00222343" w:rsidRPr="00226F9D">
        <w:rPr>
          <w:rFonts w:ascii="Times New Roman" w:hAnsi="Times New Roman" w:cs="Times New Roman"/>
          <w:lang w:val="sr-Cyrl-RS"/>
        </w:rPr>
        <w:t>.</w:t>
      </w:r>
      <w:r w:rsidRPr="00226F9D">
        <w:rPr>
          <w:rFonts w:ascii="Times New Roman" w:hAnsi="Times New Roman" w:cs="Times New Roman"/>
          <w:lang w:val="sr-Cyrl-RS"/>
        </w:rPr>
        <w:t xml:space="preserve"> </w:t>
      </w:r>
    </w:p>
    <w:p w14:paraId="7DCEA55F" w14:textId="64F0421C" w:rsidR="007A2D9B" w:rsidRPr="00226F9D" w:rsidRDefault="007A2D9B" w:rsidP="00090884">
      <w:pPr>
        <w:spacing w:after="0" w:line="240" w:lineRule="auto"/>
        <w:jc w:val="both"/>
        <w:rPr>
          <w:rFonts w:ascii="Times New Roman" w:hAnsi="Times New Roman" w:cs="Times New Roman"/>
          <w:lang w:val="sr-Cyrl-RS"/>
        </w:rPr>
      </w:pPr>
    </w:p>
    <w:p w14:paraId="7BAB2ED6" w14:textId="53669696" w:rsidR="007A2D9B" w:rsidRPr="00226F9D" w:rsidRDefault="007A2D9B" w:rsidP="00090884">
      <w:pPr>
        <w:spacing w:after="0" w:line="240" w:lineRule="auto"/>
        <w:jc w:val="both"/>
        <w:rPr>
          <w:rFonts w:ascii="Times New Roman" w:hAnsi="Times New Roman" w:cs="Times New Roman"/>
          <w:i/>
          <w:lang w:val="sr-Cyrl-RS"/>
        </w:rPr>
      </w:pPr>
      <w:r w:rsidRPr="00226F9D">
        <w:rPr>
          <w:rFonts w:ascii="Times New Roman" w:hAnsi="Times New Roman" w:cs="Times New Roman"/>
          <w:b/>
          <w:bCs/>
          <w:i/>
          <w:iCs/>
          <w:lang w:val="sr-Cyrl-RS"/>
        </w:rPr>
        <w:t>Табела 1:</w:t>
      </w:r>
      <w:r w:rsidRPr="00226F9D">
        <w:rPr>
          <w:rFonts w:ascii="Times New Roman" w:hAnsi="Times New Roman" w:cs="Times New Roman"/>
          <w:i/>
          <w:iCs/>
          <w:lang w:val="sr-Cyrl-RS"/>
        </w:rPr>
        <w:t xml:space="preserve"> Приказ остварења показатеља на нивоу Посебног циља 1:</w:t>
      </w:r>
    </w:p>
    <w:p w14:paraId="752E6F03" w14:textId="77777777" w:rsidR="001F3DC4" w:rsidRPr="00226F9D" w:rsidRDefault="001F3DC4" w:rsidP="00090884">
      <w:pPr>
        <w:spacing w:after="0" w:line="240" w:lineRule="auto"/>
        <w:jc w:val="both"/>
        <w:rPr>
          <w:rFonts w:ascii="Times New Roman" w:hAnsi="Times New Roman" w:cs="Times New Roman"/>
          <w:i/>
          <w:iCs/>
          <w:lang w:val="sr-Latn-RS"/>
        </w:rPr>
      </w:pPr>
    </w:p>
    <w:tbl>
      <w:tblPr>
        <w:tblW w:w="5000" w:type="pct"/>
        <w:tblLook w:val="04A0" w:firstRow="1" w:lastRow="0" w:firstColumn="1" w:lastColumn="0" w:noHBand="0" w:noVBand="1"/>
      </w:tblPr>
      <w:tblGrid>
        <w:gridCol w:w="3901"/>
        <w:gridCol w:w="1907"/>
        <w:gridCol w:w="1907"/>
        <w:gridCol w:w="1907"/>
      </w:tblGrid>
      <w:tr w:rsidR="007A2D9B" w:rsidRPr="00226F9D" w14:paraId="569EDFB8" w14:textId="77777777" w:rsidTr="0E5AB833">
        <w:trPr>
          <w:trHeight w:val="688"/>
        </w:trPr>
        <w:tc>
          <w:tcPr>
            <w:tcW w:w="2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30B55C" w14:textId="77777777" w:rsidR="007A2D9B" w:rsidRPr="00226F9D" w:rsidRDefault="007A2D9B"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Показатељ(и) на нивоу посебног циља (показатељ исхода)</w:t>
            </w:r>
          </w:p>
        </w:tc>
        <w:tc>
          <w:tcPr>
            <w:tcW w:w="9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AA80BB" w14:textId="4827B8A2" w:rsidR="007A2D9B" w:rsidRPr="00226F9D" w:rsidRDefault="007A2D9B"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 xml:space="preserve">Почетна вредност </w:t>
            </w:r>
          </w:p>
        </w:tc>
        <w:tc>
          <w:tcPr>
            <w:tcW w:w="9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197EF1" w14:textId="13E68304" w:rsidR="007A2D9B" w:rsidRPr="00226F9D" w:rsidRDefault="007A2D9B"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Планирана вредност</w:t>
            </w:r>
          </w:p>
        </w:tc>
        <w:tc>
          <w:tcPr>
            <w:tcW w:w="99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27CAE1" w14:textId="77777777" w:rsidR="007A2D9B" w:rsidRPr="00226F9D" w:rsidRDefault="007A2D9B"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Остварена вредност</w:t>
            </w:r>
          </w:p>
        </w:tc>
      </w:tr>
      <w:tr w:rsidR="007A2D9B" w:rsidRPr="00226F9D" w14:paraId="7A20E2F6" w14:textId="77777777" w:rsidTr="0E5AB833">
        <w:trPr>
          <w:trHeight w:val="571"/>
        </w:trPr>
        <w:tc>
          <w:tcPr>
            <w:tcW w:w="2027" w:type="pct"/>
            <w:tcBorders>
              <w:top w:val="single" w:sz="4" w:space="0" w:color="auto"/>
              <w:left w:val="single" w:sz="4" w:space="0" w:color="auto"/>
              <w:bottom w:val="single" w:sz="4" w:space="0" w:color="auto"/>
              <w:right w:val="single" w:sz="4" w:space="0" w:color="auto"/>
            </w:tcBorders>
            <w:noWrap/>
            <w:vAlign w:val="center"/>
            <w:hideMark/>
          </w:tcPr>
          <w:p w14:paraId="27F988B6" w14:textId="77777777" w:rsidR="007A2D9B" w:rsidRPr="00226F9D" w:rsidRDefault="007A2D9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 xml:space="preserve">Степен ратификације ЕПЛС </w:t>
            </w:r>
          </w:p>
        </w:tc>
        <w:tc>
          <w:tcPr>
            <w:tcW w:w="991" w:type="pct"/>
            <w:tcBorders>
              <w:top w:val="nil"/>
              <w:left w:val="nil"/>
              <w:bottom w:val="single" w:sz="4" w:space="0" w:color="auto"/>
              <w:right w:val="single" w:sz="4" w:space="0" w:color="auto"/>
            </w:tcBorders>
            <w:shd w:val="clear" w:color="auto" w:fill="FFFFFF" w:themeFill="background1"/>
            <w:vAlign w:val="center"/>
            <w:hideMark/>
          </w:tcPr>
          <w:p w14:paraId="2AFE730E" w14:textId="6FE8B1A2" w:rsidR="007A2D9B" w:rsidRPr="00226F9D" w:rsidRDefault="007A2D9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3</w:t>
            </w:r>
            <w:r w:rsidR="00C30B5A" w:rsidRPr="00226F9D">
              <w:rPr>
                <w:rFonts w:ascii="Times New Roman" w:hAnsi="Times New Roman" w:cs="Times New Roman"/>
                <w:sz w:val="20"/>
                <w:szCs w:val="20"/>
                <w:lang w:val="sr-Cyrl-RS"/>
              </w:rPr>
              <w:t xml:space="preserve"> </w:t>
            </w:r>
            <w:r w:rsidR="00441849" w:rsidRPr="00226F9D">
              <w:rPr>
                <w:rFonts w:ascii="Times New Roman" w:hAnsi="Times New Roman" w:cs="Times New Roman"/>
                <w:sz w:val="20"/>
                <w:szCs w:val="20"/>
                <w:lang w:val="sr-Latn-RS"/>
              </w:rPr>
              <w:t>(2020)</w:t>
            </w:r>
          </w:p>
        </w:tc>
        <w:tc>
          <w:tcPr>
            <w:tcW w:w="991" w:type="pct"/>
            <w:tcBorders>
              <w:top w:val="nil"/>
              <w:left w:val="nil"/>
              <w:bottom w:val="single" w:sz="4" w:space="0" w:color="auto"/>
              <w:right w:val="single" w:sz="4" w:space="0" w:color="auto"/>
            </w:tcBorders>
            <w:vAlign w:val="center"/>
            <w:hideMark/>
          </w:tcPr>
          <w:p w14:paraId="7E9097C1" w14:textId="41DA0DFC" w:rsidR="007A2D9B" w:rsidRPr="00226F9D" w:rsidRDefault="007A2D9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5</w:t>
            </w:r>
            <w:r w:rsidR="00441849" w:rsidRPr="00226F9D">
              <w:rPr>
                <w:rFonts w:ascii="Times New Roman" w:hAnsi="Times New Roman" w:cs="Times New Roman"/>
                <w:sz w:val="20"/>
                <w:szCs w:val="20"/>
                <w:lang w:val="sr-Latn-RS"/>
              </w:rPr>
              <w:t xml:space="preserve"> (2025)</w:t>
            </w:r>
          </w:p>
        </w:tc>
        <w:tc>
          <w:tcPr>
            <w:tcW w:w="991" w:type="pct"/>
            <w:tcBorders>
              <w:top w:val="nil"/>
              <w:left w:val="nil"/>
              <w:bottom w:val="single" w:sz="4" w:space="0" w:color="auto"/>
              <w:right w:val="single" w:sz="4" w:space="0" w:color="auto"/>
            </w:tcBorders>
            <w:shd w:val="clear" w:color="auto" w:fill="FFFFFF" w:themeFill="background1"/>
            <w:vAlign w:val="center"/>
            <w:hideMark/>
          </w:tcPr>
          <w:p w14:paraId="0C1AC5BF" w14:textId="7696C036" w:rsidR="007A2D9B" w:rsidRPr="00226F9D" w:rsidRDefault="009210DC" w:rsidP="00090884">
            <w:pPr>
              <w:spacing w:after="0" w:line="240" w:lineRule="auto"/>
              <w:jc w:val="both"/>
              <w:rPr>
                <w:rFonts w:ascii="Times New Roman" w:hAnsi="Times New Roman" w:cs="Times New Roman"/>
                <w:sz w:val="20"/>
                <w:szCs w:val="20"/>
                <w:lang w:val="sr-Latn-RS"/>
              </w:rPr>
            </w:pPr>
            <w:r>
              <w:rPr>
                <w:rFonts w:ascii="Times New Roman" w:hAnsi="Times New Roman" w:cs="Times New Roman"/>
                <w:sz w:val="20"/>
                <w:szCs w:val="20"/>
                <w:lang w:val="sr-Cyrl-RS"/>
              </w:rPr>
              <w:t>3</w:t>
            </w:r>
            <w:r w:rsidR="4BE0FB25" w:rsidRPr="00226F9D">
              <w:rPr>
                <w:rFonts w:ascii="Times New Roman" w:hAnsi="Times New Roman" w:cs="Times New Roman"/>
                <w:sz w:val="20"/>
                <w:szCs w:val="20"/>
                <w:lang w:val="sr-Cyrl-RS"/>
              </w:rPr>
              <w:t xml:space="preserve"> </w:t>
            </w:r>
            <w:r w:rsidR="236627C1" w:rsidRPr="00226F9D">
              <w:rPr>
                <w:rFonts w:ascii="Times New Roman" w:hAnsi="Times New Roman" w:cs="Times New Roman"/>
                <w:sz w:val="20"/>
                <w:szCs w:val="20"/>
                <w:lang w:val="sr-Cyrl-RS"/>
              </w:rPr>
              <w:t>(202</w:t>
            </w:r>
            <w:r w:rsidR="06B56C07" w:rsidRPr="00226F9D">
              <w:rPr>
                <w:rFonts w:ascii="Times New Roman" w:hAnsi="Times New Roman" w:cs="Times New Roman"/>
                <w:sz w:val="20"/>
                <w:szCs w:val="20"/>
                <w:lang w:val="sr-Cyrl-RS"/>
              </w:rPr>
              <w:t>5</w:t>
            </w:r>
            <w:r w:rsidR="236627C1" w:rsidRPr="00226F9D">
              <w:rPr>
                <w:rFonts w:ascii="Times New Roman" w:hAnsi="Times New Roman" w:cs="Times New Roman"/>
                <w:sz w:val="20"/>
                <w:szCs w:val="20"/>
                <w:lang w:val="sr-Cyrl-RS"/>
              </w:rPr>
              <w:t>)</w:t>
            </w:r>
          </w:p>
        </w:tc>
      </w:tr>
      <w:tr w:rsidR="007A2D9B" w:rsidRPr="00226F9D" w14:paraId="3428B235" w14:textId="77777777" w:rsidTr="0E5AB833">
        <w:trPr>
          <w:trHeight w:val="924"/>
        </w:trPr>
        <w:tc>
          <w:tcPr>
            <w:tcW w:w="2027" w:type="pct"/>
            <w:tcBorders>
              <w:top w:val="single" w:sz="4" w:space="0" w:color="auto"/>
              <w:left w:val="single" w:sz="4" w:space="0" w:color="auto"/>
              <w:bottom w:val="single" w:sz="4" w:space="0" w:color="auto"/>
              <w:right w:val="single" w:sz="4" w:space="0" w:color="auto"/>
            </w:tcBorders>
            <w:vAlign w:val="center"/>
            <w:hideMark/>
          </w:tcPr>
          <w:p w14:paraId="5AAFE882" w14:textId="35CBE373" w:rsidR="007A2D9B" w:rsidRPr="00226F9D" w:rsidRDefault="007A2D9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 xml:space="preserve">Просечна вредност индекса добре управе у издвојеним областима: 1) </w:t>
            </w:r>
            <w:r w:rsidR="004A7B57" w:rsidRPr="00226F9D">
              <w:rPr>
                <w:rFonts w:ascii="Times New Roman" w:hAnsi="Times New Roman" w:cs="Times New Roman"/>
                <w:sz w:val="20"/>
                <w:szCs w:val="20"/>
                <w:lang w:val="sr-Cyrl-RS"/>
              </w:rPr>
              <w:t>одговорност</w:t>
            </w:r>
            <w:r w:rsidRPr="00226F9D">
              <w:rPr>
                <w:rFonts w:ascii="Times New Roman" w:hAnsi="Times New Roman" w:cs="Times New Roman"/>
                <w:sz w:val="20"/>
                <w:szCs w:val="20"/>
                <w:lang w:val="sr-Cyrl-RS"/>
              </w:rPr>
              <w:t xml:space="preserve">; 2) </w:t>
            </w:r>
            <w:r w:rsidR="004A7B57" w:rsidRPr="00226F9D">
              <w:rPr>
                <w:rFonts w:ascii="Times New Roman" w:hAnsi="Times New Roman" w:cs="Times New Roman"/>
                <w:sz w:val="20"/>
                <w:szCs w:val="20"/>
                <w:lang w:val="sr-Cyrl-RS"/>
              </w:rPr>
              <w:t>транспарентност</w:t>
            </w:r>
            <w:r w:rsidRPr="00226F9D">
              <w:rPr>
                <w:rFonts w:ascii="Times New Roman" w:hAnsi="Times New Roman" w:cs="Times New Roman"/>
                <w:sz w:val="20"/>
                <w:szCs w:val="20"/>
                <w:lang w:val="sr-Cyrl-RS"/>
              </w:rPr>
              <w:t>, отвореност и партиципациј</w:t>
            </w:r>
            <w:r w:rsidR="00DA6487" w:rsidRPr="00226F9D">
              <w:rPr>
                <w:rFonts w:ascii="Times New Roman" w:hAnsi="Times New Roman" w:cs="Times New Roman"/>
                <w:sz w:val="20"/>
                <w:szCs w:val="20"/>
                <w:lang w:val="sr-Cyrl-RS"/>
              </w:rPr>
              <w:t>а</w:t>
            </w:r>
            <w:r w:rsidRPr="00226F9D">
              <w:rPr>
                <w:rFonts w:ascii="Times New Roman" w:hAnsi="Times New Roman" w:cs="Times New Roman"/>
                <w:sz w:val="20"/>
                <w:szCs w:val="20"/>
                <w:lang w:val="sr-Cyrl-RS"/>
              </w:rPr>
              <w:t>;</w:t>
            </w:r>
          </w:p>
        </w:tc>
        <w:tc>
          <w:tcPr>
            <w:tcW w:w="991" w:type="pct"/>
            <w:tcBorders>
              <w:top w:val="nil"/>
              <w:left w:val="nil"/>
              <w:bottom w:val="single" w:sz="4" w:space="0" w:color="auto"/>
              <w:right w:val="single" w:sz="4" w:space="0" w:color="auto"/>
            </w:tcBorders>
            <w:shd w:val="clear" w:color="auto" w:fill="FFFFFF" w:themeFill="background1"/>
            <w:vAlign w:val="center"/>
            <w:hideMark/>
          </w:tcPr>
          <w:p w14:paraId="2977A7DB" w14:textId="4814912A" w:rsidR="007A2D9B" w:rsidRPr="00226F9D" w:rsidRDefault="007A2D9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43%</w:t>
            </w:r>
            <w:r w:rsidR="00EB1E9F" w:rsidRPr="00226F9D">
              <w:rPr>
                <w:rFonts w:ascii="Times New Roman" w:hAnsi="Times New Roman" w:cs="Times New Roman"/>
                <w:sz w:val="20"/>
                <w:szCs w:val="20"/>
                <w:lang w:val="sr-Latn-RS"/>
              </w:rPr>
              <w:t xml:space="preserve"> (2018)</w:t>
            </w:r>
          </w:p>
        </w:tc>
        <w:tc>
          <w:tcPr>
            <w:tcW w:w="991" w:type="pct"/>
            <w:tcBorders>
              <w:top w:val="nil"/>
              <w:left w:val="nil"/>
              <w:bottom w:val="single" w:sz="4" w:space="0" w:color="auto"/>
              <w:right w:val="single" w:sz="4" w:space="0" w:color="auto"/>
            </w:tcBorders>
            <w:vAlign w:val="center"/>
            <w:hideMark/>
          </w:tcPr>
          <w:p w14:paraId="6E6F5439" w14:textId="2930CCC8" w:rsidR="007A2D9B" w:rsidRPr="00226F9D" w:rsidRDefault="007A2D9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60%</w:t>
            </w:r>
            <w:r w:rsidR="00EB1E9F" w:rsidRPr="00226F9D">
              <w:rPr>
                <w:rFonts w:ascii="Times New Roman" w:hAnsi="Times New Roman" w:cs="Times New Roman"/>
                <w:sz w:val="20"/>
                <w:szCs w:val="20"/>
                <w:lang w:val="sr-Latn-RS"/>
              </w:rPr>
              <w:t xml:space="preserve"> </w:t>
            </w:r>
            <w:r w:rsidR="008916D7" w:rsidRPr="00226F9D">
              <w:rPr>
                <w:rFonts w:ascii="Times New Roman" w:hAnsi="Times New Roman" w:cs="Times New Roman"/>
                <w:sz w:val="20"/>
                <w:szCs w:val="20"/>
                <w:lang w:val="sr-Latn-RS"/>
              </w:rPr>
              <w:t>(2025)</w:t>
            </w:r>
          </w:p>
        </w:tc>
        <w:tc>
          <w:tcPr>
            <w:tcW w:w="991" w:type="pct"/>
            <w:tcBorders>
              <w:top w:val="nil"/>
              <w:left w:val="nil"/>
              <w:bottom w:val="single" w:sz="4" w:space="0" w:color="auto"/>
              <w:right w:val="single" w:sz="4" w:space="0" w:color="auto"/>
            </w:tcBorders>
            <w:shd w:val="clear" w:color="auto" w:fill="FFFFFF" w:themeFill="background1"/>
            <w:vAlign w:val="center"/>
            <w:hideMark/>
          </w:tcPr>
          <w:p w14:paraId="3FFEFC7A" w14:textId="79ED077D" w:rsidR="007A2D9B" w:rsidRPr="00226F9D" w:rsidRDefault="007A2D9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59.10%</w:t>
            </w:r>
            <w:r w:rsidR="008916D7" w:rsidRPr="00226F9D">
              <w:rPr>
                <w:rFonts w:ascii="Times New Roman" w:hAnsi="Times New Roman" w:cs="Times New Roman"/>
                <w:sz w:val="20"/>
                <w:szCs w:val="20"/>
                <w:lang w:val="sr-Latn-RS"/>
              </w:rPr>
              <w:t xml:space="preserve"> (2023)</w:t>
            </w:r>
          </w:p>
        </w:tc>
      </w:tr>
      <w:tr w:rsidR="007A2D9B" w:rsidRPr="00226F9D" w14:paraId="155B69EA" w14:textId="77777777" w:rsidTr="0E5AB833">
        <w:trPr>
          <w:trHeight w:val="852"/>
        </w:trPr>
        <w:tc>
          <w:tcPr>
            <w:tcW w:w="2027" w:type="pct"/>
            <w:tcBorders>
              <w:top w:val="single" w:sz="4" w:space="0" w:color="auto"/>
              <w:left w:val="single" w:sz="4" w:space="0" w:color="auto"/>
              <w:bottom w:val="single" w:sz="4" w:space="0" w:color="auto"/>
              <w:right w:val="single" w:sz="4" w:space="0" w:color="auto"/>
            </w:tcBorders>
            <w:vAlign w:val="center"/>
            <w:hideMark/>
          </w:tcPr>
          <w:p w14:paraId="18496596" w14:textId="77777777" w:rsidR="007A2D9B" w:rsidRPr="00226F9D" w:rsidRDefault="007A2D9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Удео усвојених закона у односу на укупни број усвојених закона који се у већој мери односе на ЛС, у чијој припреми су учествовале ЈЛС</w:t>
            </w:r>
          </w:p>
        </w:tc>
        <w:tc>
          <w:tcPr>
            <w:tcW w:w="991" w:type="pct"/>
            <w:tcBorders>
              <w:top w:val="nil"/>
              <w:left w:val="nil"/>
              <w:bottom w:val="single" w:sz="4" w:space="0" w:color="auto"/>
              <w:right w:val="single" w:sz="4" w:space="0" w:color="auto"/>
            </w:tcBorders>
            <w:shd w:val="clear" w:color="auto" w:fill="FFFFFF" w:themeFill="background1"/>
            <w:vAlign w:val="center"/>
            <w:hideMark/>
          </w:tcPr>
          <w:p w14:paraId="52CAE629" w14:textId="1FCCDFCD" w:rsidR="007A2D9B" w:rsidRPr="00226F9D" w:rsidRDefault="007A2D9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3</w:t>
            </w:r>
            <w:r w:rsidR="003A5F82" w:rsidRPr="00226F9D">
              <w:rPr>
                <w:rFonts w:ascii="Times New Roman" w:hAnsi="Times New Roman" w:cs="Times New Roman"/>
                <w:sz w:val="20"/>
                <w:szCs w:val="20"/>
                <w:lang w:val="sr-Latn-RS"/>
              </w:rPr>
              <w:t xml:space="preserve"> (2020)</w:t>
            </w:r>
          </w:p>
        </w:tc>
        <w:tc>
          <w:tcPr>
            <w:tcW w:w="991" w:type="pct"/>
            <w:tcBorders>
              <w:top w:val="nil"/>
              <w:left w:val="nil"/>
              <w:bottom w:val="single" w:sz="4" w:space="0" w:color="auto"/>
              <w:right w:val="single" w:sz="4" w:space="0" w:color="auto"/>
            </w:tcBorders>
            <w:vAlign w:val="center"/>
            <w:hideMark/>
          </w:tcPr>
          <w:p w14:paraId="4CEC955A" w14:textId="2F2C4A10" w:rsidR="007A2D9B" w:rsidRPr="00226F9D" w:rsidRDefault="007A2D9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5</w:t>
            </w:r>
            <w:r w:rsidR="003A5F82" w:rsidRPr="00226F9D">
              <w:rPr>
                <w:rFonts w:ascii="Times New Roman" w:hAnsi="Times New Roman" w:cs="Times New Roman"/>
                <w:sz w:val="20"/>
                <w:szCs w:val="20"/>
                <w:lang w:val="sr-Latn-RS"/>
              </w:rPr>
              <w:t xml:space="preserve"> (2025)</w:t>
            </w:r>
          </w:p>
        </w:tc>
        <w:tc>
          <w:tcPr>
            <w:tcW w:w="991" w:type="pct"/>
            <w:tcBorders>
              <w:top w:val="nil"/>
              <w:left w:val="nil"/>
              <w:bottom w:val="single" w:sz="4" w:space="0" w:color="auto"/>
              <w:right w:val="single" w:sz="4" w:space="0" w:color="auto"/>
            </w:tcBorders>
            <w:shd w:val="clear" w:color="auto" w:fill="FFFFFF" w:themeFill="background1"/>
            <w:vAlign w:val="center"/>
            <w:hideMark/>
          </w:tcPr>
          <w:p w14:paraId="2B2A6B19" w14:textId="1109178A" w:rsidR="007A2D9B" w:rsidRPr="00226F9D" w:rsidRDefault="0EF1547E"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4</w:t>
            </w:r>
            <w:r w:rsidR="01519475" w:rsidRPr="00226F9D">
              <w:rPr>
                <w:rFonts w:ascii="Times New Roman" w:hAnsi="Times New Roman" w:cs="Times New Roman"/>
                <w:sz w:val="20"/>
                <w:szCs w:val="20"/>
                <w:lang w:val="sr-Latn-RS"/>
              </w:rPr>
              <w:t xml:space="preserve"> </w:t>
            </w:r>
            <w:r w:rsidR="53B4E204" w:rsidRPr="00226F9D">
              <w:rPr>
                <w:rFonts w:ascii="Times New Roman" w:hAnsi="Times New Roman" w:cs="Times New Roman"/>
                <w:sz w:val="20"/>
                <w:szCs w:val="20"/>
                <w:lang w:val="sr-Latn-RS"/>
              </w:rPr>
              <w:t>(202</w:t>
            </w:r>
            <w:r w:rsidRPr="00226F9D">
              <w:rPr>
                <w:rFonts w:ascii="Times New Roman" w:hAnsi="Times New Roman" w:cs="Times New Roman"/>
                <w:sz w:val="20"/>
                <w:szCs w:val="20"/>
                <w:lang w:val="sr-Cyrl-RS"/>
              </w:rPr>
              <w:t>5</w:t>
            </w:r>
            <w:r w:rsidR="53B4E204" w:rsidRPr="00226F9D">
              <w:rPr>
                <w:rFonts w:ascii="Times New Roman" w:hAnsi="Times New Roman" w:cs="Times New Roman"/>
                <w:sz w:val="20"/>
                <w:szCs w:val="20"/>
                <w:lang w:val="sr-Latn-RS"/>
              </w:rPr>
              <w:t>)</w:t>
            </w:r>
          </w:p>
        </w:tc>
      </w:tr>
    </w:tbl>
    <w:p w14:paraId="6EFAE296" w14:textId="77777777" w:rsidR="007A2D9B" w:rsidRPr="00226F9D" w:rsidRDefault="007A2D9B" w:rsidP="00090884">
      <w:pPr>
        <w:spacing w:after="0" w:line="240" w:lineRule="auto"/>
        <w:jc w:val="both"/>
        <w:rPr>
          <w:rFonts w:ascii="Times New Roman" w:hAnsi="Times New Roman" w:cs="Times New Roman"/>
          <w:sz w:val="22"/>
          <w:szCs w:val="22"/>
          <w:lang w:val="sr-Cyrl-RS"/>
        </w:rPr>
      </w:pPr>
    </w:p>
    <w:p w14:paraId="29D3979E" w14:textId="1C46A161" w:rsidR="007A2D9B" w:rsidRPr="00226F9D" w:rsidRDefault="1FFAEEDC"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Од кључних постигнућа у оквиру овог циља треба истаћи да је усвојен нови правни оквир за спровођење локалних избора, као и за спровођење референдума и народне иницијативе. </w:t>
      </w:r>
      <w:r w:rsidR="21A225F4" w:rsidRPr="00226F9D">
        <w:rPr>
          <w:rFonts w:ascii="Times New Roman" w:hAnsi="Times New Roman" w:cs="Times New Roman"/>
          <w:lang w:val="sr-Cyrl-RS"/>
        </w:rPr>
        <w:t>За</w:t>
      </w:r>
      <w:r w:rsidRPr="00226F9D">
        <w:rPr>
          <w:rFonts w:ascii="Times New Roman" w:hAnsi="Times New Roman" w:cs="Times New Roman"/>
          <w:lang w:val="sr-Cyrl-RS"/>
        </w:rPr>
        <w:t xml:space="preserve"> законе који се односе на ЈЛС су информације благовремено достављене </w:t>
      </w:r>
      <w:r w:rsidR="6CC3B51A" w:rsidRPr="00226F9D">
        <w:rPr>
          <w:rFonts w:ascii="Times New Roman" w:hAnsi="Times New Roman" w:cs="Times New Roman"/>
          <w:lang w:val="sr-Cyrl-RS"/>
        </w:rPr>
        <w:t xml:space="preserve">на годишњем нивоу </w:t>
      </w:r>
      <w:r w:rsidRPr="00226F9D">
        <w:rPr>
          <w:rFonts w:ascii="Times New Roman" w:hAnsi="Times New Roman" w:cs="Times New Roman"/>
          <w:lang w:val="sr-Cyrl-RS"/>
        </w:rPr>
        <w:t>преко система СКГО за информисање ЛС</w:t>
      </w:r>
      <w:r w:rsidR="0B69039A" w:rsidRPr="00226F9D">
        <w:rPr>
          <w:rFonts w:ascii="Times New Roman" w:hAnsi="Times New Roman" w:cs="Times New Roman"/>
          <w:lang w:val="sr-Cyrl-RS"/>
        </w:rPr>
        <w:t>,</w:t>
      </w:r>
      <w:r w:rsidRPr="00226F9D">
        <w:rPr>
          <w:rFonts w:ascii="Times New Roman" w:hAnsi="Times New Roman" w:cs="Times New Roman"/>
          <w:lang w:val="sr-Cyrl-RS"/>
        </w:rPr>
        <w:t xml:space="preserve"> а сама СКГО учествовала је и представљала интересе локалне самоуправе у бројним нормативни</w:t>
      </w:r>
      <w:r w:rsidR="00C51420" w:rsidRPr="00226F9D">
        <w:rPr>
          <w:rFonts w:ascii="Times New Roman" w:hAnsi="Times New Roman" w:cs="Times New Roman"/>
          <w:lang w:val="sr-Cyrl-RS"/>
        </w:rPr>
        <w:t>м</w:t>
      </w:r>
      <w:r w:rsidRPr="00226F9D">
        <w:rPr>
          <w:rFonts w:ascii="Times New Roman" w:hAnsi="Times New Roman" w:cs="Times New Roman"/>
          <w:lang w:val="sr-Cyrl-RS"/>
        </w:rPr>
        <w:t xml:space="preserve"> процесима. Међутим, у периоду 2021-2025, иако су биле планиране и</w:t>
      </w:r>
      <w:r w:rsidR="4F7B0CD4" w:rsidRPr="00226F9D">
        <w:rPr>
          <w:rFonts w:ascii="Times New Roman" w:hAnsi="Times New Roman" w:cs="Times New Roman"/>
          <w:lang w:val="sr-Cyrl-RS"/>
        </w:rPr>
        <w:t>змене</w:t>
      </w:r>
      <w:r w:rsidRPr="00226F9D">
        <w:rPr>
          <w:rFonts w:ascii="Times New Roman" w:hAnsi="Times New Roman" w:cs="Times New Roman"/>
          <w:lang w:val="sr-Cyrl-RS"/>
        </w:rPr>
        <w:t xml:space="preserve"> за које је спроведен</w:t>
      </w:r>
      <w:r w:rsidR="17ECB165" w:rsidRPr="00226F9D">
        <w:rPr>
          <w:rFonts w:ascii="Times New Roman" w:hAnsi="Times New Roman" w:cs="Times New Roman"/>
          <w:lang w:val="sr-Cyrl-RS"/>
        </w:rPr>
        <w:t xml:space="preserve"> и</w:t>
      </w:r>
      <w:r w:rsidRPr="00226F9D">
        <w:rPr>
          <w:rFonts w:ascii="Times New Roman" w:hAnsi="Times New Roman" w:cs="Times New Roman"/>
          <w:lang w:val="sr-Cyrl-RS"/>
        </w:rPr>
        <w:t xml:space="preserve"> низ припремних анализа, укључујући и </w:t>
      </w:r>
      <w:r w:rsidR="7D8E7A76" w:rsidRPr="00226F9D">
        <w:rPr>
          <w:rFonts w:ascii="Times New Roman" w:hAnsi="Times New Roman" w:cs="Times New Roman"/>
          <w:lang w:val="sr-Cyrl-RS"/>
        </w:rPr>
        <w:t xml:space="preserve">припрему </w:t>
      </w:r>
      <w:r w:rsidRPr="00226F9D">
        <w:rPr>
          <w:rFonts w:ascii="Times New Roman" w:hAnsi="Times New Roman" w:cs="Times New Roman"/>
          <w:lang w:val="sr-Cyrl-RS"/>
        </w:rPr>
        <w:t>нацрта могућих нових нормативних решења</w:t>
      </w:r>
      <w:r w:rsidR="17ECB165"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 изостале су веома важне измене</w:t>
      </w:r>
      <w:r w:rsidR="6FF965C3" w:rsidRPr="00226F9D">
        <w:rPr>
          <w:rFonts w:ascii="Times New Roman" w:hAnsi="Times New Roman" w:cs="Times New Roman"/>
          <w:lang w:val="sr-Cyrl-RS"/>
        </w:rPr>
        <w:t xml:space="preserve"> и допуне</w:t>
      </w:r>
      <w:r w:rsidRPr="00226F9D">
        <w:rPr>
          <w:rFonts w:ascii="Times New Roman" w:hAnsi="Times New Roman" w:cs="Times New Roman"/>
          <w:lang w:val="sr-Cyrl-RS"/>
        </w:rPr>
        <w:t xml:space="preserve"> </w:t>
      </w:r>
      <w:r w:rsidR="6FF965C3" w:rsidRPr="00226F9D">
        <w:rPr>
          <w:rFonts w:ascii="Times New Roman" w:hAnsi="Times New Roman" w:cs="Times New Roman"/>
          <w:lang w:val="sr-Cyrl-RS"/>
        </w:rPr>
        <w:t>Закон</w:t>
      </w:r>
      <w:r w:rsidR="27F1CDCD" w:rsidRPr="00226F9D">
        <w:rPr>
          <w:rFonts w:ascii="Times New Roman" w:hAnsi="Times New Roman" w:cs="Times New Roman"/>
          <w:lang w:val="sr-Cyrl-RS"/>
        </w:rPr>
        <w:t>а</w:t>
      </w:r>
      <w:r w:rsidR="6FF965C3" w:rsidRPr="00226F9D">
        <w:rPr>
          <w:rFonts w:ascii="Times New Roman" w:hAnsi="Times New Roman" w:cs="Times New Roman"/>
          <w:lang w:val="sr-Cyrl-RS"/>
        </w:rPr>
        <w:t xml:space="preserve"> о локалној самоуправи,</w:t>
      </w:r>
      <w:r w:rsidRPr="00226F9D">
        <w:rPr>
          <w:rFonts w:ascii="Times New Roman" w:hAnsi="Times New Roman" w:cs="Times New Roman"/>
          <w:lang w:val="sr-Cyrl-RS"/>
        </w:rPr>
        <w:t xml:space="preserve"> којима је требало уредити бројна важна питања која су истакнута у Програму (јачање надзорне функције скупштине и положаја њених радних тела; унапређење доступности прописа локалне самоуправе; развијање нових модалитета </w:t>
      </w:r>
      <w:r w:rsidRPr="00226F9D">
        <w:rPr>
          <w:rFonts w:ascii="Times New Roman" w:hAnsi="Times New Roman" w:cs="Times New Roman"/>
          <w:lang w:val="sr-Cyrl-RS"/>
        </w:rPr>
        <w:lastRenderedPageBreak/>
        <w:t xml:space="preserve">управљања процесом поверавања надлежности јединицама локалне самоуправе; обавезност консултација са асоцијацијом локалних власти у изради јавних политика и прописа који се односе на локалну самоуправу; и др.). </w:t>
      </w:r>
      <w:r w:rsidR="1FD4B639" w:rsidRPr="00226F9D">
        <w:rPr>
          <w:rFonts w:ascii="Times New Roman" w:hAnsi="Times New Roman" w:cs="Times New Roman"/>
          <w:lang w:val="sr-Cyrl-RS"/>
        </w:rPr>
        <w:t>Са друге стране,  крајем 2025.</w:t>
      </w:r>
      <w:r w:rsidR="41434423" w:rsidRPr="00226F9D">
        <w:rPr>
          <w:rFonts w:ascii="Times New Roman" w:hAnsi="Times New Roman" w:cs="Times New Roman"/>
          <w:lang w:val="sr-Cyrl-RS"/>
        </w:rPr>
        <w:t xml:space="preserve"> </w:t>
      </w:r>
      <w:r w:rsidR="1FD4B639" w:rsidRPr="00226F9D">
        <w:rPr>
          <w:rFonts w:ascii="Times New Roman" w:hAnsi="Times New Roman" w:cs="Times New Roman"/>
          <w:lang w:val="sr-Cyrl-RS"/>
        </w:rPr>
        <w:t>године извршена је додатна ратификациј</w:t>
      </w:r>
      <w:r w:rsidR="1C633534" w:rsidRPr="00226F9D">
        <w:rPr>
          <w:rFonts w:ascii="Times New Roman" w:hAnsi="Times New Roman" w:cs="Times New Roman"/>
          <w:lang w:val="sr-Cyrl-RS"/>
        </w:rPr>
        <w:t>а</w:t>
      </w:r>
      <w:r w:rsidR="1FD4B639" w:rsidRPr="00226F9D">
        <w:rPr>
          <w:rFonts w:ascii="Times New Roman" w:hAnsi="Times New Roman" w:cs="Times New Roman"/>
          <w:lang w:val="sr-Cyrl-RS"/>
        </w:rPr>
        <w:t xml:space="preserve"> Европске повеље о локалној самуоправи кроз допуне Закона о </w:t>
      </w:r>
      <w:r w:rsidR="41434423" w:rsidRPr="00226F9D">
        <w:rPr>
          <w:rFonts w:ascii="Times New Roman" w:hAnsi="Times New Roman" w:cs="Times New Roman"/>
          <w:lang w:val="sr-Cyrl-RS"/>
        </w:rPr>
        <w:t>потврђивању</w:t>
      </w:r>
      <w:r w:rsidR="1FD4B639" w:rsidRPr="00226F9D">
        <w:rPr>
          <w:rFonts w:ascii="Times New Roman" w:hAnsi="Times New Roman" w:cs="Times New Roman"/>
          <w:lang w:val="sr-Cyrl-RS"/>
        </w:rPr>
        <w:t xml:space="preserve"> Европске повеље о локалној самоуправи,</w:t>
      </w:r>
      <w:r w:rsidR="41434423" w:rsidRPr="00226F9D">
        <w:rPr>
          <w:rFonts w:ascii="Times New Roman" w:hAnsi="Times New Roman" w:cs="Times New Roman"/>
          <w:lang w:val="sr-Cyrl-RS"/>
        </w:rPr>
        <w:t xml:space="preserve"> </w:t>
      </w:r>
      <w:r w:rsidR="1FD4B639" w:rsidRPr="00226F9D">
        <w:rPr>
          <w:rFonts w:ascii="Times New Roman" w:hAnsi="Times New Roman" w:cs="Times New Roman"/>
          <w:lang w:val="sr-Cyrl-RS"/>
        </w:rPr>
        <w:t>што представља важан принципијелни и системски корак у процесу реформе система локалне самоупра</w:t>
      </w:r>
      <w:r w:rsidR="42E65BF7" w:rsidRPr="00226F9D">
        <w:rPr>
          <w:rFonts w:ascii="Times New Roman" w:hAnsi="Times New Roman" w:cs="Times New Roman"/>
          <w:lang w:val="sr-Cyrl-RS"/>
        </w:rPr>
        <w:t>ве</w:t>
      </w:r>
      <w:r w:rsidR="1FD4B639" w:rsidRPr="00226F9D">
        <w:rPr>
          <w:rFonts w:ascii="Times New Roman" w:hAnsi="Times New Roman" w:cs="Times New Roman"/>
          <w:lang w:val="sr-Cyrl-RS"/>
        </w:rPr>
        <w:t xml:space="preserve">. </w:t>
      </w:r>
    </w:p>
    <w:p w14:paraId="37BF7FB3" w14:textId="77777777" w:rsidR="007A1CC5" w:rsidRPr="00226F9D" w:rsidRDefault="007A1CC5" w:rsidP="00090884">
      <w:pPr>
        <w:spacing w:after="0" w:line="240" w:lineRule="auto"/>
        <w:jc w:val="both"/>
        <w:rPr>
          <w:rFonts w:ascii="Times New Roman" w:hAnsi="Times New Roman" w:cs="Times New Roman"/>
          <w:lang w:val="sr-Cyrl-RS"/>
        </w:rPr>
      </w:pPr>
    </w:p>
    <w:p w14:paraId="356C5D71" w14:textId="7576D437" w:rsidR="007A2D9B" w:rsidRPr="00226F9D" w:rsidRDefault="0FEE4BD1"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Планиране</w:t>
      </w:r>
      <w:r w:rsidR="1FFAEEDC" w:rsidRPr="00226F9D">
        <w:rPr>
          <w:rFonts w:ascii="Times New Roman" w:hAnsi="Times New Roman" w:cs="Times New Roman"/>
          <w:lang w:val="sr-Cyrl-RS"/>
        </w:rPr>
        <w:t xml:space="preserve"> измене Закона о државној управи</w:t>
      </w:r>
      <w:r w:rsidR="0061327E" w:rsidRPr="00226F9D">
        <w:rPr>
          <w:rStyle w:val="FootnoteReference"/>
          <w:rFonts w:ascii="Times New Roman" w:hAnsi="Times New Roman" w:cs="Times New Roman"/>
          <w:lang w:val="sr-Cyrl-RS"/>
        </w:rPr>
        <w:footnoteReference w:id="37"/>
      </w:r>
      <w:r w:rsidR="1FFAEEDC" w:rsidRPr="00226F9D">
        <w:rPr>
          <w:rFonts w:ascii="Times New Roman" w:hAnsi="Times New Roman" w:cs="Times New Roman"/>
          <w:lang w:val="sr-Cyrl-RS"/>
        </w:rPr>
        <w:t xml:space="preserve"> усмерене на боље дефинисање односа националног и локалног нивоа (јасно утврђивање крајњег рока за давање сагласности, мишљења, усвајање акта или достављања информација које су потребне ЈЛС</w:t>
      </w:r>
      <w:r w:rsidR="0ADB4F92" w:rsidRPr="00226F9D">
        <w:rPr>
          <w:rFonts w:ascii="Times New Roman" w:hAnsi="Times New Roman" w:cs="Times New Roman"/>
          <w:lang w:val="sr-Cyrl-RS"/>
        </w:rPr>
        <w:t>,</w:t>
      </w:r>
      <w:r w:rsidR="1FFAEEDC" w:rsidRPr="00226F9D">
        <w:rPr>
          <w:rFonts w:ascii="Times New Roman" w:hAnsi="Times New Roman" w:cs="Times New Roman"/>
          <w:lang w:val="sr-Cyrl-RS"/>
        </w:rPr>
        <w:t xml:space="preserve"> а у </w:t>
      </w:r>
      <w:r w:rsidR="29DF8663" w:rsidRPr="00226F9D">
        <w:rPr>
          <w:rFonts w:ascii="Times New Roman" w:hAnsi="Times New Roman" w:cs="Times New Roman"/>
          <w:lang w:val="sr-Cyrl-RS"/>
        </w:rPr>
        <w:t>надлежности</w:t>
      </w:r>
      <w:r w:rsidR="1FFAEEDC" w:rsidRPr="00226F9D">
        <w:rPr>
          <w:rFonts w:ascii="Times New Roman" w:hAnsi="Times New Roman" w:cs="Times New Roman"/>
          <w:lang w:val="sr-Cyrl-RS"/>
        </w:rPr>
        <w:t xml:space="preserve"> су органа државне управе)</w:t>
      </w:r>
      <w:r w:rsidR="73D41804" w:rsidRPr="00226F9D">
        <w:rPr>
          <w:rFonts w:ascii="Times New Roman" w:hAnsi="Times New Roman" w:cs="Times New Roman"/>
          <w:lang w:val="sr-Cyrl-RS"/>
        </w:rPr>
        <w:t>,</w:t>
      </w:r>
      <w:r w:rsidR="1FFAEEDC" w:rsidRPr="00226F9D">
        <w:rPr>
          <w:rFonts w:ascii="Times New Roman" w:hAnsi="Times New Roman" w:cs="Times New Roman"/>
          <w:lang w:val="sr-Cyrl-RS"/>
        </w:rPr>
        <w:t xml:space="preserve"> као и на реформу положаја односно унапређења функција управних округа</w:t>
      </w:r>
      <w:r w:rsidRPr="00226F9D">
        <w:rPr>
          <w:rFonts w:ascii="Times New Roman" w:hAnsi="Times New Roman" w:cs="Times New Roman"/>
          <w:lang w:val="sr-Cyrl-RS"/>
        </w:rPr>
        <w:t>,</w:t>
      </w:r>
      <w:r w:rsidR="1FFAEEDC" w:rsidRPr="00226F9D">
        <w:rPr>
          <w:rFonts w:ascii="Times New Roman" w:hAnsi="Times New Roman" w:cs="Times New Roman"/>
          <w:lang w:val="sr-Cyrl-RS"/>
        </w:rPr>
        <w:t xml:space="preserve"> </w:t>
      </w:r>
      <w:r w:rsidRPr="00226F9D">
        <w:rPr>
          <w:rFonts w:ascii="Times New Roman" w:hAnsi="Times New Roman" w:cs="Times New Roman"/>
          <w:lang w:val="sr-Cyrl-RS"/>
        </w:rPr>
        <w:t>такође</w:t>
      </w:r>
      <w:r w:rsidR="1FFAEEDC" w:rsidRPr="00226F9D">
        <w:rPr>
          <w:rFonts w:ascii="Times New Roman" w:hAnsi="Times New Roman" w:cs="Times New Roman"/>
          <w:lang w:val="sr-Cyrl-RS"/>
        </w:rPr>
        <w:t xml:space="preserve"> нису остварене. Управни окрузи, </w:t>
      </w:r>
      <w:r w:rsidR="69D486EF" w:rsidRPr="00226F9D">
        <w:rPr>
          <w:rFonts w:ascii="Times New Roman" w:hAnsi="Times New Roman" w:cs="Times New Roman"/>
          <w:lang w:val="sr-Cyrl-RS"/>
        </w:rPr>
        <w:t>њих</w:t>
      </w:r>
      <w:r w:rsidR="1FFAEEDC" w:rsidRPr="00226F9D">
        <w:rPr>
          <w:rFonts w:ascii="Times New Roman" w:hAnsi="Times New Roman" w:cs="Times New Roman"/>
          <w:lang w:val="sr-Cyrl-RS"/>
        </w:rPr>
        <w:t xml:space="preserve"> 29, јесу административно-</w:t>
      </w:r>
      <w:r w:rsidR="35F77318" w:rsidRPr="00226F9D">
        <w:rPr>
          <w:rFonts w:ascii="Times New Roman" w:hAnsi="Times New Roman" w:cs="Times New Roman"/>
          <w:lang w:val="sr-Cyrl-RS"/>
        </w:rPr>
        <w:t>територијалне јединице које функционишу</w:t>
      </w:r>
      <w:r w:rsidR="1FFAEEDC" w:rsidRPr="00226F9D">
        <w:rPr>
          <w:rFonts w:ascii="Times New Roman" w:hAnsi="Times New Roman" w:cs="Times New Roman"/>
          <w:lang w:val="sr-Cyrl-RS"/>
        </w:rPr>
        <w:t xml:space="preserve"> дислоцирањем појединих службеника или организационих јединица органа државне управе у циљу њиховог приближавања датом подручју. </w:t>
      </w:r>
      <w:r w:rsidR="0C64FC9A" w:rsidRPr="00226F9D">
        <w:rPr>
          <w:rFonts w:ascii="Times New Roman" w:hAnsi="Times New Roman" w:cs="Times New Roman"/>
          <w:lang w:val="sr-Cyrl-RS"/>
        </w:rPr>
        <w:t>П</w:t>
      </w:r>
      <w:r w:rsidR="1FFAEEDC" w:rsidRPr="00226F9D">
        <w:rPr>
          <w:rFonts w:ascii="Times New Roman" w:hAnsi="Times New Roman" w:cs="Times New Roman"/>
          <w:lang w:val="sr-Cyrl-RS"/>
        </w:rPr>
        <w:t xml:space="preserve">отенцијал </w:t>
      </w:r>
      <w:r w:rsidR="0C64FC9A" w:rsidRPr="00226F9D">
        <w:rPr>
          <w:rFonts w:ascii="Times New Roman" w:hAnsi="Times New Roman" w:cs="Times New Roman"/>
          <w:lang w:val="sr-Cyrl-RS"/>
        </w:rPr>
        <w:t xml:space="preserve">управних округа </w:t>
      </w:r>
      <w:r w:rsidR="1FFAEEDC" w:rsidRPr="00226F9D">
        <w:rPr>
          <w:rFonts w:ascii="Times New Roman" w:hAnsi="Times New Roman" w:cs="Times New Roman"/>
          <w:lang w:val="sr-Cyrl-RS"/>
        </w:rPr>
        <w:t xml:space="preserve">недовољно се користи, јер би могли обављати и друге послове државне управе, као што су планирање, извршавање и координација, као и решавање у управним стварима. Постоје проблеми у координацији и извршавању деконцентрисаних послова од стране Владе, као и у координацији и надзору над пословима који су поверени ЈЛС на подручју округа. У </w:t>
      </w:r>
      <w:r w:rsidR="4E9B7695" w:rsidRPr="00226F9D">
        <w:rPr>
          <w:rFonts w:ascii="Times New Roman" w:hAnsi="Times New Roman" w:cs="Times New Roman"/>
          <w:i/>
          <w:iCs/>
          <w:lang w:val="sr-Cyrl-RS"/>
        </w:rPr>
        <w:t>еx</w:t>
      </w:r>
      <w:r w:rsidR="1FFAEEDC" w:rsidRPr="00226F9D">
        <w:rPr>
          <w:rFonts w:ascii="Times New Roman" w:hAnsi="Times New Roman" w:cs="Times New Roman"/>
          <w:i/>
          <w:iCs/>
          <w:lang w:val="sr-Cyrl-RS"/>
        </w:rPr>
        <w:t xml:space="preserve"> ante</w:t>
      </w:r>
      <w:r w:rsidR="1FFAEEDC" w:rsidRPr="00226F9D">
        <w:rPr>
          <w:rFonts w:ascii="Times New Roman" w:hAnsi="Times New Roman" w:cs="Times New Roman"/>
          <w:lang w:val="sr-Cyrl-RS"/>
        </w:rPr>
        <w:t xml:space="preserve"> анализи</w:t>
      </w:r>
      <w:r w:rsidR="007A2D9B" w:rsidRPr="00226F9D">
        <w:rPr>
          <w:rStyle w:val="FootnoteReference"/>
          <w:rFonts w:ascii="Times New Roman" w:hAnsi="Times New Roman" w:cs="Times New Roman"/>
          <w:lang w:val="sr-Cyrl-RS"/>
        </w:rPr>
        <w:footnoteReference w:id="38"/>
      </w:r>
      <w:r w:rsidR="1FFAEEDC" w:rsidRPr="00226F9D">
        <w:rPr>
          <w:rStyle w:val="FootnoteReference"/>
          <w:rFonts w:ascii="Times New Roman" w:hAnsi="Times New Roman" w:cs="Times New Roman"/>
          <w:lang w:val="sr-Cyrl-RS"/>
        </w:rPr>
        <w:t xml:space="preserve"> </w:t>
      </w:r>
      <w:r w:rsidR="14F2EE80" w:rsidRPr="00226F9D">
        <w:rPr>
          <w:rFonts w:ascii="Times New Roman" w:hAnsi="Times New Roman" w:cs="Times New Roman"/>
          <w:lang w:val="sr-Cyrl-RS"/>
        </w:rPr>
        <w:t>из</w:t>
      </w:r>
      <w:r w:rsidR="1FFAEEDC" w:rsidRPr="00226F9D">
        <w:rPr>
          <w:rFonts w:ascii="Times New Roman" w:hAnsi="Times New Roman" w:cs="Times New Roman"/>
          <w:lang w:val="sr-Cyrl-RS"/>
        </w:rPr>
        <w:t>рађеној са циљем проналажења оптималних решења за измене и допуне Закона о државној управи и Уредбе о управним окрузима, предложено је увођење додатних послова државне управе који би могли да се обављају у управним окрузима, зависно од природе послова које обављају министарства и други органи државне управе. Препоручује се јачање функције управних округа кроз обједињавања појединих послова на окружном нивоу и јачања координационе улоге округа у процесу успостављања међуопштинске сарадње. Такође, предлаже се јачање функције округа за спровођење надзора над пословима локалне самоуправе, посебно у вези са развојем националног система надзора и инспекција.</w:t>
      </w:r>
    </w:p>
    <w:p w14:paraId="44B2F882" w14:textId="77777777" w:rsidR="007A1CC5" w:rsidRPr="00226F9D" w:rsidRDefault="007A1CC5" w:rsidP="00090884">
      <w:pPr>
        <w:spacing w:after="0" w:line="240" w:lineRule="auto"/>
        <w:jc w:val="both"/>
        <w:rPr>
          <w:rFonts w:ascii="Times New Roman" w:hAnsi="Times New Roman" w:cs="Times New Roman"/>
          <w:lang w:val="sr-Cyrl-RS"/>
        </w:rPr>
      </w:pPr>
    </w:p>
    <w:p w14:paraId="375D3EC4" w14:textId="22293102" w:rsidR="007A2D9B" w:rsidRPr="00226F9D" w:rsidRDefault="4845CEB3"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Иако је значајан део системских изазова и даље присутан, током примене претходног Програма за реформу система локалне самоуправе, капацитети за примену принципа доброг управљања су у великој мери оснажени. Напори су усмерени и у правцу бољег сагледавања/мапирања стања у ЛС у различитим аспектима доброг управљања. Треба посебно навести да је значајан број пројеката на којима су сарађивали национални органи,</w:t>
      </w:r>
      <w:r w:rsidR="6EB38703" w:rsidRPr="00226F9D">
        <w:rPr>
          <w:rFonts w:ascii="Times New Roman" w:hAnsi="Times New Roman" w:cs="Times New Roman"/>
          <w:lang w:val="sr-Cyrl-RS"/>
        </w:rPr>
        <w:t xml:space="preserve"> </w:t>
      </w:r>
      <w:r w:rsidRPr="00226F9D">
        <w:rPr>
          <w:rFonts w:ascii="Times New Roman" w:hAnsi="Times New Roman" w:cs="Times New Roman"/>
          <w:lang w:val="sr-Cyrl-RS"/>
        </w:rPr>
        <w:t>локалне власти</w:t>
      </w:r>
      <w:r w:rsidR="6EB38703" w:rsidRPr="00226F9D">
        <w:rPr>
          <w:rFonts w:ascii="Times New Roman" w:hAnsi="Times New Roman" w:cs="Times New Roman"/>
          <w:lang w:val="sr-Cyrl-RS"/>
        </w:rPr>
        <w:t>, СКГО</w:t>
      </w:r>
      <w:r w:rsidRPr="00226F9D">
        <w:rPr>
          <w:rFonts w:ascii="Times New Roman" w:hAnsi="Times New Roman" w:cs="Times New Roman"/>
          <w:lang w:val="sr-Cyrl-RS"/>
        </w:rPr>
        <w:t xml:space="preserve"> и међународни партнери</w:t>
      </w:r>
      <w:r w:rsidR="636DC491" w:rsidRPr="00226F9D">
        <w:rPr>
          <w:rFonts w:ascii="Times New Roman" w:hAnsi="Times New Roman" w:cs="Times New Roman"/>
          <w:lang w:val="sr-Cyrl-RS"/>
        </w:rPr>
        <w:t>,</w:t>
      </w:r>
      <w:r w:rsidRPr="00226F9D">
        <w:rPr>
          <w:rFonts w:ascii="Times New Roman" w:hAnsi="Times New Roman" w:cs="Times New Roman"/>
          <w:lang w:val="sr-Cyrl-RS"/>
        </w:rPr>
        <w:t xml:space="preserve"> а који су спроведени у претходном периоду</w:t>
      </w:r>
      <w:r w:rsidR="1794E80D" w:rsidRPr="00226F9D">
        <w:rPr>
          <w:rFonts w:ascii="Times New Roman" w:hAnsi="Times New Roman" w:cs="Times New Roman"/>
          <w:lang w:val="sr-Cyrl-RS"/>
        </w:rPr>
        <w:t>,</w:t>
      </w:r>
      <w:r w:rsidRPr="00226F9D">
        <w:rPr>
          <w:rFonts w:ascii="Times New Roman" w:hAnsi="Times New Roman" w:cs="Times New Roman"/>
          <w:lang w:val="sr-Cyrl-RS"/>
        </w:rPr>
        <w:t xml:space="preserve"> у мањој или већој мери ради</w:t>
      </w:r>
      <w:r w:rsidR="14303410" w:rsidRPr="00226F9D">
        <w:rPr>
          <w:rFonts w:ascii="Times New Roman" w:hAnsi="Times New Roman" w:cs="Times New Roman"/>
          <w:lang w:val="sr-Cyrl-RS"/>
        </w:rPr>
        <w:t>о</w:t>
      </w:r>
      <w:r w:rsidRPr="00226F9D">
        <w:rPr>
          <w:rFonts w:ascii="Times New Roman" w:hAnsi="Times New Roman" w:cs="Times New Roman"/>
          <w:lang w:val="sr-Cyrl-RS"/>
        </w:rPr>
        <w:t xml:space="preserve"> на оснаживању доброг управљања на локалном нивоу. У оквиру </w:t>
      </w:r>
      <w:r w:rsidR="0C6E5784" w:rsidRPr="00226F9D">
        <w:rPr>
          <w:rFonts w:ascii="Times New Roman" w:hAnsi="Times New Roman" w:cs="Times New Roman"/>
          <w:lang w:val="sr-Cyrl-RS"/>
        </w:rPr>
        <w:t>Програм</w:t>
      </w:r>
      <w:r w:rsidR="0C6E5784" w:rsidRPr="00226F9D">
        <w:rPr>
          <w:rFonts w:ascii="Times New Roman" w:hAnsi="Times New Roman" w:cs="Times New Roman"/>
          <w:lang w:val="en-GB"/>
        </w:rPr>
        <w:t>a</w:t>
      </w:r>
      <w:r w:rsidR="0C6E5784" w:rsidRPr="00226F9D">
        <w:rPr>
          <w:rFonts w:ascii="Times New Roman" w:hAnsi="Times New Roman" w:cs="Times New Roman"/>
          <w:lang w:val="sr-Cyrl-RS"/>
        </w:rPr>
        <w:t xml:space="preserve"> „Подршка Владе Швајцарске развоју општина кроз унапређење доброг управљања и социјалне укључености</w:t>
      </w:r>
      <w:r w:rsidRPr="00226F9D">
        <w:rPr>
          <w:rFonts w:ascii="Times New Roman" w:hAnsi="Times New Roman" w:cs="Times New Roman"/>
          <w:lang w:val="sr-Cyrl-RS"/>
        </w:rPr>
        <w:t xml:space="preserve"> – SWISS PR</w:t>
      </w:r>
      <w:r w:rsidR="6AFBEBA0" w:rsidRPr="00226F9D">
        <w:rPr>
          <w:rFonts w:ascii="Times New Roman" w:hAnsi="Times New Roman" w:cs="Times New Roman"/>
          <w:lang w:val="sr-Latn-RS"/>
        </w:rPr>
        <w:t>O</w:t>
      </w:r>
      <w:r w:rsidR="0C6E5784" w:rsidRPr="00226F9D">
        <w:rPr>
          <w:rFonts w:ascii="Times New Roman" w:hAnsi="Times New Roman" w:cs="Times New Roman"/>
          <w:lang w:val="sr-Cyrl-RS"/>
        </w:rPr>
        <w:t>”</w:t>
      </w:r>
      <w:r w:rsidRPr="00226F9D">
        <w:rPr>
          <w:rFonts w:ascii="Times New Roman" w:hAnsi="Times New Roman" w:cs="Times New Roman"/>
          <w:lang w:val="sr-Cyrl-RS"/>
        </w:rPr>
        <w:t xml:space="preserve">, као </w:t>
      </w:r>
      <w:r w:rsidR="2AC1D040" w:rsidRPr="00226F9D">
        <w:rPr>
          <w:rFonts w:ascii="Times New Roman" w:hAnsi="Times New Roman" w:cs="Times New Roman"/>
          <w:lang w:val="sr-Cyrl-RS"/>
        </w:rPr>
        <w:t>и кроз Програм</w:t>
      </w:r>
      <w:r w:rsidRPr="00226F9D">
        <w:rPr>
          <w:rFonts w:ascii="Times New Roman" w:hAnsi="Times New Roman" w:cs="Times New Roman"/>
          <w:lang w:val="sr-Cyrl-RS"/>
        </w:rPr>
        <w:t xml:space="preserve"> EU Еxchange 6, посебно се радило на </w:t>
      </w:r>
      <w:r w:rsidR="3074A66D" w:rsidRPr="00226F9D">
        <w:rPr>
          <w:rFonts w:ascii="Times New Roman" w:hAnsi="Times New Roman" w:cs="Times New Roman"/>
          <w:lang w:val="sr-Cyrl-RS"/>
        </w:rPr>
        <w:t xml:space="preserve">јачању знања </w:t>
      </w:r>
      <w:r w:rsidR="0F25C636" w:rsidRPr="00226F9D">
        <w:rPr>
          <w:rFonts w:ascii="Times New Roman" w:hAnsi="Times New Roman" w:cs="Times New Roman"/>
          <w:lang w:val="sr-Cyrl-RS"/>
        </w:rPr>
        <w:t xml:space="preserve">запослених </w:t>
      </w:r>
      <w:r w:rsidR="545B8EAF" w:rsidRPr="00226F9D">
        <w:rPr>
          <w:rFonts w:ascii="Times New Roman" w:hAnsi="Times New Roman" w:cs="Times New Roman"/>
          <w:lang w:val="sr-Cyrl-RS"/>
        </w:rPr>
        <w:t xml:space="preserve">и унапређењу процедура </w:t>
      </w:r>
      <w:r w:rsidR="5A27C859" w:rsidRPr="00226F9D">
        <w:rPr>
          <w:rFonts w:ascii="Times New Roman" w:hAnsi="Times New Roman" w:cs="Times New Roman"/>
          <w:lang w:val="sr-Cyrl-RS"/>
        </w:rPr>
        <w:t xml:space="preserve">и пракси </w:t>
      </w:r>
      <w:r w:rsidR="7F9DDF47" w:rsidRPr="00226F9D">
        <w:rPr>
          <w:rFonts w:ascii="Times New Roman" w:hAnsi="Times New Roman" w:cs="Times New Roman"/>
          <w:lang w:val="sr-Cyrl-RS"/>
        </w:rPr>
        <w:t xml:space="preserve">у локалним самоуправама за </w:t>
      </w:r>
      <w:r w:rsidR="0F25C636" w:rsidRPr="00226F9D">
        <w:rPr>
          <w:rFonts w:ascii="Times New Roman" w:hAnsi="Times New Roman" w:cs="Times New Roman"/>
          <w:lang w:val="sr-Cyrl-RS"/>
        </w:rPr>
        <w:t xml:space="preserve">примену начела </w:t>
      </w:r>
      <w:r w:rsidR="7F9DDF47" w:rsidRPr="00226F9D">
        <w:rPr>
          <w:rFonts w:ascii="Times New Roman" w:hAnsi="Times New Roman" w:cs="Times New Roman"/>
          <w:lang w:val="sr-Cyrl-RS"/>
        </w:rPr>
        <w:t>добро</w:t>
      </w:r>
      <w:r w:rsidR="5A27C859" w:rsidRPr="00226F9D">
        <w:rPr>
          <w:rFonts w:ascii="Times New Roman" w:hAnsi="Times New Roman" w:cs="Times New Roman"/>
          <w:lang w:val="sr-Cyrl-RS"/>
        </w:rPr>
        <w:t>г</w:t>
      </w:r>
      <w:r w:rsidR="7F9DDF47" w:rsidRPr="00226F9D">
        <w:rPr>
          <w:rFonts w:ascii="Times New Roman" w:hAnsi="Times New Roman" w:cs="Times New Roman"/>
          <w:lang w:val="sr-Cyrl-RS"/>
        </w:rPr>
        <w:t xml:space="preserve"> управљањ</w:t>
      </w:r>
      <w:r w:rsidR="5A27C859" w:rsidRPr="00226F9D">
        <w:rPr>
          <w:rFonts w:ascii="Times New Roman" w:hAnsi="Times New Roman" w:cs="Times New Roman"/>
          <w:lang w:val="sr-Cyrl-RS"/>
        </w:rPr>
        <w:t>а</w:t>
      </w:r>
      <w:r w:rsidR="57C8A624" w:rsidRPr="00226F9D">
        <w:rPr>
          <w:rFonts w:ascii="Times New Roman" w:hAnsi="Times New Roman" w:cs="Times New Roman"/>
          <w:lang w:val="sr-Cyrl-RS"/>
        </w:rPr>
        <w:t xml:space="preserve"> у различит</w:t>
      </w:r>
      <w:r w:rsidR="5A27C859" w:rsidRPr="00226F9D">
        <w:rPr>
          <w:rFonts w:ascii="Times New Roman" w:hAnsi="Times New Roman" w:cs="Times New Roman"/>
          <w:lang w:val="sr-Cyrl-RS"/>
        </w:rPr>
        <w:t>и</w:t>
      </w:r>
      <w:r w:rsidR="57C8A624" w:rsidRPr="00226F9D">
        <w:rPr>
          <w:rFonts w:ascii="Times New Roman" w:hAnsi="Times New Roman" w:cs="Times New Roman"/>
          <w:lang w:val="sr-Cyrl-RS"/>
        </w:rPr>
        <w:t>м обл</w:t>
      </w:r>
      <w:r w:rsidR="5A27C859" w:rsidRPr="00226F9D">
        <w:rPr>
          <w:rFonts w:ascii="Times New Roman" w:hAnsi="Times New Roman" w:cs="Times New Roman"/>
          <w:lang w:val="sr-Cyrl-RS"/>
        </w:rPr>
        <w:t>а</w:t>
      </w:r>
      <w:r w:rsidR="57C8A624" w:rsidRPr="00226F9D">
        <w:rPr>
          <w:rFonts w:ascii="Times New Roman" w:hAnsi="Times New Roman" w:cs="Times New Roman"/>
          <w:lang w:val="sr-Cyrl-RS"/>
        </w:rPr>
        <w:t>стима</w:t>
      </w:r>
      <w:r w:rsidR="5877FDD7" w:rsidRPr="00226F9D">
        <w:rPr>
          <w:rFonts w:ascii="Times New Roman" w:hAnsi="Times New Roman" w:cs="Times New Roman"/>
          <w:lang w:val="sr-Cyrl-RS"/>
        </w:rPr>
        <w:t>. П</w:t>
      </w:r>
      <w:r w:rsidR="46EE94DB" w:rsidRPr="00226F9D">
        <w:rPr>
          <w:rFonts w:ascii="Times New Roman" w:hAnsi="Times New Roman" w:cs="Times New Roman"/>
          <w:lang w:val="sr-Cyrl-RS"/>
        </w:rPr>
        <w:t xml:space="preserve">ажња је посвећена </w:t>
      </w:r>
      <w:r w:rsidRPr="00226F9D">
        <w:rPr>
          <w:rFonts w:ascii="Times New Roman" w:hAnsi="Times New Roman" w:cs="Times New Roman"/>
          <w:lang w:val="sr-Cyrl-RS"/>
        </w:rPr>
        <w:t>унапређењ</w:t>
      </w:r>
      <w:r w:rsidR="07F732C3" w:rsidRPr="00226F9D">
        <w:rPr>
          <w:rFonts w:ascii="Times New Roman" w:hAnsi="Times New Roman" w:cs="Times New Roman"/>
          <w:lang w:val="sr-Cyrl-RS"/>
        </w:rPr>
        <w:t>у</w:t>
      </w:r>
      <w:r w:rsidRPr="00226F9D">
        <w:rPr>
          <w:rFonts w:ascii="Times New Roman" w:hAnsi="Times New Roman" w:cs="Times New Roman"/>
          <w:lang w:val="sr-Cyrl-RS"/>
        </w:rPr>
        <w:t xml:space="preserve"> </w:t>
      </w:r>
      <w:r w:rsidR="7A072A82" w:rsidRPr="00226F9D">
        <w:rPr>
          <w:rFonts w:ascii="Times New Roman" w:hAnsi="Times New Roman" w:cs="Times New Roman"/>
          <w:lang w:val="sr-Cyrl-RS"/>
        </w:rPr>
        <w:t>процеса планирања</w:t>
      </w:r>
      <w:r w:rsidR="0AA7A054" w:rsidRPr="00226F9D">
        <w:rPr>
          <w:rFonts w:ascii="Times New Roman" w:hAnsi="Times New Roman" w:cs="Times New Roman"/>
          <w:lang w:val="sr-Cyrl-RS"/>
        </w:rPr>
        <w:t xml:space="preserve"> </w:t>
      </w:r>
      <w:r w:rsidR="22CECBE3" w:rsidRPr="00226F9D">
        <w:rPr>
          <w:rFonts w:ascii="Times New Roman" w:hAnsi="Times New Roman" w:cs="Times New Roman"/>
          <w:lang w:val="sr-Cyrl-RS"/>
        </w:rPr>
        <w:t>и доношења докумената јавних политика</w:t>
      </w:r>
      <w:r w:rsidR="20A9BE82" w:rsidRPr="00226F9D">
        <w:rPr>
          <w:rFonts w:ascii="Times New Roman" w:hAnsi="Times New Roman" w:cs="Times New Roman"/>
          <w:lang w:val="sr-Cyrl-RS"/>
        </w:rPr>
        <w:t>,</w:t>
      </w:r>
      <w:r w:rsidR="22CECBE3" w:rsidRPr="00226F9D">
        <w:rPr>
          <w:rFonts w:ascii="Times New Roman" w:hAnsi="Times New Roman" w:cs="Times New Roman"/>
          <w:lang w:val="sr-Cyrl-RS"/>
        </w:rPr>
        <w:t xml:space="preserve"> као </w:t>
      </w:r>
      <w:r w:rsidR="0AA7A054" w:rsidRPr="00226F9D">
        <w:rPr>
          <w:rFonts w:ascii="Times New Roman" w:hAnsi="Times New Roman" w:cs="Times New Roman"/>
          <w:lang w:val="sr-Cyrl-RS"/>
        </w:rPr>
        <w:t>и</w:t>
      </w:r>
      <w:r w:rsidR="7A072A82" w:rsidRPr="00226F9D">
        <w:rPr>
          <w:rFonts w:ascii="Times New Roman" w:hAnsi="Times New Roman" w:cs="Times New Roman"/>
          <w:lang w:val="sr-Cyrl-RS"/>
        </w:rPr>
        <w:t xml:space="preserve"> </w:t>
      </w:r>
      <w:r w:rsidR="0AA7A054" w:rsidRPr="00226F9D">
        <w:rPr>
          <w:rFonts w:ascii="Times New Roman" w:hAnsi="Times New Roman" w:cs="Times New Roman"/>
          <w:lang w:val="sr-Cyrl-RS"/>
        </w:rPr>
        <w:t>процеса</w:t>
      </w:r>
      <w:r w:rsidRPr="00226F9D">
        <w:rPr>
          <w:rFonts w:ascii="Times New Roman" w:hAnsi="Times New Roman" w:cs="Times New Roman"/>
          <w:lang w:val="sr-Cyrl-RS"/>
        </w:rPr>
        <w:t xml:space="preserve"> управљања локалним јавним финансијама, стварањ</w:t>
      </w:r>
      <w:r w:rsidR="144733D4" w:rsidRPr="00226F9D">
        <w:rPr>
          <w:rFonts w:ascii="Times New Roman" w:hAnsi="Times New Roman" w:cs="Times New Roman"/>
          <w:lang w:val="sr-Cyrl-RS"/>
        </w:rPr>
        <w:t>у</w:t>
      </w:r>
      <w:r w:rsidRPr="00226F9D">
        <w:rPr>
          <w:rFonts w:ascii="Times New Roman" w:hAnsi="Times New Roman" w:cs="Times New Roman"/>
          <w:lang w:val="sr-Cyrl-RS"/>
        </w:rPr>
        <w:t xml:space="preserve"> окружења које омогућава учвршћивање и побољшање одговорности и владавине права, транспарентност</w:t>
      </w:r>
      <w:r w:rsidR="160BF95C" w:rsidRPr="00226F9D">
        <w:rPr>
          <w:rFonts w:ascii="Times New Roman" w:hAnsi="Times New Roman" w:cs="Times New Roman"/>
          <w:lang w:val="sr-Cyrl-RS"/>
        </w:rPr>
        <w:t>и</w:t>
      </w:r>
      <w:r w:rsidRPr="00226F9D">
        <w:rPr>
          <w:rFonts w:ascii="Times New Roman" w:hAnsi="Times New Roman" w:cs="Times New Roman"/>
          <w:lang w:val="sr-Cyrl-RS"/>
        </w:rPr>
        <w:t xml:space="preserve"> у вршењу јавних дужности и веће</w:t>
      </w:r>
      <w:r w:rsidR="7311474F" w:rsidRPr="00226F9D">
        <w:rPr>
          <w:rFonts w:ascii="Times New Roman" w:hAnsi="Times New Roman" w:cs="Times New Roman"/>
          <w:lang w:val="sr-Cyrl-RS"/>
        </w:rPr>
        <w:t>г</w:t>
      </w:r>
      <w:r w:rsidRPr="00226F9D">
        <w:rPr>
          <w:rFonts w:ascii="Times New Roman" w:hAnsi="Times New Roman" w:cs="Times New Roman"/>
          <w:lang w:val="sr-Cyrl-RS"/>
        </w:rPr>
        <w:t xml:space="preserve"> учешћ</w:t>
      </w:r>
      <w:r w:rsidR="7311474F" w:rsidRPr="00226F9D">
        <w:rPr>
          <w:rFonts w:ascii="Times New Roman" w:hAnsi="Times New Roman" w:cs="Times New Roman"/>
          <w:lang w:val="sr-Cyrl-RS"/>
        </w:rPr>
        <w:t>а</w:t>
      </w:r>
      <w:r w:rsidRPr="00226F9D">
        <w:rPr>
          <w:rFonts w:ascii="Times New Roman" w:hAnsi="Times New Roman" w:cs="Times New Roman"/>
          <w:lang w:val="sr-Cyrl-RS"/>
        </w:rPr>
        <w:t xml:space="preserve"> јавности у јавним политикама и процесима одлучивања. </w:t>
      </w:r>
      <w:r w:rsidR="18EF047E" w:rsidRPr="00226F9D">
        <w:rPr>
          <w:rFonts w:ascii="Times New Roman" w:hAnsi="Times New Roman" w:cs="Times New Roman"/>
          <w:lang w:val="sr-Cyrl-RS"/>
        </w:rPr>
        <w:t>К</w:t>
      </w:r>
      <w:r w:rsidR="0DBFFB9A" w:rsidRPr="00226F9D">
        <w:rPr>
          <w:rFonts w:ascii="Times New Roman" w:hAnsi="Times New Roman" w:cs="Times New Roman"/>
          <w:lang w:val="sr-Cyrl-RS"/>
        </w:rPr>
        <w:t xml:space="preserve">роз </w:t>
      </w:r>
      <w:r w:rsidR="30047711" w:rsidRPr="00226F9D">
        <w:rPr>
          <w:rFonts w:ascii="Times New Roman" w:hAnsi="Times New Roman" w:cs="Times New Roman"/>
          <w:lang w:val="sr-Cyrl-RS"/>
        </w:rPr>
        <w:t xml:space="preserve">обуке, моделе локалних аката и директну стручну подршку </w:t>
      </w:r>
      <w:r w:rsidR="3709F93E" w:rsidRPr="00226F9D">
        <w:rPr>
          <w:rFonts w:ascii="Times New Roman" w:hAnsi="Times New Roman" w:cs="Times New Roman"/>
          <w:lang w:val="sr-Cyrl-RS"/>
        </w:rPr>
        <w:t>локалним самоуправама радило се и на унапређењу административне ефикасности и делотворности,</w:t>
      </w:r>
      <w:r w:rsidR="7C5AB2D9" w:rsidRPr="00226F9D">
        <w:rPr>
          <w:rFonts w:ascii="Times New Roman" w:hAnsi="Times New Roman" w:cs="Times New Roman"/>
          <w:lang w:val="sr-Cyrl-RS"/>
        </w:rPr>
        <w:t xml:space="preserve"> уједначавању административног поступања</w:t>
      </w:r>
      <w:r w:rsidR="155E2EA9" w:rsidRPr="00226F9D">
        <w:rPr>
          <w:rFonts w:ascii="Times New Roman" w:hAnsi="Times New Roman" w:cs="Times New Roman"/>
          <w:lang w:val="sr-Cyrl-RS"/>
        </w:rPr>
        <w:t xml:space="preserve"> и</w:t>
      </w:r>
      <w:r w:rsidR="2B0ACD31" w:rsidRPr="00226F9D">
        <w:rPr>
          <w:rFonts w:ascii="Times New Roman" w:hAnsi="Times New Roman" w:cs="Times New Roman"/>
          <w:lang w:val="sr-Cyrl-RS"/>
        </w:rPr>
        <w:t xml:space="preserve"> </w:t>
      </w:r>
      <w:r w:rsidR="6E87DCEA" w:rsidRPr="00226F9D">
        <w:rPr>
          <w:rFonts w:ascii="Times New Roman" w:hAnsi="Times New Roman" w:cs="Times New Roman"/>
          <w:lang w:val="sr-Cyrl-RS"/>
        </w:rPr>
        <w:t xml:space="preserve">јачању </w:t>
      </w:r>
      <w:r w:rsidR="6506ECF7" w:rsidRPr="00226F9D">
        <w:rPr>
          <w:rFonts w:ascii="Times New Roman" w:hAnsi="Times New Roman" w:cs="Times New Roman"/>
          <w:lang w:val="sr-Cyrl-RS"/>
        </w:rPr>
        <w:t>локалних механизама за спречавање корупције</w:t>
      </w:r>
      <w:r w:rsidR="155E2EA9" w:rsidRPr="00226F9D">
        <w:rPr>
          <w:rFonts w:ascii="Times New Roman" w:hAnsi="Times New Roman" w:cs="Times New Roman"/>
          <w:lang w:val="sr-Cyrl-RS"/>
        </w:rPr>
        <w:t>.</w:t>
      </w:r>
      <w:r w:rsidR="3709F93E"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Ослањајући се на налазе </w:t>
      </w:r>
      <w:r w:rsidR="7D2AE73C" w:rsidRPr="00226F9D">
        <w:rPr>
          <w:rFonts w:ascii="Times New Roman" w:hAnsi="Times New Roman" w:cs="Times New Roman"/>
          <w:lang w:val="sr-Cyrl-RS"/>
        </w:rPr>
        <w:t>мерења</w:t>
      </w:r>
      <w:r w:rsidRPr="00226F9D">
        <w:rPr>
          <w:rFonts w:ascii="Times New Roman" w:hAnsi="Times New Roman" w:cs="Times New Roman"/>
          <w:lang w:val="sr-Cyrl-RS"/>
        </w:rPr>
        <w:t xml:space="preserve"> учинка </w:t>
      </w:r>
      <w:r w:rsidR="7D2AE73C" w:rsidRPr="00226F9D">
        <w:rPr>
          <w:rFonts w:ascii="Times New Roman" w:hAnsi="Times New Roman" w:cs="Times New Roman"/>
          <w:lang w:val="sr-Cyrl-RS"/>
        </w:rPr>
        <w:t>у области доброг управљања</w:t>
      </w:r>
      <w:r w:rsidRPr="00226F9D">
        <w:rPr>
          <w:rFonts w:ascii="Times New Roman" w:hAnsi="Times New Roman" w:cs="Times New Roman"/>
          <w:lang w:val="sr-Cyrl-RS"/>
        </w:rPr>
        <w:t xml:space="preserve"> и констатоване потребе ЛС, СКГО </w:t>
      </w:r>
      <w:r w:rsidR="6A593D10" w:rsidRPr="00226F9D">
        <w:rPr>
          <w:rFonts w:ascii="Times New Roman" w:hAnsi="Times New Roman" w:cs="Times New Roman"/>
          <w:lang w:val="sr-Cyrl-RS"/>
        </w:rPr>
        <w:t>с</w:t>
      </w:r>
      <w:r w:rsidRPr="00226F9D">
        <w:rPr>
          <w:rFonts w:ascii="Times New Roman" w:hAnsi="Times New Roman" w:cs="Times New Roman"/>
          <w:lang w:val="sr-Cyrl-RS"/>
        </w:rPr>
        <w:t xml:space="preserve">е кроз пројекте које финансирају </w:t>
      </w:r>
      <w:r w:rsidR="66B62325" w:rsidRPr="00226F9D">
        <w:rPr>
          <w:rFonts w:ascii="Times New Roman" w:hAnsi="Times New Roman" w:cs="Times New Roman"/>
          <w:lang w:val="sr-Cyrl-RS"/>
        </w:rPr>
        <w:t>владе</w:t>
      </w:r>
      <w:r w:rsidRPr="00226F9D">
        <w:rPr>
          <w:rFonts w:ascii="Times New Roman" w:hAnsi="Times New Roman" w:cs="Times New Roman"/>
          <w:lang w:val="sr-Cyrl-RS"/>
        </w:rPr>
        <w:t xml:space="preserve"> Швајцарске и Шведске, посебно бавила аспектима родне равноправности </w:t>
      </w:r>
      <w:r w:rsidRPr="00226F9D">
        <w:rPr>
          <w:rFonts w:ascii="Times New Roman" w:hAnsi="Times New Roman" w:cs="Times New Roman"/>
          <w:lang w:val="sr-Cyrl-RS"/>
        </w:rPr>
        <w:lastRenderedPageBreak/>
        <w:t xml:space="preserve">и подржавала бројне активности и изградње капацитета локалне самоуправе за добро управљање. </w:t>
      </w:r>
      <w:r w:rsidR="6A593D10" w:rsidRPr="00226F9D">
        <w:rPr>
          <w:rFonts w:ascii="Times New Roman" w:hAnsi="Times New Roman" w:cs="Times New Roman"/>
          <w:lang w:val="sr-Cyrl-RS"/>
        </w:rPr>
        <w:t>Уз</w:t>
      </w:r>
      <w:r w:rsidRPr="00226F9D">
        <w:rPr>
          <w:rFonts w:ascii="Times New Roman" w:hAnsi="Times New Roman" w:cs="Times New Roman"/>
          <w:lang w:val="sr-Cyrl-RS"/>
        </w:rPr>
        <w:t xml:space="preserve"> подршку Владе Швајцарске и у сарадњи са ОЕБС-ом, </w:t>
      </w:r>
      <w:r w:rsidR="7C02B130" w:rsidRPr="00226F9D">
        <w:rPr>
          <w:rFonts w:ascii="Times New Roman" w:hAnsi="Times New Roman" w:cs="Times New Roman"/>
          <w:lang w:val="sr-Cyrl-RS"/>
        </w:rPr>
        <w:t>подржана је</w:t>
      </w:r>
      <w:r w:rsidRPr="00226F9D">
        <w:rPr>
          <w:rFonts w:ascii="Times New Roman" w:hAnsi="Times New Roman" w:cs="Times New Roman"/>
          <w:lang w:val="sr-Cyrl-RS"/>
        </w:rPr>
        <w:t xml:space="preserve"> примен</w:t>
      </w:r>
      <w:r w:rsidR="4A572385" w:rsidRPr="00226F9D">
        <w:rPr>
          <w:rFonts w:ascii="Times New Roman" w:hAnsi="Times New Roman" w:cs="Times New Roman"/>
          <w:lang w:val="sr-Cyrl-RS"/>
        </w:rPr>
        <w:t>а</w:t>
      </w:r>
      <w:r w:rsidRPr="00226F9D">
        <w:rPr>
          <w:rFonts w:ascii="Times New Roman" w:hAnsi="Times New Roman" w:cs="Times New Roman"/>
          <w:lang w:val="sr-Cyrl-RS"/>
        </w:rPr>
        <w:t xml:space="preserve"> новог Етичког кодекса </w:t>
      </w:r>
      <w:r w:rsidR="351CAF2A" w:rsidRPr="00226F9D">
        <w:rPr>
          <w:rFonts w:ascii="Times New Roman" w:hAnsi="Times New Roman" w:cs="Times New Roman"/>
          <w:lang w:val="sr-Cyrl-RS"/>
        </w:rPr>
        <w:t>функционера локалне самоуправе</w:t>
      </w:r>
      <w:r w:rsidR="2E34C71D" w:rsidRPr="00226F9D">
        <w:rPr>
          <w:rFonts w:ascii="Times New Roman" w:hAnsi="Times New Roman" w:cs="Times New Roman"/>
          <w:lang w:val="sr-Cyrl-RS"/>
        </w:rPr>
        <w:t>,</w:t>
      </w:r>
      <w:r w:rsidRPr="00226F9D">
        <w:rPr>
          <w:rFonts w:ascii="Times New Roman" w:hAnsi="Times New Roman" w:cs="Times New Roman"/>
          <w:lang w:val="sr-Cyrl-RS"/>
        </w:rPr>
        <w:t xml:space="preserve"> који је усвојен 2019.</w:t>
      </w:r>
      <w:r w:rsidR="45AB9B0A"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године са циљем да на бољи начин уреди ово питање у односу на </w:t>
      </w:r>
      <w:r w:rsidR="77D8D93E" w:rsidRPr="00226F9D">
        <w:rPr>
          <w:rFonts w:ascii="Times New Roman" w:hAnsi="Times New Roman" w:cs="Times New Roman"/>
          <w:lang w:val="sr-Cyrl-RS"/>
        </w:rPr>
        <w:t xml:space="preserve">ранији </w:t>
      </w:r>
      <w:r w:rsidR="45AB9B0A" w:rsidRPr="00226F9D">
        <w:rPr>
          <w:rFonts w:ascii="Times New Roman" w:hAnsi="Times New Roman" w:cs="Times New Roman"/>
          <w:lang w:val="sr-Cyrl-RS"/>
        </w:rPr>
        <w:t>Етичк</w:t>
      </w:r>
      <w:r w:rsidR="16F05079" w:rsidRPr="00226F9D">
        <w:rPr>
          <w:rFonts w:ascii="Times New Roman" w:hAnsi="Times New Roman" w:cs="Times New Roman"/>
          <w:lang w:val="sr-Cyrl-RS"/>
        </w:rPr>
        <w:t>и</w:t>
      </w:r>
      <w:r w:rsidR="45AB9B0A"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кодекс </w:t>
      </w:r>
      <w:r w:rsidR="16F05079" w:rsidRPr="00226F9D">
        <w:rPr>
          <w:rFonts w:ascii="Times New Roman" w:hAnsi="Times New Roman" w:cs="Times New Roman"/>
          <w:lang w:val="sr-Cyrl-RS"/>
        </w:rPr>
        <w:t>понашањ</w:t>
      </w:r>
      <w:r w:rsidR="45AB9B0A" w:rsidRPr="00226F9D">
        <w:rPr>
          <w:rFonts w:ascii="Times New Roman" w:hAnsi="Times New Roman" w:cs="Times New Roman"/>
          <w:lang w:val="sr-Cyrl-RS"/>
        </w:rPr>
        <w:t xml:space="preserve">а функционера локалне самоуправе </w:t>
      </w:r>
      <w:r w:rsidRPr="00226F9D">
        <w:rPr>
          <w:rFonts w:ascii="Times New Roman" w:hAnsi="Times New Roman" w:cs="Times New Roman"/>
          <w:lang w:val="sr-Cyrl-RS"/>
        </w:rPr>
        <w:t>и</w:t>
      </w:r>
      <w:r w:rsidR="16F05079" w:rsidRPr="00226F9D">
        <w:rPr>
          <w:rFonts w:ascii="Times New Roman" w:hAnsi="Times New Roman" w:cs="Times New Roman"/>
          <w:lang w:val="sr-Cyrl-RS"/>
        </w:rPr>
        <w:t>з 2004. године</w:t>
      </w:r>
      <w:r w:rsidRPr="00226F9D">
        <w:rPr>
          <w:rFonts w:ascii="Times New Roman" w:hAnsi="Times New Roman" w:cs="Times New Roman"/>
          <w:lang w:val="sr-Cyrl-RS"/>
        </w:rPr>
        <w:t xml:space="preserve">. </w:t>
      </w:r>
      <w:r w:rsidR="008E5870" w:rsidRPr="00226F9D">
        <w:rPr>
          <w:rFonts w:ascii="Times New Roman" w:hAnsi="Times New Roman" w:cs="Times New Roman"/>
          <w:lang w:val="sr-Cyrl-RS"/>
        </w:rPr>
        <w:t xml:space="preserve">Премда је </w:t>
      </w:r>
      <w:r w:rsidR="003A6EEC" w:rsidRPr="00226F9D">
        <w:rPr>
          <w:rFonts w:ascii="Times New Roman" w:hAnsi="Times New Roman" w:cs="Times New Roman"/>
          <w:lang w:val="sr-Cyrl-RS"/>
        </w:rPr>
        <w:t>иницијални/</w:t>
      </w:r>
      <w:r w:rsidR="00236A2D" w:rsidRPr="00226F9D">
        <w:rPr>
          <w:rFonts w:ascii="Times New Roman" w:hAnsi="Times New Roman" w:cs="Times New Roman"/>
          <w:lang w:val="sr-Cyrl-RS"/>
        </w:rPr>
        <w:t xml:space="preserve">претходни кодекс </w:t>
      </w:r>
      <w:r w:rsidR="003A6EEC" w:rsidRPr="00226F9D">
        <w:rPr>
          <w:rFonts w:ascii="Times New Roman" w:hAnsi="Times New Roman" w:cs="Times New Roman"/>
          <w:lang w:val="sr-Cyrl-RS"/>
        </w:rPr>
        <w:t>усвојила већина градова и општина, б</w:t>
      </w:r>
      <w:r w:rsidRPr="00226F9D">
        <w:rPr>
          <w:rFonts w:ascii="Times New Roman" w:hAnsi="Times New Roman" w:cs="Times New Roman"/>
          <w:lang w:val="sr-Cyrl-RS"/>
        </w:rPr>
        <w:t xml:space="preserve">рој ЈЛС </w:t>
      </w:r>
      <w:r w:rsidR="351CAF2A" w:rsidRPr="00226F9D">
        <w:rPr>
          <w:rFonts w:ascii="Times New Roman" w:hAnsi="Times New Roman" w:cs="Times New Roman"/>
          <w:lang w:val="sr-Cyrl-RS"/>
        </w:rPr>
        <w:t xml:space="preserve">и градских општина </w:t>
      </w:r>
      <w:r w:rsidRPr="00226F9D">
        <w:rPr>
          <w:rFonts w:ascii="Times New Roman" w:hAnsi="Times New Roman" w:cs="Times New Roman"/>
          <w:lang w:val="sr-Cyrl-RS"/>
        </w:rPr>
        <w:t xml:space="preserve">које су усвојиле нови кодекс </w:t>
      </w:r>
      <w:r w:rsidR="00F305D6" w:rsidRPr="00226F9D">
        <w:rPr>
          <w:rFonts w:ascii="Times New Roman" w:hAnsi="Times New Roman" w:cs="Times New Roman"/>
          <w:lang w:val="sr-Cyrl-RS"/>
        </w:rPr>
        <w:t>релатив</w:t>
      </w:r>
      <w:r w:rsidRPr="00226F9D">
        <w:rPr>
          <w:rFonts w:ascii="Times New Roman" w:hAnsi="Times New Roman" w:cs="Times New Roman"/>
          <w:lang w:val="sr-Cyrl-RS"/>
        </w:rPr>
        <w:t xml:space="preserve">но </w:t>
      </w:r>
      <w:r w:rsidR="00F305D6" w:rsidRPr="00226F9D">
        <w:rPr>
          <w:rFonts w:ascii="Times New Roman" w:hAnsi="Times New Roman" w:cs="Times New Roman"/>
          <w:lang w:val="sr-Cyrl-RS"/>
        </w:rPr>
        <w:t>споро се повећава, будући да</w:t>
      </w:r>
      <w:r w:rsidRPr="00226F9D">
        <w:rPr>
          <w:rFonts w:ascii="Times New Roman" w:hAnsi="Times New Roman" w:cs="Times New Roman"/>
          <w:lang w:val="sr-Cyrl-RS"/>
        </w:rPr>
        <w:t xml:space="preserve"> </w:t>
      </w:r>
      <w:r w:rsidR="0142B029" w:rsidRPr="00226F9D">
        <w:rPr>
          <w:rFonts w:ascii="Times New Roman" w:hAnsi="Times New Roman" w:cs="Times New Roman"/>
          <w:lang w:val="sr-Cyrl-RS"/>
        </w:rPr>
        <w:t xml:space="preserve">и </w:t>
      </w:r>
      <w:r w:rsidRPr="00226F9D">
        <w:rPr>
          <w:rFonts w:ascii="Times New Roman" w:hAnsi="Times New Roman" w:cs="Times New Roman"/>
          <w:lang w:val="sr-Cyrl-RS"/>
        </w:rPr>
        <w:t xml:space="preserve">даље око </w:t>
      </w:r>
      <w:r w:rsidR="158B80B4" w:rsidRPr="00226F9D">
        <w:rPr>
          <w:rFonts w:ascii="Times New Roman" w:hAnsi="Times New Roman" w:cs="Times New Roman"/>
          <w:lang w:val="sr-Cyrl-RS"/>
        </w:rPr>
        <w:t>две трећине тек треба то да учини.</w:t>
      </w:r>
      <w:r w:rsidR="007A2D9B" w:rsidRPr="00226F9D">
        <w:rPr>
          <w:rStyle w:val="FootnoteReference"/>
          <w:rFonts w:ascii="Times New Roman" w:hAnsi="Times New Roman" w:cs="Times New Roman"/>
          <w:lang w:val="sr-Cyrl-RS"/>
        </w:rPr>
        <w:footnoteReference w:id="39"/>
      </w:r>
      <w:r w:rsidRPr="00226F9D">
        <w:rPr>
          <w:rFonts w:ascii="Times New Roman" w:hAnsi="Times New Roman" w:cs="Times New Roman"/>
          <w:lang w:val="sr-Cyrl-RS"/>
        </w:rPr>
        <w:t xml:space="preserve"> У оквиру пројекта Реформа локалних финансија у Србији 3 (РЕЛОФ3)</w:t>
      </w:r>
      <w:r w:rsidR="3E92BB14" w:rsidRPr="00226F9D">
        <w:rPr>
          <w:rFonts w:ascii="Times New Roman" w:hAnsi="Times New Roman" w:cs="Times New Roman"/>
          <w:lang w:val="sr-Cyrl-RS"/>
        </w:rPr>
        <w:t>,</w:t>
      </w:r>
      <w:r w:rsidR="007A2D9B" w:rsidRPr="00226F9D">
        <w:rPr>
          <w:rStyle w:val="FootnoteReference"/>
          <w:rFonts w:ascii="Times New Roman" w:hAnsi="Times New Roman" w:cs="Times New Roman"/>
        </w:rPr>
        <w:footnoteReference w:id="40"/>
      </w:r>
      <w:r w:rsidRPr="00226F9D">
        <w:rPr>
          <w:rFonts w:ascii="Times New Roman" w:hAnsi="Times New Roman" w:cs="Times New Roman"/>
          <w:lang w:val="sr-Cyrl-RS"/>
        </w:rPr>
        <w:t xml:space="preserve"> који подржава Влада Швајцарске, пружена је техничка подршк</w:t>
      </w:r>
      <w:r w:rsidR="40FC986A" w:rsidRPr="00226F9D">
        <w:rPr>
          <w:rFonts w:ascii="Times New Roman" w:hAnsi="Times New Roman" w:cs="Times New Roman"/>
          <w:lang w:val="sr-Cyrl-RS"/>
        </w:rPr>
        <w:t>а</w:t>
      </w:r>
      <w:r w:rsidRPr="00226F9D">
        <w:rPr>
          <w:rFonts w:ascii="Times New Roman" w:hAnsi="Times New Roman" w:cs="Times New Roman"/>
          <w:lang w:val="sr-Cyrl-RS"/>
        </w:rPr>
        <w:t xml:space="preserve"> локалним самоуправама у</w:t>
      </w:r>
      <w:r w:rsidR="000E74DD" w:rsidRPr="00226F9D">
        <w:rPr>
          <w:rFonts w:ascii="Times New Roman" w:hAnsi="Times New Roman" w:cs="Times New Roman"/>
          <w:lang w:val="sr-Cyrl-RS"/>
        </w:rPr>
        <w:t xml:space="preserve"> </w:t>
      </w:r>
      <w:r w:rsidR="22EDDDCC" w:rsidRPr="00226F9D">
        <w:rPr>
          <w:rFonts w:ascii="Times New Roman" w:hAnsi="Times New Roman" w:cs="Times New Roman"/>
          <w:lang w:val="sr-Cyrl-RS"/>
        </w:rPr>
        <w:t>унапређењу</w:t>
      </w:r>
      <w:r w:rsidRPr="00226F9D">
        <w:rPr>
          <w:rFonts w:ascii="Times New Roman" w:hAnsi="Times New Roman" w:cs="Times New Roman"/>
          <w:lang w:val="sr-Cyrl-RS"/>
        </w:rPr>
        <w:t xml:space="preserve"> управљачке одговорности и јачања линија одговорности унутар система локалне самоуправе</w:t>
      </w:r>
      <w:r w:rsidR="22EDDDCC" w:rsidRPr="00226F9D">
        <w:rPr>
          <w:rFonts w:ascii="Times New Roman" w:hAnsi="Times New Roman" w:cs="Times New Roman"/>
          <w:lang w:val="sr-Cyrl-RS"/>
        </w:rPr>
        <w:t xml:space="preserve"> као основног принципа добре управе. Систем ЈЛС обухвата управу, предузећа у власништву ЈЛС и индиректне кориснике буџета којима је ЈЛС оснивач. РЕЛОФ3 је креирао</w:t>
      </w:r>
      <w:r w:rsidRPr="00226F9D">
        <w:rPr>
          <w:rFonts w:ascii="Times New Roman" w:hAnsi="Times New Roman" w:cs="Times New Roman"/>
          <w:lang w:val="sr-Cyrl-RS"/>
        </w:rPr>
        <w:t xml:space="preserve"> индекс управљачке одговорности </w:t>
      </w:r>
      <w:r w:rsidR="22EDDDCC" w:rsidRPr="00226F9D">
        <w:rPr>
          <w:rFonts w:ascii="Times New Roman" w:hAnsi="Times New Roman" w:cs="Times New Roman"/>
          <w:lang w:val="sr-Cyrl-RS"/>
        </w:rPr>
        <w:t xml:space="preserve">система ЈЛС (РЕЛОФ индекс) који је први глобални индекс за мерење примене добре праксе управљачке одговорности у јавној управи. РЕЛОФ индекс је тестиран у 10 ЈЛС, 88 ИБК и 45 јавних предузећа у Републици Србији, као и у једној швајцарској општини. Пројекат је подржао 9 ЈЛС (од планираних 5) у унапређењу организационе културе одговорности кроз унапређење Етичког кодекса, Плана интегритета и њихове пуне примене у пракси. Такође, РЕЛОФ3 је развио моделе Годишњег плана рада управе, Извештаја о спровођењу Годишњег плана рада управе, Плана учинка и Извештаја о учинку као основу за вредновање радне успешности руководилаца и службеника. У оквиру пројекта креиран је и модел надзора над субвенцијама и дотацијама. </w:t>
      </w:r>
      <w:r w:rsidRPr="00226F9D">
        <w:rPr>
          <w:rFonts w:ascii="Times New Roman" w:hAnsi="Times New Roman" w:cs="Times New Roman"/>
          <w:lang w:val="sr-Cyrl-RS"/>
        </w:rPr>
        <w:t xml:space="preserve"> </w:t>
      </w:r>
      <w:r w:rsidR="355320A1" w:rsidRPr="00226F9D">
        <w:rPr>
          <w:rFonts w:ascii="Times New Roman" w:hAnsi="Times New Roman" w:cs="Times New Roman"/>
          <w:lang w:val="sr-Cyrl-RS"/>
        </w:rPr>
        <w:t>Кроз</w:t>
      </w:r>
      <w:r w:rsidRPr="00226F9D">
        <w:rPr>
          <w:rFonts w:ascii="Times New Roman" w:hAnsi="Times New Roman" w:cs="Times New Roman"/>
          <w:lang w:val="sr-Cyrl-RS"/>
        </w:rPr>
        <w:t xml:space="preserve"> пројек</w:t>
      </w:r>
      <w:r w:rsidR="355320A1" w:rsidRPr="00226F9D">
        <w:rPr>
          <w:rFonts w:ascii="Times New Roman" w:hAnsi="Times New Roman" w:cs="Times New Roman"/>
          <w:lang w:val="sr-Cyrl-RS"/>
        </w:rPr>
        <w:t>ат</w:t>
      </w:r>
      <w:r w:rsidRPr="00226F9D">
        <w:rPr>
          <w:rFonts w:ascii="Times New Roman" w:hAnsi="Times New Roman" w:cs="Times New Roman"/>
          <w:lang w:val="sr-Cyrl-RS"/>
        </w:rPr>
        <w:t xml:space="preserve"> </w:t>
      </w:r>
      <w:r w:rsidR="7940FBB5" w:rsidRPr="00226F9D">
        <w:rPr>
          <w:rFonts w:ascii="Times New Roman" w:hAnsi="Times New Roman" w:cs="Times New Roman"/>
          <w:lang w:val="sr-Latn-RS"/>
        </w:rPr>
        <w:t>„</w:t>
      </w:r>
      <w:r w:rsidR="7940FBB5" w:rsidRPr="00226F9D">
        <w:rPr>
          <w:rFonts w:ascii="Times New Roman" w:hAnsi="Times New Roman" w:cs="Times New Roman"/>
          <w:lang w:val="sr-Cyrl-RS"/>
        </w:rPr>
        <w:t xml:space="preserve">Одговорне локалне финансије и укључивање </w:t>
      </w:r>
      <w:r w:rsidR="7D2539F3" w:rsidRPr="00226F9D">
        <w:rPr>
          <w:rFonts w:ascii="Times New Roman" w:hAnsi="Times New Roman" w:cs="Times New Roman"/>
          <w:lang w:val="sr-Cyrl-RS"/>
        </w:rPr>
        <w:t>грађана“</w:t>
      </w:r>
      <w:r w:rsidRPr="00226F9D">
        <w:rPr>
          <w:rFonts w:ascii="Times New Roman" w:hAnsi="Times New Roman" w:cs="Times New Roman"/>
          <w:lang w:val="sr-Cyrl-RS"/>
        </w:rPr>
        <w:t xml:space="preserve"> (МЕД3)</w:t>
      </w:r>
      <w:r w:rsidR="00316663" w:rsidRPr="00226F9D">
        <w:rPr>
          <w:rStyle w:val="FootnoteReference"/>
          <w:rFonts w:ascii="Times New Roman" w:hAnsi="Times New Roman" w:cs="Times New Roman"/>
          <w:lang w:val="sr-Cyrl-RS"/>
        </w:rPr>
        <w:footnoteReference w:id="41"/>
      </w:r>
      <w:r w:rsidR="16F0D0AD" w:rsidRPr="00226F9D">
        <w:rPr>
          <w:rFonts w:ascii="Times New Roman" w:hAnsi="Times New Roman" w:cs="Times New Roman"/>
          <w:lang w:val="sr-Cyrl-RS"/>
        </w:rPr>
        <w:t xml:space="preserve"> </w:t>
      </w:r>
      <w:r w:rsidR="46D4BAAB" w:rsidRPr="00226F9D">
        <w:rPr>
          <w:rFonts w:ascii="Times New Roman" w:hAnsi="Times New Roman" w:cs="Times New Roman"/>
          <w:lang w:val="sr-Cyrl-RS"/>
        </w:rPr>
        <w:t xml:space="preserve">дата је директна подршка значајном броју градова и општина у примени принципа доброг управљања. Поред тога, </w:t>
      </w:r>
      <w:r w:rsidRPr="00226F9D">
        <w:rPr>
          <w:rFonts w:ascii="Times New Roman" w:hAnsi="Times New Roman" w:cs="Times New Roman"/>
          <w:lang w:val="sr-Cyrl-RS"/>
        </w:rPr>
        <w:t xml:space="preserve">у </w:t>
      </w:r>
      <w:r w:rsidR="57888E05" w:rsidRPr="00226F9D">
        <w:rPr>
          <w:rFonts w:ascii="Times New Roman" w:hAnsi="Times New Roman" w:cs="Times New Roman"/>
          <w:lang w:val="sr-Cyrl-RS"/>
        </w:rPr>
        <w:t>две</w:t>
      </w:r>
      <w:r w:rsidRPr="00226F9D">
        <w:rPr>
          <w:rFonts w:ascii="Times New Roman" w:hAnsi="Times New Roman" w:cs="Times New Roman"/>
          <w:lang w:val="sr-Cyrl-RS"/>
        </w:rPr>
        <w:t xml:space="preserve"> итерациј</w:t>
      </w:r>
      <w:r w:rsidR="57888E05" w:rsidRPr="00226F9D">
        <w:rPr>
          <w:rFonts w:ascii="Times New Roman" w:hAnsi="Times New Roman" w:cs="Times New Roman"/>
          <w:lang w:val="sr-Cyrl-RS"/>
        </w:rPr>
        <w:t>е</w:t>
      </w:r>
      <w:r w:rsidRPr="00226F9D">
        <w:rPr>
          <w:rFonts w:ascii="Times New Roman" w:hAnsi="Times New Roman" w:cs="Times New Roman"/>
          <w:lang w:val="sr-Cyrl-RS"/>
        </w:rPr>
        <w:t xml:space="preserve"> </w:t>
      </w:r>
      <w:r w:rsidR="5CC59B3E" w:rsidRPr="00226F9D">
        <w:rPr>
          <w:rFonts w:ascii="Times New Roman" w:hAnsi="Times New Roman" w:cs="Times New Roman"/>
          <w:lang w:val="sr-Cyrl-RS"/>
        </w:rPr>
        <w:t>(2023. и 2025.</w:t>
      </w:r>
      <w:r w:rsidR="33E632FD" w:rsidRPr="00226F9D">
        <w:rPr>
          <w:rFonts w:ascii="Times New Roman" w:hAnsi="Times New Roman" w:cs="Times New Roman"/>
          <w:lang w:val="sr-Cyrl-RS"/>
        </w:rPr>
        <w:t xml:space="preserve"> </w:t>
      </w:r>
      <w:r w:rsidR="5CC59B3E" w:rsidRPr="00226F9D">
        <w:rPr>
          <w:rFonts w:ascii="Times New Roman" w:hAnsi="Times New Roman" w:cs="Times New Roman"/>
          <w:lang w:val="sr-Cyrl-RS"/>
        </w:rPr>
        <w:t xml:space="preserve">године) </w:t>
      </w:r>
      <w:r w:rsidRPr="00226F9D">
        <w:rPr>
          <w:rFonts w:ascii="Times New Roman" w:hAnsi="Times New Roman" w:cs="Times New Roman"/>
          <w:lang w:val="sr-Cyrl-RS"/>
        </w:rPr>
        <w:t>на узорку ЈЛС примењен је индекс партиципативности ЛС (ЛИПА)</w:t>
      </w:r>
      <w:r w:rsidR="00C4631E" w:rsidRPr="00226F9D">
        <w:rPr>
          <w:rStyle w:val="FootnoteReference"/>
          <w:rFonts w:ascii="Times New Roman" w:hAnsi="Times New Roman" w:cs="Times New Roman"/>
          <w:lang w:val="sr-Cyrl-RS"/>
        </w:rPr>
        <w:footnoteReference w:id="42"/>
      </w:r>
      <w:r w:rsidRPr="00226F9D">
        <w:rPr>
          <w:rFonts w:ascii="Times New Roman" w:hAnsi="Times New Roman" w:cs="Times New Roman"/>
          <w:lang w:val="sr-Cyrl-RS"/>
        </w:rPr>
        <w:t xml:space="preserve">. </w:t>
      </w:r>
      <w:r w:rsidR="26A011C3" w:rsidRPr="00226F9D">
        <w:rPr>
          <w:rFonts w:ascii="Times New Roman" w:hAnsi="Times New Roman" w:cs="Times New Roman"/>
          <w:lang w:val="sr-Cyrl-RS"/>
        </w:rPr>
        <w:t>Просечна оцена, односно просечан ниво индекса у истраживању ЛИПА 2024/2025 износи 34,8% и за 8,4 процентна поена је већи него у првом истраживању пре две године (26,4%). То представља релативни раст за готово трећину у односу на резултат првог истраживања (32%)</w:t>
      </w:r>
      <w:r w:rsidR="13C3057A" w:rsidRPr="00226F9D">
        <w:rPr>
          <w:rFonts w:ascii="Times New Roman" w:hAnsi="Times New Roman" w:cs="Times New Roman"/>
          <w:lang w:val="sr-Cyrl-RS"/>
        </w:rPr>
        <w:t xml:space="preserve">. Раст индекса је забележен посебно </w:t>
      </w:r>
      <w:r w:rsidR="37F75F74" w:rsidRPr="00226F9D">
        <w:rPr>
          <w:rFonts w:ascii="Times New Roman" w:hAnsi="Times New Roman" w:cs="Times New Roman"/>
          <w:lang w:val="sr-Cyrl-RS"/>
        </w:rPr>
        <w:t>код</w:t>
      </w:r>
      <w:r w:rsidR="13C3057A" w:rsidRPr="00226F9D">
        <w:rPr>
          <w:rFonts w:ascii="Times New Roman" w:hAnsi="Times New Roman" w:cs="Times New Roman"/>
          <w:lang w:val="sr-Cyrl-RS"/>
        </w:rPr>
        <w:t xml:space="preserve"> укључивања грађана у доношење локалних политика и буџета локалне самоуправе. Ипак, упркос повећању индекса, истраживање показује да су грађани и даље у недовољној мери укључени у поступке доношења, али и спровођења прописа на локалном нивоу. Јавна расправа је најзаступљенији механизам укључивања грађана, али постоји простор да се унапреди пракса њеног спровођења, уз увођење и других расположивих механизама непосредног укључивања грађана.</w:t>
      </w:r>
    </w:p>
    <w:p w14:paraId="5C2B754B" w14:textId="77777777" w:rsidR="007A1CC5" w:rsidRPr="00226F9D" w:rsidRDefault="007A1CC5" w:rsidP="00090884">
      <w:pPr>
        <w:spacing w:after="0" w:line="240" w:lineRule="auto"/>
        <w:jc w:val="both"/>
        <w:rPr>
          <w:rFonts w:ascii="Times New Roman" w:hAnsi="Times New Roman" w:cs="Times New Roman"/>
          <w:lang w:val="sr-Cyrl-RS"/>
        </w:rPr>
      </w:pPr>
    </w:p>
    <w:p w14:paraId="67EE00D8" w14:textId="62060318" w:rsidR="00930375" w:rsidRPr="00226F9D" w:rsidRDefault="007A2D9B" w:rsidP="00090884">
      <w:pPr>
        <w:spacing w:after="0" w:line="240" w:lineRule="auto"/>
        <w:jc w:val="both"/>
        <w:rPr>
          <w:rFonts w:ascii="Times New Roman" w:hAnsi="Times New Roman" w:cs="Times New Roman"/>
          <w:lang w:val="sr-Latn-RS"/>
        </w:rPr>
      </w:pPr>
      <w:r w:rsidRPr="00226F9D">
        <w:rPr>
          <w:rFonts w:ascii="Times New Roman" w:hAnsi="Times New Roman" w:cs="Times New Roman"/>
          <w:lang w:val="sr-Cyrl-RS"/>
        </w:rPr>
        <w:t>Након две претходне анализе, СКГО је 2023. године спровела и трећу „Анализу учинка и капацитета јединица локалних самоуправа у примени принципа доброг управљања на локалном нивоу“. Истраживање је извршено на узорку од 60 ЈЛС путем „Индекса добре управе“. Према резултатима анализе, ЈЛС су остварил</w:t>
      </w:r>
      <w:r w:rsidR="00184783" w:rsidRPr="00226F9D">
        <w:rPr>
          <w:rFonts w:ascii="Times New Roman" w:hAnsi="Times New Roman" w:cs="Times New Roman"/>
          <w:lang w:val="sr-Cyrl-RS"/>
        </w:rPr>
        <w:t>е</w:t>
      </w:r>
      <w:r w:rsidRPr="00226F9D">
        <w:rPr>
          <w:rFonts w:ascii="Times New Roman" w:hAnsi="Times New Roman" w:cs="Times New Roman"/>
          <w:lang w:val="sr-Cyrl-RS"/>
        </w:rPr>
        <w:t xml:space="preserve"> напредак у примени принципа доброг управљања у односу на претходно мерење (2021). Укупни учинак ЈЛС за 2023. годину износи 52,9%, у односу на 47,4% колико је остварено мерењем из 2021. Планирано је </w:t>
      </w:r>
      <w:r w:rsidR="0049053C" w:rsidRPr="00226F9D">
        <w:rPr>
          <w:rFonts w:ascii="Times New Roman" w:hAnsi="Times New Roman" w:cs="Times New Roman"/>
          <w:lang w:val="sr-Cyrl-RS"/>
        </w:rPr>
        <w:t xml:space="preserve">да </w:t>
      </w:r>
      <w:r w:rsidR="009B21D7" w:rsidRPr="00226F9D">
        <w:rPr>
          <w:rFonts w:ascii="Times New Roman" w:hAnsi="Times New Roman" w:cs="Times New Roman"/>
          <w:lang w:val="sr-Cyrl-RS"/>
        </w:rPr>
        <w:t xml:space="preserve">се </w:t>
      </w:r>
      <w:r w:rsidRPr="00226F9D">
        <w:rPr>
          <w:rFonts w:ascii="Times New Roman" w:hAnsi="Times New Roman" w:cs="Times New Roman"/>
          <w:lang w:val="sr-Cyrl-RS"/>
        </w:rPr>
        <w:t>још једно упоредно мерење спроведе крајем 2025.</w:t>
      </w:r>
      <w:r w:rsidR="0049053C"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године и заврши почетком 2026. године. </w:t>
      </w:r>
    </w:p>
    <w:p w14:paraId="0140DA0A" w14:textId="77777777" w:rsidR="00930375" w:rsidRPr="00226F9D" w:rsidRDefault="00930375" w:rsidP="00090884">
      <w:pPr>
        <w:spacing w:after="0" w:line="240" w:lineRule="auto"/>
        <w:jc w:val="both"/>
        <w:rPr>
          <w:rFonts w:ascii="Times New Roman" w:hAnsi="Times New Roman" w:cs="Times New Roman"/>
          <w:lang w:val="sr-Cyrl-RS"/>
        </w:rPr>
      </w:pPr>
    </w:p>
    <w:p w14:paraId="193CE5D4" w14:textId="1E89652A" w:rsidR="00F91EAD" w:rsidRPr="00226F9D" w:rsidRDefault="00C5347F"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Кроз ово и друга истраживања реализована у претходном периоду,</w:t>
      </w:r>
      <w:r w:rsidR="007E5D98" w:rsidRPr="00226F9D">
        <w:rPr>
          <w:rFonts w:ascii="Times New Roman" w:hAnsi="Times New Roman" w:cs="Times New Roman"/>
          <w:lang w:val="sr-Cyrl-RS"/>
        </w:rPr>
        <w:t xml:space="preserve"> евидентно је да је</w:t>
      </w:r>
      <w:r w:rsidR="007A2D9B" w:rsidRPr="00226F9D">
        <w:rPr>
          <w:rFonts w:ascii="Times New Roman" w:hAnsi="Times New Roman" w:cs="Times New Roman"/>
          <w:lang w:val="sr-Cyrl-RS"/>
        </w:rPr>
        <w:t xml:space="preserve"> транспарентност рада </w:t>
      </w:r>
      <w:r w:rsidR="001E50ED" w:rsidRPr="00226F9D">
        <w:rPr>
          <w:rFonts w:ascii="Times New Roman" w:hAnsi="Times New Roman" w:cs="Times New Roman"/>
          <w:lang w:val="sr-Cyrl-RS"/>
        </w:rPr>
        <w:t>ЈЛС</w:t>
      </w:r>
      <w:r w:rsidR="007A2D9B" w:rsidRPr="00226F9D">
        <w:rPr>
          <w:rFonts w:ascii="Times New Roman" w:hAnsi="Times New Roman" w:cs="Times New Roman"/>
          <w:lang w:val="sr-Cyrl-RS"/>
        </w:rPr>
        <w:t xml:space="preserve"> </w:t>
      </w:r>
      <w:r w:rsidR="004C29C6" w:rsidRPr="00226F9D">
        <w:rPr>
          <w:rFonts w:ascii="Times New Roman" w:hAnsi="Times New Roman" w:cs="Times New Roman"/>
          <w:lang w:val="sr-Cyrl-RS"/>
        </w:rPr>
        <w:t xml:space="preserve">унапређена </w:t>
      </w:r>
      <w:r w:rsidR="007A2D9B" w:rsidRPr="00226F9D">
        <w:rPr>
          <w:rFonts w:ascii="Times New Roman" w:hAnsi="Times New Roman" w:cs="Times New Roman"/>
          <w:lang w:val="sr-Cyrl-RS"/>
        </w:rPr>
        <w:t xml:space="preserve">у </w:t>
      </w:r>
      <w:r w:rsidR="00865EA7" w:rsidRPr="00226F9D">
        <w:rPr>
          <w:rFonts w:ascii="Times New Roman" w:hAnsi="Times New Roman" w:cs="Times New Roman"/>
          <w:lang w:val="sr-Cyrl-RS"/>
        </w:rPr>
        <w:t xml:space="preserve">периоду реализације </w:t>
      </w:r>
      <w:r w:rsidR="00AB2959" w:rsidRPr="00226F9D">
        <w:rPr>
          <w:rFonts w:ascii="Times New Roman" w:hAnsi="Times New Roman" w:cs="Times New Roman"/>
          <w:lang w:val="sr-Cyrl-RS"/>
        </w:rPr>
        <w:t>ПРСЛС 2021-2025</w:t>
      </w:r>
      <w:r w:rsidR="00637798" w:rsidRPr="00226F9D">
        <w:rPr>
          <w:rFonts w:ascii="Times New Roman" w:hAnsi="Times New Roman" w:cs="Times New Roman"/>
          <w:lang w:val="sr-Cyrl-RS"/>
        </w:rPr>
        <w:t>, уз приметн</w:t>
      </w:r>
      <w:r w:rsidR="00363D2E" w:rsidRPr="00226F9D">
        <w:rPr>
          <w:rFonts w:ascii="Times New Roman" w:hAnsi="Times New Roman" w:cs="Times New Roman"/>
          <w:lang w:val="sr-Cyrl-RS"/>
        </w:rPr>
        <w:t>о осцилирање</w:t>
      </w:r>
      <w:r w:rsidR="007E0FC8" w:rsidRPr="00226F9D">
        <w:rPr>
          <w:rFonts w:ascii="Times New Roman" w:hAnsi="Times New Roman" w:cs="Times New Roman"/>
          <w:lang w:val="sr-Cyrl-RS"/>
        </w:rPr>
        <w:t xml:space="preserve"> или</w:t>
      </w:r>
      <w:r w:rsidR="00637798" w:rsidRPr="00226F9D">
        <w:rPr>
          <w:rFonts w:ascii="Times New Roman" w:hAnsi="Times New Roman" w:cs="Times New Roman"/>
          <w:lang w:val="sr-Cyrl-RS"/>
        </w:rPr>
        <w:t xml:space="preserve"> </w:t>
      </w:r>
      <w:r w:rsidR="008B1E7F" w:rsidRPr="00226F9D">
        <w:rPr>
          <w:rFonts w:ascii="Times New Roman" w:hAnsi="Times New Roman" w:cs="Times New Roman"/>
          <w:lang w:val="sr-Cyrl-RS"/>
        </w:rPr>
        <w:t xml:space="preserve">стагнацију у појединим областима </w:t>
      </w:r>
      <w:r w:rsidR="007A2D9B" w:rsidRPr="00226F9D">
        <w:rPr>
          <w:rFonts w:ascii="Times New Roman" w:hAnsi="Times New Roman" w:cs="Times New Roman"/>
          <w:lang w:val="sr-Cyrl-RS"/>
        </w:rPr>
        <w:t>деловањ</w:t>
      </w:r>
      <w:r w:rsidR="00B92E1F" w:rsidRPr="00226F9D">
        <w:rPr>
          <w:rFonts w:ascii="Times New Roman" w:hAnsi="Times New Roman" w:cs="Times New Roman"/>
          <w:lang w:val="sr-Cyrl-RS"/>
        </w:rPr>
        <w:t>а</w:t>
      </w:r>
      <w:r w:rsidR="007A2D9B" w:rsidRPr="00226F9D">
        <w:rPr>
          <w:rFonts w:ascii="Times New Roman" w:hAnsi="Times New Roman" w:cs="Times New Roman"/>
          <w:lang w:val="sr-Cyrl-RS"/>
        </w:rPr>
        <w:t xml:space="preserve"> локалне самоуправе. </w:t>
      </w:r>
      <w:r w:rsidR="00BF3548" w:rsidRPr="00226F9D">
        <w:rPr>
          <w:rFonts w:ascii="Times New Roman" w:hAnsi="Times New Roman" w:cs="Times New Roman"/>
          <w:lang w:val="sr-Cyrl-RS"/>
        </w:rPr>
        <w:t xml:space="preserve">Ипак, </w:t>
      </w:r>
      <w:r w:rsidR="001211B7" w:rsidRPr="00226F9D">
        <w:rPr>
          <w:rFonts w:ascii="Times New Roman" w:hAnsi="Times New Roman" w:cs="Times New Roman"/>
          <w:lang w:val="sr-Cyrl-RS"/>
        </w:rPr>
        <w:t xml:space="preserve">у свим областима </w:t>
      </w:r>
      <w:r w:rsidR="00BA6889" w:rsidRPr="00226F9D">
        <w:rPr>
          <w:rFonts w:ascii="Times New Roman" w:hAnsi="Times New Roman" w:cs="Times New Roman"/>
          <w:lang w:val="sr-Cyrl-RS"/>
        </w:rPr>
        <w:t xml:space="preserve">мерења, </w:t>
      </w:r>
      <w:r w:rsidR="001211B7" w:rsidRPr="00226F9D">
        <w:rPr>
          <w:rFonts w:ascii="Times New Roman" w:hAnsi="Times New Roman" w:cs="Times New Roman"/>
          <w:lang w:val="sr-Cyrl-RS"/>
        </w:rPr>
        <w:t xml:space="preserve">идентификована је потреба и </w:t>
      </w:r>
      <w:r w:rsidR="00BA6889" w:rsidRPr="00226F9D">
        <w:rPr>
          <w:rFonts w:ascii="Times New Roman" w:hAnsi="Times New Roman" w:cs="Times New Roman"/>
          <w:lang w:val="sr-Cyrl-RS"/>
        </w:rPr>
        <w:t>простор</w:t>
      </w:r>
      <w:r w:rsidR="001211B7" w:rsidRPr="00226F9D">
        <w:rPr>
          <w:rFonts w:ascii="Times New Roman" w:hAnsi="Times New Roman" w:cs="Times New Roman"/>
          <w:lang w:val="sr-Cyrl-RS"/>
        </w:rPr>
        <w:t xml:space="preserve"> за унапређењем праксе ЈЛС</w:t>
      </w:r>
      <w:r w:rsidR="00CC25C9" w:rsidRPr="00226F9D">
        <w:rPr>
          <w:rFonts w:ascii="Times New Roman" w:hAnsi="Times New Roman" w:cs="Times New Roman"/>
          <w:lang w:val="sr-Cyrl-RS"/>
        </w:rPr>
        <w:t xml:space="preserve">. </w:t>
      </w:r>
      <w:r w:rsidR="00901354" w:rsidRPr="00226F9D">
        <w:rPr>
          <w:rFonts w:ascii="Times New Roman" w:hAnsi="Times New Roman" w:cs="Times New Roman"/>
          <w:lang w:val="sr-Cyrl-RS"/>
        </w:rPr>
        <w:t xml:space="preserve">Указује се на </w:t>
      </w:r>
      <w:r w:rsidR="00F249F8" w:rsidRPr="00226F9D">
        <w:rPr>
          <w:rFonts w:ascii="Times New Roman" w:hAnsi="Times New Roman" w:cs="Times New Roman"/>
          <w:lang w:val="sr-Cyrl-RS"/>
        </w:rPr>
        <w:t>нужност</w:t>
      </w:r>
      <w:r w:rsidR="00CC25C9" w:rsidRPr="00226F9D">
        <w:rPr>
          <w:rFonts w:ascii="Times New Roman" w:hAnsi="Times New Roman" w:cs="Times New Roman"/>
          <w:lang w:val="sr-Cyrl-RS"/>
        </w:rPr>
        <w:t xml:space="preserve"> успостављањ</w:t>
      </w:r>
      <w:r w:rsidR="00F249F8" w:rsidRPr="00226F9D">
        <w:rPr>
          <w:rFonts w:ascii="Times New Roman" w:hAnsi="Times New Roman" w:cs="Times New Roman"/>
          <w:lang w:val="sr-Cyrl-RS"/>
        </w:rPr>
        <w:t>а</w:t>
      </w:r>
      <w:r w:rsidR="00CC25C9" w:rsidRPr="00226F9D">
        <w:rPr>
          <w:rFonts w:ascii="Times New Roman" w:hAnsi="Times New Roman" w:cs="Times New Roman"/>
          <w:lang w:val="sr-Cyrl-RS"/>
        </w:rPr>
        <w:t xml:space="preserve"> одрживих механизама, пре свега </w:t>
      </w:r>
      <w:r w:rsidR="00906986" w:rsidRPr="00226F9D">
        <w:rPr>
          <w:rFonts w:ascii="Times New Roman" w:hAnsi="Times New Roman" w:cs="Times New Roman"/>
          <w:lang w:val="sr-Cyrl-RS"/>
        </w:rPr>
        <w:t xml:space="preserve">кроз </w:t>
      </w:r>
      <w:r w:rsidR="00B92D38" w:rsidRPr="00226F9D">
        <w:rPr>
          <w:rFonts w:ascii="Times New Roman" w:hAnsi="Times New Roman" w:cs="Times New Roman"/>
          <w:lang w:val="sr-Cyrl-RS"/>
        </w:rPr>
        <w:t xml:space="preserve">додатно </w:t>
      </w:r>
      <w:r w:rsidR="009B20ED" w:rsidRPr="00226F9D">
        <w:rPr>
          <w:rFonts w:ascii="Times New Roman" w:hAnsi="Times New Roman" w:cs="Times New Roman"/>
          <w:lang w:val="sr-Cyrl-RS"/>
        </w:rPr>
        <w:t>нормира</w:t>
      </w:r>
      <w:r w:rsidR="00B92D38" w:rsidRPr="00226F9D">
        <w:rPr>
          <w:rFonts w:ascii="Times New Roman" w:hAnsi="Times New Roman" w:cs="Times New Roman"/>
          <w:lang w:val="sr-Cyrl-RS"/>
        </w:rPr>
        <w:t>ње</w:t>
      </w:r>
      <w:r w:rsidR="00CC25C9" w:rsidRPr="00226F9D">
        <w:rPr>
          <w:rFonts w:ascii="Times New Roman" w:hAnsi="Times New Roman" w:cs="Times New Roman"/>
          <w:lang w:val="sr-Cyrl-RS"/>
        </w:rPr>
        <w:t xml:space="preserve"> </w:t>
      </w:r>
      <w:r w:rsidR="00CC25C9" w:rsidRPr="00226F9D">
        <w:rPr>
          <w:rFonts w:ascii="Times New Roman" w:hAnsi="Times New Roman" w:cs="Times New Roman"/>
          <w:lang w:val="sr-Cyrl-RS"/>
        </w:rPr>
        <w:lastRenderedPageBreak/>
        <w:t>процедур</w:t>
      </w:r>
      <w:r w:rsidR="00B92D38" w:rsidRPr="00226F9D">
        <w:rPr>
          <w:rFonts w:ascii="Times New Roman" w:hAnsi="Times New Roman" w:cs="Times New Roman"/>
          <w:lang w:val="sr-Cyrl-RS"/>
        </w:rPr>
        <w:t>а</w:t>
      </w:r>
      <w:r w:rsidR="00CC25C9" w:rsidRPr="00226F9D">
        <w:rPr>
          <w:rFonts w:ascii="Times New Roman" w:hAnsi="Times New Roman" w:cs="Times New Roman"/>
          <w:lang w:val="sr-Cyrl-RS"/>
        </w:rPr>
        <w:t xml:space="preserve"> и обавез</w:t>
      </w:r>
      <w:r w:rsidR="00B92D38" w:rsidRPr="00226F9D">
        <w:rPr>
          <w:rFonts w:ascii="Times New Roman" w:hAnsi="Times New Roman" w:cs="Times New Roman"/>
          <w:lang w:val="sr-Cyrl-RS"/>
        </w:rPr>
        <w:t>а</w:t>
      </w:r>
      <w:r w:rsidR="00906986" w:rsidRPr="00226F9D">
        <w:rPr>
          <w:rFonts w:ascii="Times New Roman" w:hAnsi="Times New Roman" w:cs="Times New Roman"/>
          <w:lang w:val="sr-Cyrl-RS"/>
        </w:rPr>
        <w:t xml:space="preserve"> ЈЛС</w:t>
      </w:r>
      <w:r w:rsidR="00CC25C9" w:rsidRPr="00226F9D">
        <w:rPr>
          <w:rFonts w:ascii="Times New Roman" w:hAnsi="Times New Roman" w:cs="Times New Roman"/>
          <w:lang w:val="sr-Cyrl-RS"/>
        </w:rPr>
        <w:t xml:space="preserve">, </w:t>
      </w:r>
      <w:r w:rsidR="003367DD" w:rsidRPr="00226F9D">
        <w:rPr>
          <w:rFonts w:ascii="Times New Roman" w:hAnsi="Times New Roman" w:cs="Times New Roman"/>
          <w:lang w:val="sr-Cyrl-RS"/>
        </w:rPr>
        <w:t xml:space="preserve">и </w:t>
      </w:r>
      <w:r w:rsidR="00CC25C9" w:rsidRPr="00226F9D">
        <w:rPr>
          <w:rFonts w:ascii="Times New Roman" w:hAnsi="Times New Roman" w:cs="Times New Roman"/>
          <w:lang w:val="sr-Cyrl-RS"/>
        </w:rPr>
        <w:t xml:space="preserve">још важније – </w:t>
      </w:r>
      <w:r w:rsidR="009A187A" w:rsidRPr="00226F9D">
        <w:rPr>
          <w:rFonts w:ascii="Times New Roman" w:hAnsi="Times New Roman" w:cs="Times New Roman"/>
          <w:lang w:val="sr-Cyrl-RS"/>
        </w:rPr>
        <w:t>утврђивањ</w:t>
      </w:r>
      <w:r w:rsidR="00D05647" w:rsidRPr="00226F9D">
        <w:rPr>
          <w:rFonts w:ascii="Times New Roman" w:hAnsi="Times New Roman" w:cs="Times New Roman"/>
          <w:lang w:val="sr-Cyrl-RS"/>
        </w:rPr>
        <w:t>е</w:t>
      </w:r>
      <w:r w:rsidR="00906986" w:rsidRPr="00226F9D">
        <w:rPr>
          <w:rFonts w:ascii="Times New Roman" w:hAnsi="Times New Roman" w:cs="Times New Roman"/>
          <w:lang w:val="sr-Cyrl-RS"/>
        </w:rPr>
        <w:t xml:space="preserve"> </w:t>
      </w:r>
      <w:r w:rsidR="00CC25C9" w:rsidRPr="00226F9D">
        <w:rPr>
          <w:rFonts w:ascii="Times New Roman" w:hAnsi="Times New Roman" w:cs="Times New Roman"/>
          <w:lang w:val="sr-Cyrl-RS"/>
        </w:rPr>
        <w:t>одговорност</w:t>
      </w:r>
      <w:r w:rsidR="00006897" w:rsidRPr="00226F9D">
        <w:rPr>
          <w:rFonts w:ascii="Times New Roman" w:hAnsi="Times New Roman" w:cs="Times New Roman"/>
          <w:lang w:val="sr-Cyrl-RS"/>
        </w:rPr>
        <w:t>и</w:t>
      </w:r>
      <w:r w:rsidR="00CC25C9" w:rsidRPr="00226F9D">
        <w:rPr>
          <w:rFonts w:ascii="Times New Roman" w:hAnsi="Times New Roman" w:cs="Times New Roman"/>
          <w:lang w:val="sr-Cyrl-RS"/>
        </w:rPr>
        <w:t xml:space="preserve"> за примену ових процедура.</w:t>
      </w:r>
      <w:r w:rsidR="009F366D" w:rsidRPr="00226F9D">
        <w:rPr>
          <w:rFonts w:ascii="Times New Roman" w:hAnsi="Times New Roman" w:cs="Times New Roman"/>
          <w:lang w:val="sr-Cyrl-RS"/>
        </w:rPr>
        <w:t xml:space="preserve"> </w:t>
      </w:r>
      <w:r w:rsidR="00906986" w:rsidRPr="00226F9D">
        <w:rPr>
          <w:rFonts w:ascii="Times New Roman" w:hAnsi="Times New Roman" w:cs="Times New Roman"/>
          <w:lang w:val="sr-Cyrl-RS"/>
        </w:rPr>
        <w:t xml:space="preserve">Такође, неопходно </w:t>
      </w:r>
      <w:r w:rsidR="00723276" w:rsidRPr="00226F9D">
        <w:rPr>
          <w:rFonts w:ascii="Times New Roman" w:hAnsi="Times New Roman" w:cs="Times New Roman"/>
          <w:lang w:val="sr-Cyrl-RS"/>
        </w:rPr>
        <w:t>је указивати и промовисати примере добре прак</w:t>
      </w:r>
      <w:r w:rsidR="0023703C" w:rsidRPr="00226F9D">
        <w:rPr>
          <w:rFonts w:ascii="Times New Roman" w:hAnsi="Times New Roman" w:cs="Times New Roman"/>
          <w:lang w:val="sr-Cyrl-RS"/>
        </w:rPr>
        <w:t>с</w:t>
      </w:r>
      <w:r w:rsidR="00723276" w:rsidRPr="00226F9D">
        <w:rPr>
          <w:rFonts w:ascii="Times New Roman" w:hAnsi="Times New Roman" w:cs="Times New Roman"/>
          <w:lang w:val="sr-Cyrl-RS"/>
        </w:rPr>
        <w:t xml:space="preserve">е међу ЈЛС, али и континуирано јачати њихове капацитете </w:t>
      </w:r>
      <w:r w:rsidR="001B6791" w:rsidRPr="00226F9D">
        <w:rPr>
          <w:rFonts w:ascii="Times New Roman" w:hAnsi="Times New Roman" w:cs="Times New Roman"/>
          <w:lang w:val="sr-Cyrl-RS"/>
        </w:rPr>
        <w:t>у циљу унапређења транспарентности рада</w:t>
      </w:r>
      <w:r w:rsidR="00F91EAD" w:rsidRPr="00226F9D">
        <w:rPr>
          <w:rFonts w:ascii="Times New Roman" w:hAnsi="Times New Roman" w:cs="Times New Roman"/>
          <w:lang w:val="sr-Cyrl-RS"/>
        </w:rPr>
        <w:t>.</w:t>
      </w:r>
    </w:p>
    <w:p w14:paraId="64040428" w14:textId="77777777" w:rsidR="00FA6086" w:rsidRPr="00226F9D" w:rsidRDefault="00FA6086" w:rsidP="00090884">
      <w:pPr>
        <w:spacing w:after="0" w:line="240" w:lineRule="auto"/>
        <w:jc w:val="both"/>
        <w:rPr>
          <w:rFonts w:ascii="Times New Roman" w:hAnsi="Times New Roman" w:cs="Times New Roman"/>
          <w:lang w:val="sr-Latn-RS"/>
        </w:rPr>
      </w:pPr>
    </w:p>
    <w:p w14:paraId="391676E6" w14:textId="5361B81E" w:rsidR="003A4565" w:rsidRPr="00226F9D" w:rsidRDefault="006514B0"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Институционални и технички предуслови за развој транспарентности унапређени су завршетком активности на Порталу еКонсултација, реализованих у сарадњи ГИЗ-а и Републичког секретаријата за јавне политике (РСЈП). У другој фази пројекта све ЈЛС добиле су могућност да на Порталу објављују документа јавних политика и спроводе консултације са грађанима, уз подршку РСЈП и Националне академије за јавну управу (НАЈУ) у изградњи потребних знања и вештина. </w:t>
      </w:r>
    </w:p>
    <w:p w14:paraId="381A7128" w14:textId="4FEC31B9" w:rsidR="00C00817" w:rsidRPr="00226F9D" w:rsidRDefault="00C00817" w:rsidP="00090884">
      <w:pPr>
        <w:spacing w:after="0" w:line="240" w:lineRule="auto"/>
        <w:jc w:val="both"/>
        <w:rPr>
          <w:rFonts w:ascii="Times New Roman" w:hAnsi="Times New Roman" w:cs="Times New Roman"/>
          <w:lang w:val="sr-Cyrl-RS"/>
        </w:rPr>
      </w:pPr>
    </w:p>
    <w:p w14:paraId="37168C9F" w14:textId="3BE6D4C1" w:rsidR="007A1CC5" w:rsidRPr="00226F9D" w:rsidRDefault="00C00817"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Поред хоризонталних, потребно је унапредити и вертикалне консултације између државних и локалних власти, кроз увођење обавезе да национални органи приликом припреме политика и прописа консултују националну асоцијацију локалних власти, што би требало да буде део планираних измена Закона о локалној самоуправи.</w:t>
      </w:r>
    </w:p>
    <w:p w14:paraId="0FA0CD07" w14:textId="77777777" w:rsidR="003A4565" w:rsidRPr="00226F9D" w:rsidRDefault="003A4565" w:rsidP="00090884">
      <w:pPr>
        <w:spacing w:after="0" w:line="240" w:lineRule="auto"/>
        <w:jc w:val="both"/>
        <w:rPr>
          <w:rFonts w:ascii="Times New Roman" w:hAnsi="Times New Roman" w:cs="Times New Roman"/>
          <w:lang w:val="sr-Cyrl-RS"/>
        </w:rPr>
      </w:pPr>
    </w:p>
    <w:p w14:paraId="53BB2651" w14:textId="6F33F56E" w:rsidR="007A2D9B" w:rsidRPr="00226F9D" w:rsidRDefault="1FFAEEDC"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Проблеми који су идентификовани кроз процес припреме претходног Програма за реформу система локалне самоуправе у периоду 2021-2025.</w:t>
      </w:r>
      <w:r w:rsidR="61CA9AD3"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година остају високо релевантни и у новом периоду планираних реформи у овој области. Изазови монотипског система локалне самоуправе, потреба јачања положаја и одговорности локалне самоуправе (кроз </w:t>
      </w:r>
      <w:r w:rsidR="711D53DD" w:rsidRPr="00226F9D">
        <w:rPr>
          <w:rFonts w:ascii="Times New Roman" w:hAnsi="Times New Roman" w:cs="Times New Roman"/>
          <w:lang w:val="sr-Cyrl-RS"/>
        </w:rPr>
        <w:t>примену</w:t>
      </w:r>
      <w:r w:rsidRPr="00226F9D">
        <w:rPr>
          <w:rFonts w:ascii="Times New Roman" w:hAnsi="Times New Roman" w:cs="Times New Roman"/>
          <w:lang w:val="sr-Cyrl-RS"/>
        </w:rPr>
        <w:t xml:space="preserve"> принципа супсидијарности, јасно прецизирање надлежности у систему јавне управе и пуна сарадња свих нивоа јавне власти), неопходно и ургентно потребно јачање финансијских, административно-техничких и људских капацитета градова и општина и преко потребно унапређење и пуна примена принципа доброг управљања у локалној самоуправи, јесу део кључних приоритета до краја </w:t>
      </w:r>
      <w:r w:rsidR="0752C4B8" w:rsidRPr="00226F9D">
        <w:rPr>
          <w:rFonts w:ascii="Times New Roman" w:hAnsi="Times New Roman" w:cs="Times New Roman"/>
          <w:lang w:val="sr-Cyrl-RS"/>
        </w:rPr>
        <w:t>треће</w:t>
      </w:r>
      <w:r w:rsidRPr="00226F9D">
        <w:rPr>
          <w:rFonts w:ascii="Times New Roman" w:hAnsi="Times New Roman" w:cs="Times New Roman"/>
          <w:lang w:val="sr-Cyrl-RS"/>
        </w:rPr>
        <w:t xml:space="preserve"> деценије 21.</w:t>
      </w:r>
      <w:r w:rsidR="07F107F9"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века. </w:t>
      </w:r>
      <w:r w:rsidR="129F7D36" w:rsidRPr="00226F9D">
        <w:rPr>
          <w:rFonts w:ascii="Times New Roman" w:hAnsi="Times New Roman" w:cs="Times New Roman"/>
          <w:lang w:val="sr-Cyrl-RS"/>
        </w:rPr>
        <w:t>Даље реформе</w:t>
      </w:r>
      <w:r w:rsidRPr="00226F9D">
        <w:rPr>
          <w:rFonts w:ascii="Times New Roman" w:hAnsi="Times New Roman" w:cs="Times New Roman"/>
          <w:lang w:val="sr-Cyrl-RS"/>
        </w:rPr>
        <w:t xml:space="preserve"> </w:t>
      </w:r>
      <w:r w:rsidR="61CA9AD3" w:rsidRPr="00226F9D">
        <w:rPr>
          <w:rFonts w:ascii="Times New Roman" w:hAnsi="Times New Roman" w:cs="Times New Roman"/>
          <w:lang w:val="sr-Cyrl-RS"/>
        </w:rPr>
        <w:t>изискуј</w:t>
      </w:r>
      <w:r w:rsidR="129F7D36" w:rsidRPr="00226F9D">
        <w:rPr>
          <w:rFonts w:ascii="Times New Roman" w:hAnsi="Times New Roman" w:cs="Times New Roman"/>
          <w:lang w:val="sr-Cyrl-RS"/>
        </w:rPr>
        <w:t>у разматрање</w:t>
      </w:r>
      <w:r w:rsidR="61CA9AD3" w:rsidRPr="00226F9D">
        <w:rPr>
          <w:rFonts w:ascii="Times New Roman" w:hAnsi="Times New Roman" w:cs="Times New Roman"/>
          <w:lang w:val="sr-Cyrl-RS"/>
        </w:rPr>
        <w:t xml:space="preserve"> </w:t>
      </w:r>
      <w:r w:rsidRPr="00226F9D">
        <w:rPr>
          <w:rFonts w:ascii="Times New Roman" w:hAnsi="Times New Roman" w:cs="Times New Roman"/>
          <w:lang w:val="sr-Cyrl-RS"/>
        </w:rPr>
        <w:t>измен</w:t>
      </w:r>
      <w:r w:rsidR="129F7D36" w:rsidRPr="00226F9D">
        <w:rPr>
          <w:rFonts w:ascii="Times New Roman" w:hAnsi="Times New Roman" w:cs="Times New Roman"/>
          <w:lang w:val="sr-Cyrl-RS"/>
        </w:rPr>
        <w:t>а</w:t>
      </w:r>
      <w:r w:rsidRPr="00226F9D">
        <w:rPr>
          <w:rFonts w:ascii="Times New Roman" w:hAnsi="Times New Roman" w:cs="Times New Roman"/>
          <w:lang w:val="sr-Cyrl-RS"/>
        </w:rPr>
        <w:t xml:space="preserve"> Закона о локалној самоуправи</w:t>
      </w:r>
      <w:r w:rsidR="003A4565" w:rsidRPr="00226F9D">
        <w:rPr>
          <w:rStyle w:val="FootnoteReference"/>
          <w:rFonts w:ascii="Times New Roman" w:hAnsi="Times New Roman" w:cs="Times New Roman"/>
        </w:rPr>
        <w:footnoteReference w:id="43"/>
      </w:r>
      <w:r w:rsidR="129F7D36" w:rsidRPr="00226F9D">
        <w:rPr>
          <w:rFonts w:ascii="Times New Roman" w:hAnsi="Times New Roman" w:cs="Times New Roman"/>
          <w:lang w:val="sr-Cyrl-RS"/>
        </w:rPr>
        <w:t xml:space="preserve"> и</w:t>
      </w:r>
      <w:r w:rsidRPr="00226F9D">
        <w:rPr>
          <w:rFonts w:ascii="Times New Roman" w:hAnsi="Times New Roman" w:cs="Times New Roman"/>
          <w:lang w:val="sr-Cyrl-RS"/>
        </w:rPr>
        <w:t xml:space="preserve"> Закона о државној управи</w:t>
      </w:r>
      <w:r w:rsidR="1FD4B639" w:rsidRPr="00226F9D">
        <w:rPr>
          <w:rFonts w:ascii="Times New Roman" w:hAnsi="Times New Roman" w:cs="Times New Roman"/>
          <w:lang w:val="sr-Cyrl-RS"/>
        </w:rPr>
        <w:t>, разматрање</w:t>
      </w:r>
      <w:r w:rsidRPr="00226F9D">
        <w:rPr>
          <w:rFonts w:ascii="Times New Roman" w:hAnsi="Times New Roman" w:cs="Times New Roman"/>
          <w:lang w:val="sr-Cyrl-RS"/>
        </w:rPr>
        <w:t xml:space="preserve"> </w:t>
      </w:r>
      <w:r w:rsidR="76477725" w:rsidRPr="00226F9D">
        <w:rPr>
          <w:rFonts w:ascii="Times New Roman" w:hAnsi="Times New Roman" w:cs="Times New Roman"/>
          <w:lang w:val="sr-Cyrl-RS"/>
        </w:rPr>
        <w:t>наставк</w:t>
      </w:r>
      <w:r w:rsidR="1FD4B639" w:rsidRPr="00226F9D">
        <w:rPr>
          <w:rFonts w:ascii="Times New Roman" w:hAnsi="Times New Roman" w:cs="Times New Roman"/>
          <w:lang w:val="sr-Cyrl-RS"/>
        </w:rPr>
        <w:t>а</w:t>
      </w:r>
      <w:r w:rsidR="76477725" w:rsidRPr="00226F9D">
        <w:rPr>
          <w:rFonts w:ascii="Times New Roman" w:hAnsi="Times New Roman" w:cs="Times New Roman"/>
          <w:lang w:val="sr-Cyrl-RS"/>
        </w:rPr>
        <w:t xml:space="preserve"> </w:t>
      </w:r>
      <w:r w:rsidRPr="00226F9D">
        <w:rPr>
          <w:rFonts w:ascii="Times New Roman" w:hAnsi="Times New Roman" w:cs="Times New Roman"/>
          <w:lang w:val="sr-Cyrl-RS"/>
        </w:rPr>
        <w:t>ратификациј</w:t>
      </w:r>
      <w:r w:rsidR="76477725" w:rsidRPr="00226F9D">
        <w:rPr>
          <w:rFonts w:ascii="Times New Roman" w:hAnsi="Times New Roman" w:cs="Times New Roman"/>
          <w:lang w:val="sr-Cyrl-RS"/>
        </w:rPr>
        <w:t>е</w:t>
      </w:r>
      <w:r w:rsidRPr="00226F9D">
        <w:rPr>
          <w:rFonts w:ascii="Times New Roman" w:hAnsi="Times New Roman" w:cs="Times New Roman"/>
          <w:lang w:val="sr-Cyrl-RS"/>
        </w:rPr>
        <w:t xml:space="preserve"> одредби Европске повеље о локалној самоуправи</w:t>
      </w:r>
      <w:r w:rsidRPr="00226F9D">
        <w:rPr>
          <w:rStyle w:val="FootnoteReference"/>
          <w:rFonts w:ascii="Times New Roman" w:hAnsi="Times New Roman" w:cs="Times New Roman"/>
          <w:lang w:val="sr-Cyrl-RS"/>
        </w:rPr>
        <w:t xml:space="preserve"> </w:t>
      </w:r>
      <w:r w:rsidRPr="00226F9D">
        <w:rPr>
          <w:rFonts w:ascii="Times New Roman" w:hAnsi="Times New Roman" w:cs="Times New Roman"/>
          <w:lang w:val="sr-Cyrl-RS"/>
        </w:rPr>
        <w:t xml:space="preserve">и снажно улагање подршке у развој капацитета локалних власти да примењују правни оквир за локалну самоуправу и принципе доброг управљања. Ове активности представљају предуслов за унапређење положаја и одговорности локалне самоуправе. </w:t>
      </w:r>
    </w:p>
    <w:p w14:paraId="5C19C17D" w14:textId="77777777" w:rsidR="00186019" w:rsidRPr="00226F9D" w:rsidRDefault="00186019" w:rsidP="00090884">
      <w:pPr>
        <w:spacing w:after="0" w:line="240" w:lineRule="auto"/>
        <w:jc w:val="both"/>
        <w:rPr>
          <w:rFonts w:ascii="Times New Roman" w:hAnsi="Times New Roman" w:cs="Times New Roman"/>
          <w:lang w:val="sr-Latn-RS"/>
        </w:rPr>
      </w:pPr>
    </w:p>
    <w:p w14:paraId="178EFFF0" w14:textId="77777777" w:rsidR="00232B8B" w:rsidRPr="00226F9D" w:rsidRDefault="00232B8B" w:rsidP="00090884">
      <w:pPr>
        <w:spacing w:after="0" w:line="240" w:lineRule="auto"/>
        <w:jc w:val="both"/>
        <w:rPr>
          <w:rFonts w:ascii="Times New Roman" w:hAnsi="Times New Roman" w:cs="Times New Roman"/>
          <w:lang w:val="sr-Latn-RS"/>
        </w:rPr>
      </w:pPr>
    </w:p>
    <w:p w14:paraId="6A6D5DC8" w14:textId="1F031110" w:rsidR="00E75D5A" w:rsidRPr="00226F9D" w:rsidRDefault="00E75D5A" w:rsidP="00E847EF">
      <w:pPr>
        <w:pStyle w:val="Heading2"/>
        <w:numPr>
          <w:ilvl w:val="0"/>
          <w:numId w:val="25"/>
        </w:numPr>
        <w:rPr>
          <w:rFonts w:ascii="Times New Roman" w:eastAsia="Calibri" w:hAnsi="Times New Roman" w:cs="Times New Roman"/>
          <w:lang w:val="sr-Cyrl-RS"/>
        </w:rPr>
      </w:pPr>
      <w:bookmarkStart w:id="6" w:name="_Toc222753915"/>
      <w:r w:rsidRPr="00226F9D">
        <w:rPr>
          <w:rFonts w:ascii="Times New Roman" w:eastAsia="Calibri" w:hAnsi="Times New Roman" w:cs="Times New Roman"/>
          <w:lang w:val="sr-Cyrl-RS"/>
        </w:rPr>
        <w:t xml:space="preserve">Финансирање локалне </w:t>
      </w:r>
      <w:r w:rsidR="00EE38D4" w:rsidRPr="00226F9D">
        <w:rPr>
          <w:rFonts w:ascii="Times New Roman" w:eastAsia="Calibri" w:hAnsi="Times New Roman" w:cs="Times New Roman"/>
          <w:lang w:val="sr-Cyrl-RS"/>
        </w:rPr>
        <w:t>само</w:t>
      </w:r>
      <w:r w:rsidRPr="00226F9D">
        <w:rPr>
          <w:rFonts w:ascii="Times New Roman" w:eastAsia="Calibri" w:hAnsi="Times New Roman" w:cs="Times New Roman"/>
          <w:lang w:val="sr-Cyrl-RS"/>
        </w:rPr>
        <w:t>управе</w:t>
      </w:r>
      <w:bookmarkEnd w:id="6"/>
    </w:p>
    <w:p w14:paraId="4CA51B6C" w14:textId="77777777" w:rsidR="009910A5" w:rsidRPr="00226F9D" w:rsidRDefault="009910A5" w:rsidP="00090884">
      <w:pPr>
        <w:spacing w:after="0" w:line="240" w:lineRule="auto"/>
        <w:jc w:val="both"/>
        <w:rPr>
          <w:rFonts w:ascii="Times New Roman" w:hAnsi="Times New Roman" w:cs="Times New Roman"/>
          <w:sz w:val="22"/>
          <w:szCs w:val="22"/>
          <w:lang w:val="sr-Cyrl-RS"/>
        </w:rPr>
      </w:pPr>
    </w:p>
    <w:p w14:paraId="22F7FD5D" w14:textId="2EB0DA0D" w:rsidR="00FA6086" w:rsidRPr="00226F9D" w:rsidRDefault="00FA6086"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У Програму за реформу система локалне самоуправе за период 2021-2025</w:t>
      </w:r>
      <w:r w:rsidR="00DA785C" w:rsidRPr="00226F9D">
        <w:rPr>
          <w:rFonts w:ascii="Times New Roman" w:hAnsi="Times New Roman" w:cs="Times New Roman"/>
          <w:lang w:val="sr-Cyrl-RS"/>
        </w:rPr>
        <w:t>.</w:t>
      </w:r>
      <w:r w:rsidRPr="00226F9D">
        <w:rPr>
          <w:rFonts w:ascii="Times New Roman" w:hAnsi="Times New Roman" w:cs="Times New Roman"/>
          <w:lang w:val="sr-Cyrl-RS"/>
        </w:rPr>
        <w:t xml:space="preserve"> године, </w:t>
      </w:r>
      <w:r w:rsidR="00202794" w:rsidRPr="00226F9D">
        <w:rPr>
          <w:rFonts w:ascii="Times New Roman" w:hAnsi="Times New Roman" w:cs="Times New Roman"/>
          <w:lang w:val="sr-Cyrl-RS"/>
        </w:rPr>
        <w:t>финансирање локалне самоуправе препознато је као једна од кључних реформских области</w:t>
      </w:r>
      <w:r w:rsidR="00D7492E" w:rsidRPr="00226F9D">
        <w:rPr>
          <w:rFonts w:ascii="Times New Roman" w:hAnsi="Times New Roman" w:cs="Times New Roman"/>
          <w:lang w:val="sr-Cyrl-RS"/>
        </w:rPr>
        <w:t xml:space="preserve"> које су дефинисане у </w:t>
      </w:r>
      <w:r w:rsidR="00C4062D" w:rsidRPr="00226F9D">
        <w:rPr>
          <w:rFonts w:ascii="Times New Roman" w:hAnsi="Times New Roman" w:cs="Times New Roman"/>
          <w:lang w:val="sr-Cyrl-RS"/>
        </w:rPr>
        <w:t xml:space="preserve">оквиру </w:t>
      </w:r>
      <w:r w:rsidR="00D7492E" w:rsidRPr="00226F9D">
        <w:rPr>
          <w:rFonts w:ascii="Times New Roman" w:hAnsi="Times New Roman" w:cs="Times New Roman"/>
          <w:lang w:val="sr-Cyrl-RS"/>
        </w:rPr>
        <w:t>Програмско</w:t>
      </w:r>
      <w:r w:rsidR="00C4062D" w:rsidRPr="00226F9D">
        <w:rPr>
          <w:rFonts w:ascii="Times New Roman" w:hAnsi="Times New Roman" w:cs="Times New Roman"/>
          <w:lang w:val="sr-Cyrl-RS"/>
        </w:rPr>
        <w:t>г</w:t>
      </w:r>
      <w:r w:rsidR="00D7492E" w:rsidRPr="00226F9D">
        <w:rPr>
          <w:rFonts w:ascii="Times New Roman" w:hAnsi="Times New Roman" w:cs="Times New Roman"/>
          <w:lang w:val="sr-Cyrl-RS"/>
        </w:rPr>
        <w:t xml:space="preserve"> циљ</w:t>
      </w:r>
      <w:r w:rsidR="005B4C8F" w:rsidRPr="00226F9D">
        <w:rPr>
          <w:rFonts w:ascii="Times New Roman" w:hAnsi="Times New Roman" w:cs="Times New Roman"/>
          <w:lang w:val="sr-Cyrl-RS"/>
        </w:rPr>
        <w:t>а</w:t>
      </w:r>
      <w:r w:rsidR="00D7492E" w:rsidRPr="00226F9D">
        <w:rPr>
          <w:rFonts w:ascii="Times New Roman" w:hAnsi="Times New Roman" w:cs="Times New Roman"/>
          <w:lang w:val="sr-Cyrl-RS"/>
        </w:rPr>
        <w:t xml:space="preserve"> 2</w:t>
      </w:r>
      <w:r w:rsidR="00202794" w:rsidRPr="00226F9D">
        <w:rPr>
          <w:rFonts w:ascii="Times New Roman" w:hAnsi="Times New Roman" w:cs="Times New Roman"/>
          <w:lang w:val="sr-Cyrl-RS"/>
        </w:rPr>
        <w:t>. П</w:t>
      </w:r>
      <w:r w:rsidRPr="00226F9D">
        <w:rPr>
          <w:rFonts w:ascii="Times New Roman" w:hAnsi="Times New Roman" w:cs="Times New Roman"/>
          <w:lang w:val="sr-Cyrl-RS"/>
        </w:rPr>
        <w:t>рограм</w:t>
      </w:r>
      <w:r w:rsidR="00202794" w:rsidRPr="00226F9D">
        <w:rPr>
          <w:rFonts w:ascii="Times New Roman" w:hAnsi="Times New Roman" w:cs="Times New Roman"/>
          <w:lang w:val="sr-Cyrl-RS"/>
        </w:rPr>
        <w:t xml:space="preserve"> је идентификовао </w:t>
      </w:r>
      <w:r w:rsidRPr="00226F9D">
        <w:rPr>
          <w:rFonts w:ascii="Times New Roman" w:hAnsi="Times New Roman" w:cs="Times New Roman"/>
          <w:lang w:val="sr-Cyrl-RS"/>
        </w:rPr>
        <w:t xml:space="preserve">бројне структурне и функционалне изазове </w:t>
      </w:r>
      <w:r w:rsidR="00F72C3A" w:rsidRPr="00226F9D">
        <w:rPr>
          <w:rFonts w:ascii="Times New Roman" w:hAnsi="Times New Roman" w:cs="Times New Roman"/>
          <w:lang w:val="sr-Cyrl-RS"/>
        </w:rPr>
        <w:t>у систему финансирања на које је неопходно дати реформски одговор,</w:t>
      </w:r>
      <w:r w:rsidRPr="00226F9D">
        <w:rPr>
          <w:rFonts w:ascii="Times New Roman" w:hAnsi="Times New Roman" w:cs="Times New Roman"/>
          <w:lang w:val="sr-Cyrl-RS"/>
        </w:rPr>
        <w:t xml:space="preserve"> као што су:</w:t>
      </w:r>
    </w:p>
    <w:p w14:paraId="69E7DA64" w14:textId="77777777" w:rsidR="009E4036" w:rsidRPr="00226F9D" w:rsidRDefault="009E4036" w:rsidP="00232B8B">
      <w:pPr>
        <w:pStyle w:val="ListParagraph"/>
        <w:numPr>
          <w:ilvl w:val="0"/>
          <w:numId w:val="31"/>
        </w:numPr>
        <w:spacing w:after="0" w:line="240" w:lineRule="auto"/>
        <w:jc w:val="both"/>
        <w:rPr>
          <w:rFonts w:ascii="Times New Roman" w:hAnsi="Times New Roman" w:cs="Times New Roman"/>
          <w:lang w:val="sr-Cyrl-RS"/>
        </w:rPr>
      </w:pPr>
      <w:r w:rsidRPr="00226F9D">
        <w:rPr>
          <w:rStyle w:val="Strong"/>
          <w:rFonts w:ascii="Times New Roman" w:eastAsiaTheme="majorEastAsia" w:hAnsi="Times New Roman" w:cs="Times New Roman"/>
          <w:lang w:val="sr-Cyrl-RS"/>
        </w:rPr>
        <w:t>Честе измене правног оквира</w:t>
      </w:r>
      <w:r w:rsidRPr="00226F9D">
        <w:rPr>
          <w:rFonts w:ascii="Times New Roman" w:hAnsi="Times New Roman" w:cs="Times New Roman"/>
          <w:lang w:val="sr-Cyrl-RS"/>
        </w:rPr>
        <w:t xml:space="preserve"> – приходе локалне самоуправе обликују бројне измене закона, често усред буџетске године, што смањује стабилност и онемогућава дугорочно планирање.</w:t>
      </w:r>
    </w:p>
    <w:p w14:paraId="7EB222EA" w14:textId="0BBF1992" w:rsidR="009E4036" w:rsidRPr="00226F9D" w:rsidRDefault="009E4036" w:rsidP="00232B8B">
      <w:pPr>
        <w:pStyle w:val="ListParagraph"/>
        <w:numPr>
          <w:ilvl w:val="0"/>
          <w:numId w:val="31"/>
        </w:numPr>
        <w:spacing w:after="0" w:line="240" w:lineRule="auto"/>
        <w:jc w:val="both"/>
        <w:rPr>
          <w:rFonts w:ascii="Times New Roman" w:hAnsi="Times New Roman" w:cs="Times New Roman"/>
          <w:lang w:val="sr-Cyrl-RS"/>
        </w:rPr>
      </w:pPr>
      <w:bookmarkStart w:id="7" w:name="_Hlk210074725"/>
      <w:r w:rsidRPr="00226F9D">
        <w:rPr>
          <w:rStyle w:val="Strong"/>
          <w:rFonts w:ascii="Times New Roman" w:eastAsiaTheme="majorEastAsia" w:hAnsi="Times New Roman" w:cs="Times New Roman"/>
          <w:lang w:val="sr-Cyrl-RS"/>
        </w:rPr>
        <w:t>Ненаменски трансфери без динамике раста</w:t>
      </w:r>
      <w:r w:rsidRPr="00226F9D">
        <w:rPr>
          <w:rFonts w:ascii="Times New Roman" w:hAnsi="Times New Roman" w:cs="Times New Roman"/>
          <w:lang w:val="sr-Cyrl-RS"/>
        </w:rPr>
        <w:t xml:space="preserve"> – износ трансфера је годинама фиксиран, уместо да прати БДП; методологија је компликована, а листа развијености ЈЛС</w:t>
      </w:r>
      <w:r w:rsidR="00D33E39" w:rsidRPr="00226F9D">
        <w:rPr>
          <w:rFonts w:ascii="Times New Roman" w:hAnsi="Times New Roman" w:cs="Times New Roman"/>
          <w:lang w:val="sr-Cyrl-RS"/>
        </w:rPr>
        <w:t xml:space="preserve"> од које зависи коначна дистрибуција овог али и дела наменских трансфера,</w:t>
      </w:r>
      <w:r w:rsidRPr="00226F9D">
        <w:rPr>
          <w:rFonts w:ascii="Times New Roman" w:hAnsi="Times New Roman" w:cs="Times New Roman"/>
          <w:lang w:val="sr-Cyrl-RS"/>
        </w:rPr>
        <w:t xml:space="preserve"> није ажурирана</w:t>
      </w:r>
      <w:bookmarkEnd w:id="7"/>
      <w:r w:rsidRPr="00226F9D">
        <w:rPr>
          <w:rFonts w:ascii="Times New Roman" w:hAnsi="Times New Roman" w:cs="Times New Roman"/>
          <w:lang w:val="sr-Cyrl-RS"/>
        </w:rPr>
        <w:t>.</w:t>
      </w:r>
    </w:p>
    <w:p w14:paraId="12F25D20" w14:textId="77777777" w:rsidR="009E4036" w:rsidRPr="00226F9D" w:rsidRDefault="009E4036" w:rsidP="00232B8B">
      <w:pPr>
        <w:pStyle w:val="ListParagraph"/>
        <w:numPr>
          <w:ilvl w:val="0"/>
          <w:numId w:val="31"/>
        </w:numPr>
        <w:spacing w:after="0" w:line="240" w:lineRule="auto"/>
        <w:jc w:val="both"/>
        <w:rPr>
          <w:rFonts w:ascii="Times New Roman" w:hAnsi="Times New Roman" w:cs="Times New Roman"/>
          <w:lang w:val="sr-Cyrl-RS"/>
        </w:rPr>
      </w:pPr>
      <w:r w:rsidRPr="00226F9D">
        <w:rPr>
          <w:rStyle w:val="Strong"/>
          <w:rFonts w:ascii="Times New Roman" w:eastAsiaTheme="majorEastAsia" w:hAnsi="Times New Roman" w:cs="Times New Roman"/>
          <w:lang w:val="sr-Cyrl-RS"/>
        </w:rPr>
        <w:t>Недовољна предвидивост и гаранција довољности прихода</w:t>
      </w:r>
      <w:r w:rsidRPr="00226F9D">
        <w:rPr>
          <w:rFonts w:ascii="Times New Roman" w:hAnsi="Times New Roman" w:cs="Times New Roman"/>
          <w:lang w:val="sr-Cyrl-RS"/>
        </w:rPr>
        <w:t xml:space="preserve"> – нове надлежности често нису праћене изворима финансирања; нема јасне методологије за мерење трошкова пренетих послова.</w:t>
      </w:r>
    </w:p>
    <w:p w14:paraId="76EB60AD" w14:textId="77777777" w:rsidR="009E4036" w:rsidRPr="00226F9D" w:rsidRDefault="009E4036" w:rsidP="00232B8B">
      <w:pPr>
        <w:pStyle w:val="ListParagraph"/>
        <w:numPr>
          <w:ilvl w:val="0"/>
          <w:numId w:val="31"/>
        </w:numPr>
        <w:spacing w:after="0" w:line="240" w:lineRule="auto"/>
        <w:jc w:val="both"/>
        <w:rPr>
          <w:rFonts w:ascii="Times New Roman" w:hAnsi="Times New Roman" w:cs="Times New Roman"/>
          <w:lang w:val="sr-Cyrl-RS"/>
        </w:rPr>
      </w:pPr>
      <w:r w:rsidRPr="00226F9D">
        <w:rPr>
          <w:rStyle w:val="Strong"/>
          <w:rFonts w:ascii="Times New Roman" w:eastAsiaTheme="majorEastAsia" w:hAnsi="Times New Roman" w:cs="Times New Roman"/>
          <w:lang w:val="sr-Cyrl-RS"/>
        </w:rPr>
        <w:lastRenderedPageBreak/>
        <w:t>Хоризонталне разлике између ЈЛС</w:t>
      </w:r>
      <w:r w:rsidRPr="00226F9D">
        <w:rPr>
          <w:rFonts w:ascii="Times New Roman" w:hAnsi="Times New Roman" w:cs="Times New Roman"/>
          <w:lang w:val="sr-Cyrl-RS"/>
        </w:rPr>
        <w:t xml:space="preserve"> – девастиране општине зависе од централних трансфера и имају знатно мање сопствених прихода, што угрожава једнак квалитет услуга.</w:t>
      </w:r>
    </w:p>
    <w:p w14:paraId="3EE8B4B3" w14:textId="1F87FFA3" w:rsidR="009E4036" w:rsidRPr="00226F9D" w:rsidRDefault="009E4036" w:rsidP="00232B8B">
      <w:pPr>
        <w:pStyle w:val="ListParagraph"/>
        <w:numPr>
          <w:ilvl w:val="0"/>
          <w:numId w:val="31"/>
        </w:numPr>
        <w:spacing w:after="0" w:line="240" w:lineRule="auto"/>
        <w:jc w:val="both"/>
        <w:rPr>
          <w:rFonts w:ascii="Times New Roman" w:hAnsi="Times New Roman" w:cs="Times New Roman"/>
          <w:lang w:val="sr-Cyrl-RS"/>
        </w:rPr>
      </w:pPr>
      <w:r w:rsidRPr="00226F9D">
        <w:rPr>
          <w:rStyle w:val="Strong"/>
          <w:rFonts w:ascii="Times New Roman" w:eastAsiaTheme="majorEastAsia" w:hAnsi="Times New Roman" w:cs="Times New Roman"/>
          <w:lang w:val="sr-Cyrl-RS"/>
        </w:rPr>
        <w:t>Слаба институционална сарадња и дијалог</w:t>
      </w:r>
      <w:r w:rsidRPr="00226F9D">
        <w:rPr>
          <w:rFonts w:ascii="Times New Roman" w:hAnsi="Times New Roman" w:cs="Times New Roman"/>
          <w:lang w:val="sr-Cyrl-RS"/>
        </w:rPr>
        <w:t xml:space="preserve"> – Комисија за финансирање </w:t>
      </w:r>
      <w:r w:rsidR="00BD5266" w:rsidRPr="00226F9D">
        <w:rPr>
          <w:rFonts w:ascii="Times New Roman" w:hAnsi="Times New Roman" w:cs="Times New Roman"/>
          <w:lang w:val="sr-Cyrl-RS"/>
        </w:rPr>
        <w:t>локалне самоуправе</w:t>
      </w:r>
      <w:r w:rsidRPr="00226F9D">
        <w:rPr>
          <w:rFonts w:ascii="Times New Roman" w:hAnsi="Times New Roman" w:cs="Times New Roman"/>
          <w:lang w:val="sr-Cyrl-RS"/>
        </w:rPr>
        <w:t xml:space="preserve"> не </w:t>
      </w:r>
      <w:r w:rsidR="00BD5266" w:rsidRPr="00226F9D">
        <w:rPr>
          <w:rFonts w:ascii="Times New Roman" w:hAnsi="Times New Roman" w:cs="Times New Roman"/>
          <w:lang w:val="sr-Cyrl-RS"/>
        </w:rPr>
        <w:t>функционише</w:t>
      </w:r>
      <w:r w:rsidRPr="00226F9D">
        <w:rPr>
          <w:rFonts w:ascii="Times New Roman" w:hAnsi="Times New Roman" w:cs="Times New Roman"/>
          <w:lang w:val="sr-Cyrl-RS"/>
        </w:rPr>
        <w:t xml:space="preserve"> годинама, што отежава </w:t>
      </w:r>
      <w:r w:rsidR="00655761" w:rsidRPr="00226F9D">
        <w:rPr>
          <w:rFonts w:ascii="Times New Roman" w:hAnsi="Times New Roman" w:cs="Times New Roman"/>
          <w:lang w:val="sr-Cyrl-RS"/>
        </w:rPr>
        <w:t>разматрање потенцијалних</w:t>
      </w:r>
      <w:r w:rsidRPr="00226F9D">
        <w:rPr>
          <w:rFonts w:ascii="Times New Roman" w:hAnsi="Times New Roman" w:cs="Times New Roman"/>
          <w:lang w:val="sr-Cyrl-RS"/>
        </w:rPr>
        <w:t xml:space="preserve"> реформи и системских решења.</w:t>
      </w:r>
    </w:p>
    <w:p w14:paraId="00690794" w14:textId="77777777" w:rsidR="009E4036" w:rsidRPr="00226F9D" w:rsidRDefault="009E4036" w:rsidP="00232B8B">
      <w:pPr>
        <w:pStyle w:val="ListParagraph"/>
        <w:numPr>
          <w:ilvl w:val="0"/>
          <w:numId w:val="31"/>
        </w:numPr>
        <w:spacing w:after="0" w:line="240" w:lineRule="auto"/>
        <w:jc w:val="both"/>
        <w:rPr>
          <w:rFonts w:ascii="Times New Roman" w:hAnsi="Times New Roman" w:cs="Times New Roman"/>
          <w:lang w:val="sr-Cyrl-RS"/>
        </w:rPr>
      </w:pPr>
      <w:r w:rsidRPr="00226F9D">
        <w:rPr>
          <w:rStyle w:val="Strong"/>
          <w:rFonts w:ascii="Times New Roman" w:eastAsiaTheme="majorEastAsia" w:hAnsi="Times New Roman" w:cs="Times New Roman"/>
          <w:lang w:val="sr-Cyrl-RS"/>
        </w:rPr>
        <w:t>Сопствени приходи и капацитети</w:t>
      </w:r>
      <w:r w:rsidRPr="00226F9D">
        <w:rPr>
          <w:rFonts w:ascii="Times New Roman" w:hAnsi="Times New Roman" w:cs="Times New Roman"/>
          <w:lang w:val="sr-Cyrl-RS"/>
        </w:rPr>
        <w:t xml:space="preserve"> – порез на имовину је главни извор, али простор за раст је ограничен; потенцијал постоји у бољој евиденцији, наплати и широј фискалној децентрализацији.</w:t>
      </w:r>
    </w:p>
    <w:p w14:paraId="5854765B" w14:textId="63AD58B2" w:rsidR="009E4036" w:rsidRPr="00226F9D" w:rsidRDefault="009E4036" w:rsidP="00232B8B">
      <w:pPr>
        <w:pStyle w:val="ListParagraph"/>
        <w:numPr>
          <w:ilvl w:val="0"/>
          <w:numId w:val="31"/>
        </w:numPr>
        <w:spacing w:after="0" w:line="240" w:lineRule="auto"/>
        <w:jc w:val="both"/>
        <w:rPr>
          <w:rFonts w:ascii="Times New Roman" w:hAnsi="Times New Roman" w:cs="Times New Roman"/>
          <w:lang w:val="sr-Cyrl-RS"/>
        </w:rPr>
      </w:pPr>
      <w:r w:rsidRPr="00226F9D">
        <w:rPr>
          <w:rStyle w:val="Strong"/>
          <w:rFonts w:ascii="Times New Roman" w:eastAsiaTheme="majorEastAsia" w:hAnsi="Times New Roman" w:cs="Times New Roman"/>
          <w:lang w:val="sr-Cyrl-RS"/>
        </w:rPr>
        <w:t>Буџетски процеси и структура расхода</w:t>
      </w:r>
      <w:r w:rsidRPr="00226F9D">
        <w:rPr>
          <w:rFonts w:ascii="Times New Roman" w:hAnsi="Times New Roman" w:cs="Times New Roman"/>
          <w:lang w:val="sr-Cyrl-RS"/>
        </w:rPr>
        <w:t xml:space="preserve"> – честе корекције буџета, слабо планирање прихода и </w:t>
      </w:r>
      <w:r w:rsidR="526709F5" w:rsidRPr="00226F9D">
        <w:rPr>
          <w:rFonts w:ascii="Times New Roman" w:hAnsi="Times New Roman" w:cs="Times New Roman"/>
          <w:lang w:val="sr-Cyrl-RS"/>
        </w:rPr>
        <w:t>расхода</w:t>
      </w:r>
      <w:r w:rsidR="69336289" w:rsidRPr="00226F9D">
        <w:rPr>
          <w:rFonts w:ascii="Times New Roman" w:hAnsi="Times New Roman" w:cs="Times New Roman"/>
          <w:lang w:val="sr-Cyrl-RS"/>
        </w:rPr>
        <w:t xml:space="preserve"> и </w:t>
      </w:r>
      <w:r w:rsidRPr="00226F9D">
        <w:rPr>
          <w:rFonts w:ascii="Times New Roman" w:hAnsi="Times New Roman" w:cs="Times New Roman"/>
          <w:lang w:val="sr-Cyrl-RS"/>
        </w:rPr>
        <w:t>недовољна капитална улагања; недос</w:t>
      </w:r>
      <w:r w:rsidR="0028568D" w:rsidRPr="00226F9D">
        <w:rPr>
          <w:rFonts w:ascii="Times New Roman" w:hAnsi="Times New Roman" w:cs="Times New Roman"/>
          <w:lang w:val="sr-Cyrl-RS"/>
        </w:rPr>
        <w:t>татак</w:t>
      </w:r>
      <w:r w:rsidRPr="00226F9D">
        <w:rPr>
          <w:rFonts w:ascii="Times New Roman" w:hAnsi="Times New Roman" w:cs="Times New Roman"/>
          <w:lang w:val="sr-Cyrl-RS"/>
        </w:rPr>
        <w:t xml:space="preserve"> системск</w:t>
      </w:r>
      <w:r w:rsidR="0028568D" w:rsidRPr="00226F9D">
        <w:rPr>
          <w:rFonts w:ascii="Times New Roman" w:hAnsi="Times New Roman" w:cs="Times New Roman"/>
          <w:lang w:val="sr-Cyrl-RS"/>
        </w:rPr>
        <w:t>е</w:t>
      </w:r>
      <w:r w:rsidRPr="00226F9D">
        <w:rPr>
          <w:rFonts w:ascii="Times New Roman" w:hAnsi="Times New Roman" w:cs="Times New Roman"/>
          <w:lang w:val="sr-Cyrl-RS"/>
        </w:rPr>
        <w:t xml:space="preserve"> приоритизациј</w:t>
      </w:r>
      <w:r w:rsidR="0028568D" w:rsidRPr="00226F9D">
        <w:rPr>
          <w:rFonts w:ascii="Times New Roman" w:hAnsi="Times New Roman" w:cs="Times New Roman"/>
          <w:lang w:val="sr-Cyrl-RS"/>
        </w:rPr>
        <w:t>е</w:t>
      </w:r>
      <w:r w:rsidRPr="00226F9D">
        <w:rPr>
          <w:rFonts w:ascii="Times New Roman" w:hAnsi="Times New Roman" w:cs="Times New Roman"/>
          <w:lang w:val="sr-Cyrl-RS"/>
        </w:rPr>
        <w:t xml:space="preserve"> пројеката и адекватн</w:t>
      </w:r>
      <w:r w:rsidR="0028568D" w:rsidRPr="00226F9D">
        <w:rPr>
          <w:rFonts w:ascii="Times New Roman" w:hAnsi="Times New Roman" w:cs="Times New Roman"/>
          <w:lang w:val="sr-Cyrl-RS"/>
        </w:rPr>
        <w:t>е</w:t>
      </w:r>
      <w:r w:rsidRPr="00226F9D">
        <w:rPr>
          <w:rFonts w:ascii="Times New Roman" w:hAnsi="Times New Roman" w:cs="Times New Roman"/>
          <w:lang w:val="sr-Cyrl-RS"/>
        </w:rPr>
        <w:t xml:space="preserve"> координациј</w:t>
      </w:r>
      <w:r w:rsidR="0028568D" w:rsidRPr="00226F9D">
        <w:rPr>
          <w:rFonts w:ascii="Times New Roman" w:hAnsi="Times New Roman" w:cs="Times New Roman"/>
          <w:lang w:val="sr-Cyrl-RS"/>
        </w:rPr>
        <w:t>е</w:t>
      </w:r>
      <w:r w:rsidRPr="00226F9D">
        <w:rPr>
          <w:rFonts w:ascii="Times New Roman" w:hAnsi="Times New Roman" w:cs="Times New Roman"/>
          <w:lang w:val="sr-Cyrl-RS"/>
        </w:rPr>
        <w:t xml:space="preserve"> унутар ЛС.</w:t>
      </w:r>
    </w:p>
    <w:p w14:paraId="629C03C5" w14:textId="35029914" w:rsidR="005C303D" w:rsidRPr="00226F9D" w:rsidRDefault="009E4036" w:rsidP="00232B8B">
      <w:pPr>
        <w:pStyle w:val="ListParagraph"/>
        <w:numPr>
          <w:ilvl w:val="0"/>
          <w:numId w:val="31"/>
        </w:numPr>
        <w:spacing w:after="0" w:line="240" w:lineRule="auto"/>
        <w:jc w:val="both"/>
        <w:rPr>
          <w:rFonts w:ascii="Times New Roman" w:hAnsi="Times New Roman" w:cs="Times New Roman"/>
          <w:lang w:val="sr-Cyrl-RS"/>
        </w:rPr>
      </w:pPr>
      <w:r w:rsidRPr="00226F9D">
        <w:rPr>
          <w:rStyle w:val="Strong"/>
          <w:rFonts w:ascii="Times New Roman" w:eastAsiaTheme="majorEastAsia" w:hAnsi="Times New Roman" w:cs="Times New Roman"/>
          <w:lang w:val="sr-Cyrl-RS"/>
        </w:rPr>
        <w:t>Финансијска контрола и транспарентност</w:t>
      </w:r>
      <w:r w:rsidRPr="00226F9D">
        <w:rPr>
          <w:rFonts w:ascii="Times New Roman" w:hAnsi="Times New Roman" w:cs="Times New Roman"/>
          <w:lang w:val="sr-Cyrl-RS"/>
        </w:rPr>
        <w:t xml:space="preserve"> – интерна ревизија</w:t>
      </w:r>
      <w:r w:rsidR="00816318" w:rsidRPr="00226F9D">
        <w:rPr>
          <w:rFonts w:ascii="Times New Roman" w:hAnsi="Times New Roman" w:cs="Times New Roman"/>
          <w:lang w:val="sr-Cyrl-RS"/>
        </w:rPr>
        <w:t xml:space="preserve"> (ИР)</w:t>
      </w:r>
      <w:r w:rsidRPr="00226F9D">
        <w:rPr>
          <w:rFonts w:ascii="Times New Roman" w:hAnsi="Times New Roman" w:cs="Times New Roman"/>
          <w:lang w:val="sr-Cyrl-RS"/>
        </w:rPr>
        <w:t xml:space="preserve"> и </w:t>
      </w:r>
      <w:r w:rsidR="004248EC" w:rsidRPr="00226F9D">
        <w:rPr>
          <w:rFonts w:ascii="Times New Roman" w:hAnsi="Times New Roman" w:cs="Times New Roman"/>
          <w:lang w:val="sr-Cyrl-RS"/>
        </w:rPr>
        <w:t>финансијско управљање и контрола</w:t>
      </w:r>
      <w:r w:rsidRPr="00226F9D">
        <w:rPr>
          <w:rFonts w:ascii="Times New Roman" w:hAnsi="Times New Roman" w:cs="Times New Roman"/>
          <w:lang w:val="sr-Cyrl-RS"/>
        </w:rPr>
        <w:t xml:space="preserve"> </w:t>
      </w:r>
      <w:r w:rsidR="00816318" w:rsidRPr="00226F9D">
        <w:rPr>
          <w:rFonts w:ascii="Times New Roman" w:hAnsi="Times New Roman" w:cs="Times New Roman"/>
          <w:lang w:val="sr-Cyrl-RS"/>
        </w:rPr>
        <w:t xml:space="preserve">(ФУК) </w:t>
      </w:r>
      <w:r w:rsidRPr="00226F9D">
        <w:rPr>
          <w:rFonts w:ascii="Times New Roman" w:hAnsi="Times New Roman" w:cs="Times New Roman"/>
          <w:lang w:val="sr-Cyrl-RS"/>
        </w:rPr>
        <w:t>су слабо развијени, а јавност и даље нема довољно информација о буџету, извршењу, инвестицијама и задужености.</w:t>
      </w:r>
    </w:p>
    <w:p w14:paraId="485AFC90" w14:textId="77777777" w:rsidR="00FB4087" w:rsidRPr="00226F9D" w:rsidRDefault="00FB4087" w:rsidP="00090884">
      <w:pPr>
        <w:spacing w:after="0" w:line="240" w:lineRule="auto"/>
        <w:jc w:val="both"/>
        <w:rPr>
          <w:rFonts w:ascii="Times New Roman" w:hAnsi="Times New Roman" w:cs="Times New Roman"/>
          <w:lang w:val="sr-Cyrl-RS"/>
        </w:rPr>
      </w:pPr>
    </w:p>
    <w:p w14:paraId="4F288F9B" w14:textId="33D40ADE" w:rsidR="00D7492E" w:rsidRPr="00226F9D" w:rsidRDefault="00D7492E"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Током спровођења овог Програма </w:t>
      </w:r>
      <w:r w:rsidR="002429AD" w:rsidRPr="00226F9D">
        <w:rPr>
          <w:rFonts w:ascii="Times New Roman" w:hAnsi="Times New Roman" w:cs="Times New Roman"/>
          <w:lang w:val="sr-Cyrl-RS"/>
        </w:rPr>
        <w:t>спроведене</w:t>
      </w:r>
      <w:r w:rsidRPr="00226F9D">
        <w:rPr>
          <w:rFonts w:ascii="Times New Roman" w:hAnsi="Times New Roman" w:cs="Times New Roman"/>
          <w:lang w:val="sr-Cyrl-RS"/>
        </w:rPr>
        <w:t xml:space="preserve"> су бројне активности</w:t>
      </w:r>
      <w:r w:rsidR="002429AD" w:rsidRPr="00226F9D">
        <w:rPr>
          <w:rFonts w:ascii="Times New Roman" w:hAnsi="Times New Roman" w:cs="Times New Roman"/>
          <w:lang w:val="sr-Cyrl-RS"/>
        </w:rPr>
        <w:t>,</w:t>
      </w:r>
      <w:r w:rsidRPr="00226F9D">
        <w:rPr>
          <w:rFonts w:ascii="Times New Roman" w:hAnsi="Times New Roman" w:cs="Times New Roman"/>
          <w:lang w:val="sr-Cyrl-RS"/>
        </w:rPr>
        <w:t xml:space="preserve"> али нису остварене и све планиране вредности показатеља за Посебни циљ </w:t>
      </w:r>
      <w:r w:rsidR="006C2B34" w:rsidRPr="00226F9D">
        <w:rPr>
          <w:rFonts w:ascii="Times New Roman" w:hAnsi="Times New Roman" w:cs="Times New Roman"/>
          <w:lang w:val="sr-Cyrl-RS"/>
        </w:rPr>
        <w:t>2</w:t>
      </w:r>
      <w:r w:rsidR="00683DB7" w:rsidRPr="00226F9D">
        <w:rPr>
          <w:rFonts w:ascii="Times New Roman" w:hAnsi="Times New Roman" w:cs="Times New Roman"/>
          <w:lang w:val="sr-Cyrl-RS"/>
        </w:rPr>
        <w:t xml:space="preserve"> - Унапређење система финансирања локалне самоуправе</w:t>
      </w:r>
      <w:r w:rsidRPr="00226F9D">
        <w:rPr>
          <w:rFonts w:ascii="Times New Roman" w:hAnsi="Times New Roman" w:cs="Times New Roman"/>
          <w:lang w:val="sr-Cyrl-RS"/>
        </w:rPr>
        <w:t xml:space="preserve">. </w:t>
      </w:r>
    </w:p>
    <w:p w14:paraId="7B097BFB" w14:textId="77777777" w:rsidR="00232B8B" w:rsidRPr="00226F9D" w:rsidRDefault="00232B8B" w:rsidP="00090884">
      <w:pPr>
        <w:spacing w:after="0" w:line="240" w:lineRule="auto"/>
        <w:jc w:val="both"/>
        <w:rPr>
          <w:rFonts w:ascii="Times New Roman" w:hAnsi="Times New Roman" w:cs="Times New Roman"/>
          <w:sz w:val="22"/>
          <w:szCs w:val="22"/>
          <w:lang w:val="sr-Cyrl-RS"/>
        </w:rPr>
      </w:pPr>
    </w:p>
    <w:p w14:paraId="0C4E2C08" w14:textId="19805560" w:rsidR="008A5788" w:rsidRPr="00226F9D" w:rsidRDefault="008A5788" w:rsidP="00090884">
      <w:pPr>
        <w:spacing w:after="0" w:line="240" w:lineRule="auto"/>
        <w:jc w:val="both"/>
        <w:rPr>
          <w:rFonts w:ascii="Times New Roman" w:hAnsi="Times New Roman" w:cs="Times New Roman"/>
          <w:i/>
          <w:iCs/>
          <w:lang w:val="sr-Cyrl-RS"/>
        </w:rPr>
      </w:pPr>
      <w:r w:rsidRPr="00226F9D">
        <w:rPr>
          <w:rFonts w:ascii="Times New Roman" w:hAnsi="Times New Roman" w:cs="Times New Roman"/>
          <w:b/>
          <w:bCs/>
          <w:i/>
          <w:iCs/>
          <w:lang w:val="sr-Cyrl-RS"/>
        </w:rPr>
        <w:t>Табела 2:</w:t>
      </w:r>
      <w:r w:rsidRPr="00226F9D">
        <w:rPr>
          <w:rFonts w:ascii="Times New Roman" w:hAnsi="Times New Roman" w:cs="Times New Roman"/>
          <w:i/>
          <w:iCs/>
          <w:lang w:val="sr-Cyrl-RS"/>
        </w:rPr>
        <w:t xml:space="preserve"> Приказ остварења показатеља на нивоу Посебног циља 2</w:t>
      </w:r>
      <w:r w:rsidR="0031658C" w:rsidRPr="00226F9D">
        <w:rPr>
          <w:rFonts w:ascii="Times New Roman" w:hAnsi="Times New Roman" w:cs="Times New Roman"/>
          <w:i/>
          <w:iCs/>
          <w:lang w:val="sr-Cyrl-RS"/>
        </w:rPr>
        <w:t>:</w:t>
      </w:r>
    </w:p>
    <w:p w14:paraId="2DFBDAD1" w14:textId="77777777" w:rsidR="008A5788" w:rsidRPr="00226F9D" w:rsidRDefault="008A5788" w:rsidP="00090884">
      <w:pPr>
        <w:spacing w:after="0" w:line="240" w:lineRule="auto"/>
        <w:jc w:val="both"/>
        <w:rPr>
          <w:rFonts w:ascii="Times New Roman" w:hAnsi="Times New Roman" w:cs="Times New Roman"/>
          <w:sz w:val="22"/>
          <w:szCs w:val="22"/>
          <w:lang w:val="sr-Cyrl-RS"/>
        </w:rPr>
      </w:pPr>
    </w:p>
    <w:tbl>
      <w:tblPr>
        <w:tblpPr w:leftFromText="180" w:rightFromText="180" w:vertAnchor="text" w:tblpXSpec="center" w:tblpY="1"/>
        <w:tblOverlap w:val="never"/>
        <w:tblW w:w="5000" w:type="pct"/>
        <w:tblLayout w:type="fixed"/>
        <w:tblLook w:val="04A0" w:firstRow="1" w:lastRow="0" w:firstColumn="1" w:lastColumn="0" w:noHBand="0" w:noVBand="1"/>
      </w:tblPr>
      <w:tblGrid>
        <w:gridCol w:w="5090"/>
        <w:gridCol w:w="1572"/>
        <w:gridCol w:w="1484"/>
        <w:gridCol w:w="1476"/>
      </w:tblGrid>
      <w:tr w:rsidR="00525794" w:rsidRPr="00226F9D" w14:paraId="1A101C2F" w14:textId="77777777" w:rsidTr="0E5AB833">
        <w:trPr>
          <w:trHeight w:val="561"/>
        </w:trPr>
        <w:tc>
          <w:tcPr>
            <w:tcW w:w="26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064856" w14:textId="77777777" w:rsidR="008A5788" w:rsidRPr="00226F9D" w:rsidRDefault="008A5788" w:rsidP="00232B8B">
            <w:pPr>
              <w:spacing w:after="0" w:line="240" w:lineRule="auto"/>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Показатељ(и) на нивоу посебног циља (показатељ исхода)</w:t>
            </w:r>
          </w:p>
        </w:tc>
        <w:tc>
          <w:tcPr>
            <w:tcW w:w="81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11DEDD" w14:textId="77777777" w:rsidR="008A5788" w:rsidRPr="00226F9D" w:rsidRDefault="008A5788"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 xml:space="preserve">Почетна вредност </w:t>
            </w:r>
          </w:p>
        </w:tc>
        <w:tc>
          <w:tcPr>
            <w:tcW w:w="77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9F9308" w14:textId="77777777" w:rsidR="008A5788" w:rsidRPr="00226F9D" w:rsidRDefault="008A5788"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Планирана вредност</w:t>
            </w:r>
          </w:p>
        </w:tc>
        <w:tc>
          <w:tcPr>
            <w:tcW w:w="76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D89671" w14:textId="094DC554" w:rsidR="008A5788" w:rsidRPr="00226F9D" w:rsidRDefault="6119528C"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Остварена вредност</w:t>
            </w:r>
          </w:p>
        </w:tc>
      </w:tr>
      <w:tr w:rsidR="00525794" w:rsidRPr="00226F9D" w14:paraId="400A774D" w14:textId="77777777" w:rsidTr="0E5AB833">
        <w:trPr>
          <w:trHeight w:val="554"/>
        </w:trPr>
        <w:tc>
          <w:tcPr>
            <w:tcW w:w="2645" w:type="pct"/>
            <w:tcBorders>
              <w:top w:val="single" w:sz="4" w:space="0" w:color="auto"/>
              <w:left w:val="single" w:sz="4" w:space="0" w:color="auto"/>
              <w:bottom w:val="single" w:sz="4" w:space="0" w:color="auto"/>
              <w:right w:val="single" w:sz="4" w:space="0" w:color="auto"/>
            </w:tcBorders>
            <w:noWrap/>
            <w:vAlign w:val="center"/>
            <w:hideMark/>
          </w:tcPr>
          <w:p w14:paraId="7715F436" w14:textId="78D1CBE4" w:rsidR="008A5788" w:rsidRPr="00226F9D" w:rsidRDefault="00D17D00"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Удео пореских прихода ЛС у укупним пореским приходима  у Републици Србији</w:t>
            </w:r>
          </w:p>
        </w:tc>
        <w:tc>
          <w:tcPr>
            <w:tcW w:w="817" w:type="pct"/>
            <w:tcBorders>
              <w:top w:val="nil"/>
              <w:left w:val="nil"/>
              <w:bottom w:val="single" w:sz="4" w:space="0" w:color="auto"/>
              <w:right w:val="single" w:sz="4" w:space="0" w:color="auto"/>
            </w:tcBorders>
            <w:shd w:val="clear" w:color="auto" w:fill="FFFFFF" w:themeFill="background1"/>
            <w:vAlign w:val="center"/>
            <w:hideMark/>
          </w:tcPr>
          <w:p w14:paraId="0EAD3219" w14:textId="77777777" w:rsidR="00232B8B" w:rsidRPr="00226F9D" w:rsidRDefault="00D17D00"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10.12%</w:t>
            </w:r>
          </w:p>
          <w:p w14:paraId="2046C437" w14:textId="66DEDC10" w:rsidR="008A5788" w:rsidRPr="00226F9D" w:rsidRDefault="00235D98"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(2020)</w:t>
            </w:r>
          </w:p>
        </w:tc>
        <w:tc>
          <w:tcPr>
            <w:tcW w:w="771" w:type="pct"/>
            <w:tcBorders>
              <w:top w:val="nil"/>
              <w:left w:val="nil"/>
              <w:bottom w:val="single" w:sz="4" w:space="0" w:color="auto"/>
              <w:right w:val="single" w:sz="4" w:space="0" w:color="auto"/>
            </w:tcBorders>
            <w:vAlign w:val="center"/>
            <w:hideMark/>
          </w:tcPr>
          <w:p w14:paraId="55E22A8D" w14:textId="42E64437" w:rsidR="008A5788" w:rsidRPr="00226F9D" w:rsidRDefault="00D17D00"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12.30%</w:t>
            </w:r>
            <w:r w:rsidR="00235D98" w:rsidRPr="00226F9D">
              <w:rPr>
                <w:rFonts w:ascii="Times New Roman" w:hAnsi="Times New Roman" w:cs="Times New Roman"/>
                <w:sz w:val="20"/>
                <w:szCs w:val="20"/>
                <w:lang w:val="sr-Latn-RS"/>
              </w:rPr>
              <w:t xml:space="preserve"> </w:t>
            </w:r>
            <w:r w:rsidR="009A5896" w:rsidRPr="00226F9D">
              <w:rPr>
                <w:rFonts w:ascii="Times New Roman" w:hAnsi="Times New Roman" w:cs="Times New Roman"/>
                <w:sz w:val="20"/>
                <w:szCs w:val="20"/>
                <w:lang w:val="sr-Latn-RS"/>
              </w:rPr>
              <w:t>(2025)</w:t>
            </w:r>
          </w:p>
        </w:tc>
        <w:tc>
          <w:tcPr>
            <w:tcW w:w="767" w:type="pct"/>
            <w:tcBorders>
              <w:top w:val="nil"/>
              <w:left w:val="nil"/>
              <w:bottom w:val="single" w:sz="4" w:space="0" w:color="auto"/>
              <w:right w:val="single" w:sz="4" w:space="0" w:color="auto"/>
            </w:tcBorders>
            <w:shd w:val="clear" w:color="auto" w:fill="FFFFFF" w:themeFill="background1"/>
            <w:vAlign w:val="center"/>
            <w:hideMark/>
          </w:tcPr>
          <w:p w14:paraId="6547A112" w14:textId="6B5802AA" w:rsidR="004D2CC0" w:rsidRPr="00226F9D" w:rsidRDefault="290DA2A6"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10.</w:t>
            </w:r>
            <w:r w:rsidR="00B121F7" w:rsidRPr="00226F9D">
              <w:rPr>
                <w:rFonts w:ascii="Times New Roman" w:hAnsi="Times New Roman" w:cs="Times New Roman"/>
                <w:sz w:val="20"/>
                <w:szCs w:val="20"/>
                <w:lang w:val="sr-Cyrl-RS"/>
              </w:rPr>
              <w:t>50</w:t>
            </w:r>
            <w:r w:rsidR="00B121F7" w:rsidRPr="00226F9D" w:rsidDel="00B121F7">
              <w:rPr>
                <w:rFonts w:ascii="Times New Roman" w:hAnsi="Times New Roman" w:cs="Times New Roman"/>
                <w:sz w:val="20"/>
                <w:szCs w:val="20"/>
                <w:lang w:val="sr-Cyrl-RS"/>
              </w:rPr>
              <w:t xml:space="preserve"> </w:t>
            </w:r>
            <w:r w:rsidR="644F6C1E" w:rsidRPr="00226F9D">
              <w:rPr>
                <w:rFonts w:ascii="Times New Roman" w:hAnsi="Times New Roman" w:cs="Times New Roman"/>
                <w:sz w:val="20"/>
                <w:szCs w:val="20"/>
                <w:lang w:val="sr-Cyrl-RS"/>
              </w:rPr>
              <w:t>%</w:t>
            </w:r>
          </w:p>
          <w:p w14:paraId="60874261" w14:textId="2A6B15D7" w:rsidR="008A5788" w:rsidRPr="00226F9D" w:rsidRDefault="009A5896"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w:t>
            </w:r>
            <w:r w:rsidR="00B121F7" w:rsidRPr="00226F9D">
              <w:rPr>
                <w:rFonts w:ascii="Times New Roman" w:hAnsi="Times New Roman" w:cs="Times New Roman"/>
                <w:sz w:val="20"/>
                <w:szCs w:val="20"/>
                <w:lang w:val="sr-Cyrl-RS"/>
              </w:rPr>
              <w:t>2025</w:t>
            </w:r>
            <w:r w:rsidRPr="00226F9D">
              <w:rPr>
                <w:rFonts w:ascii="Times New Roman" w:hAnsi="Times New Roman" w:cs="Times New Roman"/>
                <w:sz w:val="20"/>
                <w:szCs w:val="20"/>
                <w:lang w:val="sr-Latn-RS"/>
              </w:rPr>
              <w:t>)</w:t>
            </w:r>
          </w:p>
        </w:tc>
      </w:tr>
      <w:tr w:rsidR="00525794" w:rsidRPr="00226F9D" w14:paraId="04FCB3AB" w14:textId="77777777" w:rsidTr="0E5AB833">
        <w:trPr>
          <w:trHeight w:val="548"/>
        </w:trPr>
        <w:tc>
          <w:tcPr>
            <w:tcW w:w="2645" w:type="pct"/>
            <w:tcBorders>
              <w:top w:val="single" w:sz="4" w:space="0" w:color="auto"/>
              <w:left w:val="single" w:sz="4" w:space="0" w:color="auto"/>
              <w:bottom w:val="single" w:sz="4" w:space="0" w:color="auto"/>
              <w:right w:val="single" w:sz="4" w:space="0" w:color="auto"/>
            </w:tcBorders>
            <w:vAlign w:val="center"/>
            <w:hideMark/>
          </w:tcPr>
          <w:p w14:paraId="6C8FACAC" w14:textId="4F7F2C2C" w:rsidR="008A5788" w:rsidRPr="00226F9D" w:rsidRDefault="00D17D00"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Удео капиталних издатака у укупним издацима локалне самоуправе</w:t>
            </w:r>
          </w:p>
        </w:tc>
        <w:tc>
          <w:tcPr>
            <w:tcW w:w="817" w:type="pct"/>
            <w:tcBorders>
              <w:top w:val="nil"/>
              <w:left w:val="nil"/>
              <w:bottom w:val="single" w:sz="4" w:space="0" w:color="auto"/>
              <w:right w:val="single" w:sz="4" w:space="0" w:color="auto"/>
            </w:tcBorders>
            <w:shd w:val="clear" w:color="auto" w:fill="FFFFFF" w:themeFill="background1"/>
            <w:vAlign w:val="center"/>
            <w:hideMark/>
          </w:tcPr>
          <w:p w14:paraId="5F77D9FE" w14:textId="77777777" w:rsidR="00232B8B" w:rsidRPr="00226F9D" w:rsidRDefault="00D17D00"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15.54%</w:t>
            </w:r>
          </w:p>
          <w:p w14:paraId="5EE02B4F" w14:textId="4BED08CF" w:rsidR="008A5788" w:rsidRPr="00226F9D" w:rsidRDefault="009A5896"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(2019)</w:t>
            </w:r>
          </w:p>
        </w:tc>
        <w:tc>
          <w:tcPr>
            <w:tcW w:w="771" w:type="pct"/>
            <w:tcBorders>
              <w:top w:val="nil"/>
              <w:left w:val="nil"/>
              <w:bottom w:val="single" w:sz="4" w:space="0" w:color="auto"/>
              <w:right w:val="single" w:sz="4" w:space="0" w:color="auto"/>
            </w:tcBorders>
            <w:vAlign w:val="center"/>
            <w:hideMark/>
          </w:tcPr>
          <w:p w14:paraId="58EA5408" w14:textId="7A5BC53C" w:rsidR="008A5788" w:rsidRPr="00226F9D" w:rsidRDefault="00D17D00"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17.50%</w:t>
            </w:r>
            <w:r w:rsidR="009A5896" w:rsidRPr="00226F9D">
              <w:rPr>
                <w:rFonts w:ascii="Times New Roman" w:hAnsi="Times New Roman" w:cs="Times New Roman"/>
                <w:sz w:val="20"/>
                <w:szCs w:val="20"/>
                <w:lang w:val="sr-Latn-RS"/>
              </w:rPr>
              <w:t xml:space="preserve"> (2025)</w:t>
            </w:r>
          </w:p>
        </w:tc>
        <w:tc>
          <w:tcPr>
            <w:tcW w:w="767" w:type="pct"/>
            <w:tcBorders>
              <w:top w:val="nil"/>
              <w:left w:val="nil"/>
              <w:bottom w:val="single" w:sz="4" w:space="0" w:color="auto"/>
              <w:right w:val="single" w:sz="4" w:space="0" w:color="auto"/>
            </w:tcBorders>
            <w:shd w:val="clear" w:color="auto" w:fill="FFFFFF" w:themeFill="background1"/>
            <w:vAlign w:val="center"/>
            <w:hideMark/>
          </w:tcPr>
          <w:p w14:paraId="4EFC251B" w14:textId="31578ED9" w:rsidR="00232B8B" w:rsidRPr="00226F9D" w:rsidRDefault="00B121F7"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15</w:t>
            </w:r>
            <w:r w:rsidR="000C478B" w:rsidRPr="00226F9D">
              <w:rPr>
                <w:rFonts w:ascii="Times New Roman" w:hAnsi="Times New Roman" w:cs="Times New Roman"/>
                <w:sz w:val="20"/>
                <w:szCs w:val="20"/>
                <w:lang w:val="sr-Latn-RS"/>
              </w:rPr>
              <w:t>.</w:t>
            </w:r>
            <w:r w:rsidRPr="00226F9D">
              <w:rPr>
                <w:rFonts w:ascii="Times New Roman" w:hAnsi="Times New Roman" w:cs="Times New Roman"/>
                <w:sz w:val="20"/>
                <w:szCs w:val="20"/>
                <w:lang w:val="sr-Cyrl-RS"/>
              </w:rPr>
              <w:t>80</w:t>
            </w:r>
            <w:r w:rsidR="00D01EFC" w:rsidRPr="00226F9D">
              <w:rPr>
                <w:rFonts w:ascii="Times New Roman" w:hAnsi="Times New Roman" w:cs="Times New Roman"/>
                <w:sz w:val="20"/>
                <w:szCs w:val="20"/>
                <w:lang w:val="sr-Cyrl-RS"/>
              </w:rPr>
              <w:t>%</w:t>
            </w:r>
          </w:p>
          <w:p w14:paraId="30A6AB0C" w14:textId="070FE7CA" w:rsidR="008A5788" w:rsidRPr="00226F9D" w:rsidRDefault="00AF55CA" w:rsidP="00B121F7">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w:t>
            </w:r>
            <w:r w:rsidR="00B121F7" w:rsidRPr="00226F9D">
              <w:rPr>
                <w:rFonts w:ascii="Times New Roman" w:hAnsi="Times New Roman" w:cs="Times New Roman"/>
                <w:sz w:val="20"/>
                <w:szCs w:val="20"/>
                <w:lang w:val="sr-Cyrl-RS"/>
              </w:rPr>
              <w:t>2025</w:t>
            </w:r>
            <w:r w:rsidR="00427319" w:rsidRPr="00226F9D">
              <w:rPr>
                <w:rFonts w:ascii="Times New Roman" w:hAnsi="Times New Roman" w:cs="Times New Roman"/>
                <w:sz w:val="20"/>
                <w:szCs w:val="20"/>
                <w:lang w:val="sr-Cyrl-RS"/>
              </w:rPr>
              <w:t>)</w:t>
            </w:r>
          </w:p>
        </w:tc>
      </w:tr>
      <w:tr w:rsidR="00525794" w:rsidRPr="00226F9D" w14:paraId="58A73B00" w14:textId="77777777" w:rsidTr="0E5AB833">
        <w:trPr>
          <w:trHeight w:val="571"/>
        </w:trPr>
        <w:tc>
          <w:tcPr>
            <w:tcW w:w="2645" w:type="pct"/>
            <w:tcBorders>
              <w:top w:val="single" w:sz="4" w:space="0" w:color="auto"/>
              <w:left w:val="single" w:sz="4" w:space="0" w:color="auto"/>
              <w:bottom w:val="single" w:sz="4" w:space="0" w:color="auto"/>
              <w:right w:val="single" w:sz="4" w:space="0" w:color="auto"/>
            </w:tcBorders>
            <w:vAlign w:val="center"/>
            <w:hideMark/>
          </w:tcPr>
          <w:p w14:paraId="6D856575" w14:textId="6778A254" w:rsidR="008A5788" w:rsidRPr="00226F9D" w:rsidRDefault="00D17D00"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 xml:space="preserve">Удео ЈЛС које имају усвојен средњорочни план </w:t>
            </w:r>
          </w:p>
        </w:tc>
        <w:tc>
          <w:tcPr>
            <w:tcW w:w="817" w:type="pct"/>
            <w:tcBorders>
              <w:top w:val="nil"/>
              <w:left w:val="nil"/>
              <w:bottom w:val="single" w:sz="4" w:space="0" w:color="auto"/>
              <w:right w:val="single" w:sz="4" w:space="0" w:color="auto"/>
            </w:tcBorders>
            <w:shd w:val="clear" w:color="auto" w:fill="FFFFFF" w:themeFill="background1"/>
            <w:vAlign w:val="center"/>
            <w:hideMark/>
          </w:tcPr>
          <w:p w14:paraId="21C25C68" w14:textId="77777777" w:rsidR="00232B8B" w:rsidRPr="00226F9D" w:rsidRDefault="00D17D00"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0%</w:t>
            </w:r>
          </w:p>
          <w:p w14:paraId="31923E81" w14:textId="395F8D74" w:rsidR="008A5788" w:rsidRPr="00226F9D" w:rsidRDefault="009A5896"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(2020)</w:t>
            </w:r>
          </w:p>
        </w:tc>
        <w:tc>
          <w:tcPr>
            <w:tcW w:w="771" w:type="pct"/>
            <w:tcBorders>
              <w:top w:val="nil"/>
              <w:left w:val="nil"/>
              <w:bottom w:val="single" w:sz="4" w:space="0" w:color="auto"/>
              <w:right w:val="single" w:sz="4" w:space="0" w:color="auto"/>
            </w:tcBorders>
            <w:vAlign w:val="center"/>
            <w:hideMark/>
          </w:tcPr>
          <w:p w14:paraId="762660E1" w14:textId="77777777" w:rsidR="00232B8B" w:rsidRPr="00226F9D" w:rsidRDefault="00D17D00"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40%</w:t>
            </w:r>
          </w:p>
          <w:p w14:paraId="52749E39" w14:textId="38998F97" w:rsidR="008A5788" w:rsidRPr="00226F9D" w:rsidRDefault="009A5896"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(2025)</w:t>
            </w:r>
          </w:p>
        </w:tc>
        <w:tc>
          <w:tcPr>
            <w:tcW w:w="767" w:type="pct"/>
            <w:tcBorders>
              <w:top w:val="nil"/>
              <w:left w:val="nil"/>
              <w:bottom w:val="single" w:sz="4" w:space="0" w:color="auto"/>
              <w:right w:val="single" w:sz="4" w:space="0" w:color="auto"/>
            </w:tcBorders>
            <w:shd w:val="clear" w:color="auto" w:fill="FFFFFF" w:themeFill="background1"/>
            <w:vAlign w:val="center"/>
            <w:hideMark/>
          </w:tcPr>
          <w:p w14:paraId="24077862" w14:textId="083BD267" w:rsidR="00FB0A6F" w:rsidRPr="00226F9D" w:rsidRDefault="00B121F7"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6</w:t>
            </w:r>
            <w:r w:rsidR="0002426C" w:rsidRPr="00226F9D">
              <w:rPr>
                <w:rFonts w:ascii="Times New Roman" w:hAnsi="Times New Roman" w:cs="Times New Roman"/>
                <w:sz w:val="20"/>
                <w:szCs w:val="20"/>
                <w:lang w:val="sr-Latn-RS"/>
              </w:rPr>
              <w:t>.</w:t>
            </w:r>
            <w:r w:rsidRPr="00226F9D">
              <w:rPr>
                <w:rFonts w:ascii="Times New Roman" w:hAnsi="Times New Roman" w:cs="Times New Roman"/>
                <w:sz w:val="20"/>
                <w:szCs w:val="20"/>
                <w:lang w:val="sr-Cyrl-RS"/>
              </w:rPr>
              <w:t xml:space="preserve">20 </w:t>
            </w:r>
            <w:r w:rsidR="00ABF4D0" w:rsidRPr="00226F9D">
              <w:rPr>
                <w:rFonts w:ascii="Times New Roman" w:hAnsi="Times New Roman" w:cs="Times New Roman"/>
                <w:sz w:val="20"/>
                <w:szCs w:val="20"/>
                <w:lang w:val="sr-Cyrl-RS"/>
              </w:rPr>
              <w:t>%</w:t>
            </w:r>
          </w:p>
          <w:p w14:paraId="5EE6D5DC" w14:textId="7A037EB9" w:rsidR="008A5788" w:rsidRPr="00226F9D" w:rsidRDefault="009A5896" w:rsidP="00B121F7">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w:t>
            </w:r>
            <w:r w:rsidR="00E926A6" w:rsidRPr="00226F9D">
              <w:rPr>
                <w:rFonts w:ascii="Times New Roman" w:hAnsi="Times New Roman" w:cs="Times New Roman"/>
                <w:sz w:val="20"/>
                <w:szCs w:val="20"/>
                <w:lang w:val="sr-Latn-RS"/>
              </w:rPr>
              <w:t>2025</w:t>
            </w:r>
            <w:r w:rsidRPr="00226F9D">
              <w:rPr>
                <w:rFonts w:ascii="Times New Roman" w:hAnsi="Times New Roman" w:cs="Times New Roman"/>
                <w:sz w:val="20"/>
                <w:szCs w:val="20"/>
                <w:lang w:val="sr-Latn-RS"/>
              </w:rPr>
              <w:t>)</w:t>
            </w:r>
          </w:p>
        </w:tc>
      </w:tr>
    </w:tbl>
    <w:p w14:paraId="140E283A" w14:textId="77777777" w:rsidR="008A5788" w:rsidRPr="00226F9D" w:rsidRDefault="008A5788" w:rsidP="006B59F4">
      <w:pPr>
        <w:spacing w:after="0" w:line="240" w:lineRule="auto"/>
        <w:jc w:val="both"/>
        <w:rPr>
          <w:rFonts w:ascii="Times New Roman" w:eastAsia="Calibri" w:hAnsi="Times New Roman" w:cs="Times New Roman"/>
          <w:sz w:val="22"/>
          <w:szCs w:val="22"/>
          <w:lang w:val="sr-Cyrl-RS"/>
        </w:rPr>
      </w:pPr>
    </w:p>
    <w:p w14:paraId="7BE6DEAC" w14:textId="729D7A71" w:rsidR="00443547" w:rsidRPr="00226F9D" w:rsidRDefault="00A704DB"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В</w:t>
      </w:r>
      <w:r w:rsidR="5D733BC0" w:rsidRPr="00226F9D">
        <w:rPr>
          <w:rFonts w:ascii="Times New Roman" w:eastAsia="Calibri" w:hAnsi="Times New Roman" w:cs="Times New Roman"/>
          <w:lang w:val="sr-Cyrl-RS"/>
        </w:rPr>
        <w:t xml:space="preserve">редности за </w:t>
      </w:r>
      <w:r w:rsidR="0CF7F604" w:rsidRPr="00226F9D">
        <w:rPr>
          <w:rFonts w:ascii="Times New Roman" w:eastAsia="Calibri" w:hAnsi="Times New Roman" w:cs="Times New Roman"/>
          <w:lang w:val="sr-Cyrl-RS"/>
        </w:rPr>
        <w:t>у</w:t>
      </w:r>
      <w:r w:rsidR="5D733BC0" w:rsidRPr="00226F9D">
        <w:rPr>
          <w:rFonts w:ascii="Times New Roman" w:eastAsia="Calibri" w:hAnsi="Times New Roman" w:cs="Times New Roman"/>
          <w:lang w:val="sr-Cyrl-RS"/>
        </w:rPr>
        <w:t xml:space="preserve">напређење система финансирања локалне самоуправе </w:t>
      </w:r>
      <w:r w:rsidR="007F7916" w:rsidRPr="00226F9D">
        <w:rPr>
          <w:rFonts w:ascii="Times New Roman" w:eastAsia="Calibri" w:hAnsi="Times New Roman" w:cs="Times New Roman"/>
          <w:lang w:val="sr-Cyrl-RS"/>
        </w:rPr>
        <w:t>имале</w:t>
      </w:r>
      <w:r w:rsidR="5D733BC0" w:rsidRPr="00226F9D">
        <w:rPr>
          <w:rFonts w:ascii="Times New Roman" w:eastAsia="Calibri" w:hAnsi="Times New Roman" w:cs="Times New Roman"/>
          <w:lang w:val="sr-Cyrl-RS"/>
        </w:rPr>
        <w:t xml:space="preserve"> су</w:t>
      </w:r>
      <w:r w:rsidR="71FEBDC2" w:rsidRPr="00226F9D">
        <w:rPr>
          <w:rFonts w:ascii="Times New Roman" w:eastAsia="Calibri" w:hAnsi="Times New Roman" w:cs="Times New Roman"/>
          <w:lang w:val="sr-Cyrl-RS"/>
        </w:rPr>
        <w:t xml:space="preserve"> </w:t>
      </w:r>
      <w:r w:rsidR="007F7916" w:rsidRPr="00226F9D">
        <w:rPr>
          <w:rFonts w:ascii="Times New Roman" w:eastAsia="Calibri" w:hAnsi="Times New Roman" w:cs="Times New Roman"/>
          <w:lang w:val="sr-Cyrl-RS"/>
        </w:rPr>
        <w:t xml:space="preserve">позитиван тренд </w:t>
      </w:r>
      <w:r w:rsidR="00CA4201" w:rsidRPr="00226F9D">
        <w:rPr>
          <w:rFonts w:ascii="Times New Roman" w:eastAsia="Calibri" w:hAnsi="Times New Roman" w:cs="Times New Roman"/>
          <w:lang w:val="sr-Cyrl-RS"/>
        </w:rPr>
        <w:t xml:space="preserve">током већег дела претходног референтног периода </w:t>
      </w:r>
      <w:r w:rsidR="5D733BC0" w:rsidRPr="00226F9D">
        <w:rPr>
          <w:rFonts w:ascii="Times New Roman" w:eastAsia="Calibri" w:hAnsi="Times New Roman" w:cs="Times New Roman"/>
          <w:lang w:val="sr-Cyrl-RS"/>
        </w:rPr>
        <w:t xml:space="preserve">када се ради о </w:t>
      </w:r>
      <w:r w:rsidR="5D733BC0" w:rsidRPr="00226F9D">
        <w:rPr>
          <w:rFonts w:ascii="Times New Roman" w:eastAsia="Calibri" w:hAnsi="Times New Roman" w:cs="Times New Roman"/>
          <w:i/>
          <w:iCs/>
          <w:lang w:val="sr-Cyrl-RS"/>
        </w:rPr>
        <w:t>уделу капиталних издатака у укупним издацима локалне самоуправе</w:t>
      </w:r>
      <w:r w:rsidR="004E6B42" w:rsidRPr="00226F9D">
        <w:rPr>
          <w:rFonts w:ascii="Times New Roman" w:eastAsia="Calibri" w:hAnsi="Times New Roman" w:cs="Times New Roman"/>
          <w:lang w:val="sr-Cyrl-RS"/>
        </w:rPr>
        <w:t xml:space="preserve">: </w:t>
      </w:r>
      <w:r w:rsidR="6BE8D0CC" w:rsidRPr="00226F9D">
        <w:rPr>
          <w:rFonts w:ascii="Times New Roman" w:eastAsia="Calibri" w:hAnsi="Times New Roman" w:cs="Times New Roman"/>
          <w:lang w:val="sr-Cyrl-RS"/>
        </w:rPr>
        <w:t>планирано 17,5</w:t>
      </w:r>
      <w:r w:rsidR="045DD0F3" w:rsidRPr="00226F9D">
        <w:rPr>
          <w:rFonts w:ascii="Times New Roman" w:eastAsia="Calibri" w:hAnsi="Times New Roman" w:cs="Times New Roman"/>
          <w:lang w:val="sr-Cyrl-RS"/>
        </w:rPr>
        <w:t>%</w:t>
      </w:r>
      <w:r w:rsidR="6BE8D0CC" w:rsidRPr="00226F9D">
        <w:rPr>
          <w:rFonts w:ascii="Times New Roman" w:eastAsia="Calibri" w:hAnsi="Times New Roman" w:cs="Times New Roman"/>
          <w:lang w:val="sr-Cyrl-RS"/>
        </w:rPr>
        <w:t xml:space="preserve"> у 2025.</w:t>
      </w:r>
      <w:r w:rsidR="140BE1A3" w:rsidRPr="00226F9D">
        <w:rPr>
          <w:rFonts w:ascii="Times New Roman" w:eastAsia="Calibri" w:hAnsi="Times New Roman" w:cs="Times New Roman"/>
          <w:lang w:val="sr-Cyrl-RS"/>
        </w:rPr>
        <w:t>,</w:t>
      </w:r>
      <w:r w:rsidR="6BE8D0CC" w:rsidRPr="00226F9D">
        <w:rPr>
          <w:rFonts w:ascii="Times New Roman" w:eastAsia="Calibri" w:hAnsi="Times New Roman" w:cs="Times New Roman"/>
          <w:lang w:val="sr-Cyrl-RS"/>
        </w:rPr>
        <w:t xml:space="preserve"> а </w:t>
      </w:r>
      <w:r w:rsidR="6E49D7A5" w:rsidRPr="00226F9D">
        <w:rPr>
          <w:rFonts w:ascii="Times New Roman" w:eastAsia="Calibri" w:hAnsi="Times New Roman" w:cs="Times New Roman"/>
          <w:lang w:val="sr-Cyrl-RS"/>
        </w:rPr>
        <w:t>већ у</w:t>
      </w:r>
      <w:r w:rsidR="00654704" w:rsidRPr="00226F9D">
        <w:rPr>
          <w:rFonts w:ascii="Times New Roman" w:eastAsia="Calibri" w:hAnsi="Times New Roman" w:cs="Times New Roman"/>
          <w:lang w:val="sr-Cyrl-RS"/>
        </w:rPr>
        <w:t xml:space="preserve"> </w:t>
      </w:r>
      <w:r w:rsidR="1DB46340" w:rsidRPr="00226F9D">
        <w:rPr>
          <w:rFonts w:ascii="Times New Roman" w:eastAsia="Calibri" w:hAnsi="Times New Roman" w:cs="Times New Roman"/>
          <w:lang w:val="sr-Cyrl-RS"/>
        </w:rPr>
        <w:t>202</w:t>
      </w:r>
      <w:r w:rsidR="00B60114" w:rsidRPr="00226F9D">
        <w:rPr>
          <w:rFonts w:ascii="Times New Roman" w:eastAsia="Calibri" w:hAnsi="Times New Roman" w:cs="Times New Roman"/>
          <w:lang w:val="sr-Cyrl-RS"/>
        </w:rPr>
        <w:t>4</w:t>
      </w:r>
      <w:r w:rsidR="6E49D7A5" w:rsidRPr="00226F9D">
        <w:rPr>
          <w:rFonts w:ascii="Times New Roman" w:eastAsia="Calibri" w:hAnsi="Times New Roman" w:cs="Times New Roman"/>
          <w:lang w:val="sr-Cyrl-RS"/>
        </w:rPr>
        <w:t xml:space="preserve">. години </w:t>
      </w:r>
      <w:r w:rsidR="6BE8D0CC" w:rsidRPr="00226F9D">
        <w:rPr>
          <w:rFonts w:ascii="Times New Roman" w:eastAsia="Calibri" w:hAnsi="Times New Roman" w:cs="Times New Roman"/>
          <w:lang w:val="sr-Cyrl-RS"/>
        </w:rPr>
        <w:t xml:space="preserve">достигнуто </w:t>
      </w:r>
      <w:r w:rsidR="00B60114" w:rsidRPr="00226F9D">
        <w:rPr>
          <w:rFonts w:ascii="Times New Roman" w:eastAsia="Calibri" w:hAnsi="Times New Roman" w:cs="Times New Roman"/>
          <w:lang w:val="sr-Cyrl-RS"/>
        </w:rPr>
        <w:t>18%</w:t>
      </w:r>
      <w:r w:rsidR="00A207BF" w:rsidRPr="00226F9D">
        <w:rPr>
          <w:rFonts w:ascii="Times New Roman" w:eastAsia="Calibri" w:hAnsi="Times New Roman" w:cs="Times New Roman"/>
          <w:lang w:val="sr-Cyrl-RS"/>
        </w:rPr>
        <w:t>,</w:t>
      </w:r>
      <w:r w:rsidR="00B60114" w:rsidRPr="00226F9D">
        <w:rPr>
          <w:rFonts w:ascii="Times New Roman" w:eastAsia="Calibri" w:hAnsi="Times New Roman" w:cs="Times New Roman"/>
          <w:lang w:val="sr-Cyrl-RS"/>
        </w:rPr>
        <w:t xml:space="preserve"> уз </w:t>
      </w:r>
      <w:r w:rsidR="00E25341" w:rsidRPr="00226F9D">
        <w:rPr>
          <w:rFonts w:ascii="Times New Roman" w:eastAsia="Calibri" w:hAnsi="Times New Roman" w:cs="Times New Roman"/>
          <w:lang w:val="sr-Cyrl-RS"/>
        </w:rPr>
        <w:t xml:space="preserve">међутим </w:t>
      </w:r>
      <w:r w:rsidR="00A207BF" w:rsidRPr="00226F9D">
        <w:rPr>
          <w:rFonts w:ascii="Times New Roman" w:eastAsia="Calibri" w:hAnsi="Times New Roman" w:cs="Times New Roman"/>
          <w:lang w:val="sr-Cyrl-RS"/>
        </w:rPr>
        <w:t xml:space="preserve">накнадни </w:t>
      </w:r>
      <w:r w:rsidR="00EC3C23" w:rsidRPr="00226F9D">
        <w:rPr>
          <w:rFonts w:ascii="Times New Roman" w:eastAsia="Calibri" w:hAnsi="Times New Roman" w:cs="Times New Roman"/>
          <w:lang w:val="sr-Cyrl-RS"/>
        </w:rPr>
        <w:t>пад на резултат од</w:t>
      </w:r>
      <w:r w:rsidR="6BE8D0CC" w:rsidRPr="00226F9D">
        <w:rPr>
          <w:rFonts w:ascii="Times New Roman" w:eastAsia="Calibri" w:hAnsi="Times New Roman" w:cs="Times New Roman"/>
          <w:lang w:val="sr-Cyrl-RS"/>
        </w:rPr>
        <w:t xml:space="preserve"> </w:t>
      </w:r>
      <w:r w:rsidR="1DB46340" w:rsidRPr="00226F9D">
        <w:rPr>
          <w:rFonts w:ascii="Times New Roman" w:eastAsia="Calibri" w:hAnsi="Times New Roman" w:cs="Times New Roman"/>
          <w:lang w:val="sr-Cyrl-RS"/>
        </w:rPr>
        <w:t>15,80</w:t>
      </w:r>
      <w:r w:rsidR="045DD0F3" w:rsidRPr="00226F9D">
        <w:rPr>
          <w:rFonts w:ascii="Times New Roman" w:eastAsia="Calibri" w:hAnsi="Times New Roman" w:cs="Times New Roman"/>
          <w:lang w:val="sr-Cyrl-RS"/>
        </w:rPr>
        <w:t>%</w:t>
      </w:r>
      <w:r w:rsidR="00EC3C23" w:rsidRPr="00226F9D">
        <w:rPr>
          <w:rFonts w:ascii="Times New Roman" w:eastAsia="Calibri" w:hAnsi="Times New Roman" w:cs="Times New Roman"/>
          <w:lang w:val="sr-Cyrl-RS"/>
        </w:rPr>
        <w:t xml:space="preserve"> у 2025</w:t>
      </w:r>
      <w:r w:rsidR="00A207BF" w:rsidRPr="00226F9D">
        <w:rPr>
          <w:rFonts w:ascii="Times New Roman" w:eastAsia="Calibri" w:hAnsi="Times New Roman" w:cs="Times New Roman"/>
          <w:lang w:val="sr-Cyrl-RS"/>
        </w:rPr>
        <w:t xml:space="preserve">. </w:t>
      </w:r>
      <w:r w:rsidR="00D7492E" w:rsidRPr="00226F9D" w:rsidDel="481DB00E">
        <w:rPr>
          <w:rFonts w:ascii="Times New Roman" w:eastAsia="Calibri" w:hAnsi="Times New Roman" w:cs="Times New Roman"/>
          <w:lang w:val="sr-Cyrl-RS"/>
        </w:rPr>
        <w:t>години</w:t>
      </w:r>
      <w:r w:rsidR="00D15825" w:rsidRPr="00226F9D">
        <w:rPr>
          <w:rStyle w:val="FootnoteReference"/>
          <w:rFonts w:ascii="Times New Roman" w:eastAsia="Calibri" w:hAnsi="Times New Roman" w:cs="Times New Roman"/>
          <w:lang w:val="sr-Cyrl-RS"/>
        </w:rPr>
        <w:footnoteReference w:id="44"/>
      </w:r>
      <w:r w:rsidR="5D733BC0" w:rsidRPr="00226F9D">
        <w:rPr>
          <w:rFonts w:ascii="Times New Roman" w:eastAsia="Calibri" w:hAnsi="Times New Roman" w:cs="Times New Roman"/>
          <w:lang w:val="sr-Cyrl-RS"/>
        </w:rPr>
        <w:t xml:space="preserve">. </w:t>
      </w:r>
      <w:r w:rsidR="00141340" w:rsidRPr="00226F9D">
        <w:rPr>
          <w:rFonts w:ascii="Times New Roman" w:eastAsia="Calibri" w:hAnsi="Times New Roman" w:cs="Times New Roman"/>
          <w:lang w:val="sr-Cyrl-RS"/>
        </w:rPr>
        <w:t>Стога</w:t>
      </w:r>
      <w:r w:rsidR="2EB333E9" w:rsidRPr="00226F9D">
        <w:rPr>
          <w:rFonts w:ascii="Times New Roman" w:eastAsia="Calibri" w:hAnsi="Times New Roman" w:cs="Times New Roman"/>
          <w:lang w:val="sr-Cyrl-RS"/>
        </w:rPr>
        <w:t xml:space="preserve">, </w:t>
      </w:r>
      <w:r w:rsidR="722ADE22" w:rsidRPr="00226F9D">
        <w:rPr>
          <w:rFonts w:ascii="Times New Roman" w:eastAsia="Calibri" w:hAnsi="Times New Roman" w:cs="Times New Roman"/>
          <w:lang w:val="sr-Cyrl-RS"/>
        </w:rPr>
        <w:t>повећање учешћа капиталних издатака</w:t>
      </w:r>
      <w:r w:rsidR="18922B59" w:rsidRPr="00226F9D">
        <w:rPr>
          <w:rFonts w:ascii="Times New Roman" w:eastAsia="Calibri" w:hAnsi="Times New Roman" w:cs="Times New Roman"/>
          <w:lang w:val="sr-Cyrl-RS"/>
        </w:rPr>
        <w:t xml:space="preserve"> у ЈЛС</w:t>
      </w:r>
      <w:r w:rsidR="722ADE22" w:rsidRPr="00226F9D">
        <w:rPr>
          <w:rFonts w:ascii="Times New Roman" w:eastAsia="Calibri" w:hAnsi="Times New Roman" w:cs="Times New Roman"/>
          <w:lang w:val="sr-Cyrl-RS"/>
        </w:rPr>
        <w:t xml:space="preserve"> </w:t>
      </w:r>
      <w:r w:rsidR="18922B59" w:rsidRPr="00226F9D">
        <w:rPr>
          <w:rFonts w:ascii="Times New Roman" w:eastAsia="Calibri" w:hAnsi="Times New Roman" w:cs="Times New Roman"/>
          <w:lang w:val="sr-Cyrl-RS"/>
        </w:rPr>
        <w:t>остаје и даље велики задатак</w:t>
      </w:r>
      <w:r w:rsidR="34CF71A4" w:rsidRPr="00226F9D">
        <w:rPr>
          <w:rFonts w:ascii="Times New Roman" w:eastAsia="Calibri" w:hAnsi="Times New Roman" w:cs="Times New Roman"/>
          <w:lang w:val="sr-Latn-RS"/>
        </w:rPr>
        <w:t xml:space="preserve"> </w:t>
      </w:r>
      <w:r w:rsidR="116F1AA7" w:rsidRPr="00226F9D">
        <w:rPr>
          <w:rFonts w:ascii="Times New Roman" w:eastAsia="Calibri" w:hAnsi="Times New Roman" w:cs="Times New Roman"/>
          <w:lang w:val="sr-Cyrl-RS"/>
        </w:rPr>
        <w:t xml:space="preserve">за ЈЛС, што укључује и примену </w:t>
      </w:r>
      <w:r w:rsidR="255B111C" w:rsidRPr="00226F9D">
        <w:rPr>
          <w:rFonts w:ascii="Times New Roman" w:eastAsia="Calibri" w:hAnsi="Times New Roman" w:cs="Times New Roman"/>
          <w:lang w:val="sr-Cyrl-RS"/>
        </w:rPr>
        <w:t xml:space="preserve">нове </w:t>
      </w:r>
      <w:r w:rsidR="51FF43CB" w:rsidRPr="00226F9D">
        <w:rPr>
          <w:rFonts w:ascii="Times New Roman" w:eastAsia="Calibri" w:hAnsi="Times New Roman" w:cs="Times New Roman"/>
          <w:lang w:val="sr-Cyrl-RS"/>
        </w:rPr>
        <w:t>У</w:t>
      </w:r>
      <w:r w:rsidR="22ACF078" w:rsidRPr="00226F9D">
        <w:rPr>
          <w:rFonts w:ascii="Times New Roman" w:eastAsia="Calibri" w:hAnsi="Times New Roman" w:cs="Times New Roman"/>
          <w:lang w:val="sr-Cyrl-RS"/>
        </w:rPr>
        <w:t>редбе за капиталне пројекте</w:t>
      </w:r>
      <w:r w:rsidR="51FF43CB" w:rsidRPr="00226F9D">
        <w:rPr>
          <w:rFonts w:ascii="Times New Roman" w:eastAsia="Calibri" w:hAnsi="Times New Roman" w:cs="Times New Roman"/>
          <w:lang w:val="sr-Cyrl-RS"/>
        </w:rPr>
        <w:t xml:space="preserve"> (из</w:t>
      </w:r>
      <w:r w:rsidR="3211CDF7" w:rsidRPr="00226F9D">
        <w:rPr>
          <w:rFonts w:ascii="Times New Roman" w:eastAsia="Calibri" w:hAnsi="Times New Roman" w:cs="Times New Roman"/>
          <w:lang w:val="sr-Cyrl-RS"/>
        </w:rPr>
        <w:t xml:space="preserve"> </w:t>
      </w:r>
      <w:r w:rsidR="6B7B0F47" w:rsidRPr="00226F9D">
        <w:rPr>
          <w:rFonts w:ascii="Times New Roman" w:eastAsia="Calibri" w:hAnsi="Times New Roman" w:cs="Times New Roman"/>
          <w:lang w:val="sr-Cyrl-RS"/>
        </w:rPr>
        <w:t>2023. године</w:t>
      </w:r>
      <w:r w:rsidR="51FF43CB" w:rsidRPr="00226F9D">
        <w:rPr>
          <w:rFonts w:ascii="Times New Roman" w:eastAsia="Calibri" w:hAnsi="Times New Roman" w:cs="Times New Roman"/>
          <w:lang w:val="sr-Cyrl-RS"/>
        </w:rPr>
        <w:t>)</w:t>
      </w:r>
      <w:r w:rsidR="6B7B0F47" w:rsidRPr="00226F9D">
        <w:rPr>
          <w:rFonts w:ascii="Times New Roman" w:eastAsia="Calibri" w:hAnsi="Times New Roman" w:cs="Times New Roman"/>
          <w:lang w:val="sr-Cyrl-RS"/>
        </w:rPr>
        <w:t xml:space="preserve">. </w:t>
      </w:r>
      <w:r w:rsidR="34CF71A4" w:rsidRPr="00226F9D">
        <w:rPr>
          <w:rFonts w:ascii="Times New Roman" w:eastAsia="Calibri" w:hAnsi="Times New Roman" w:cs="Times New Roman"/>
          <w:lang w:val="sr-Latn-RS"/>
        </w:rPr>
        <w:t xml:space="preserve"> </w:t>
      </w:r>
      <w:r w:rsidR="18922B59" w:rsidRPr="00226F9D">
        <w:rPr>
          <w:rFonts w:ascii="Times New Roman" w:eastAsia="Calibri" w:hAnsi="Times New Roman" w:cs="Times New Roman"/>
          <w:lang w:val="sr-Cyrl-RS"/>
        </w:rPr>
        <w:t xml:space="preserve"> </w:t>
      </w:r>
    </w:p>
    <w:p w14:paraId="123F168E" w14:textId="77777777" w:rsidR="00443547" w:rsidRPr="00226F9D" w:rsidRDefault="00443547" w:rsidP="006B59F4">
      <w:pPr>
        <w:spacing w:after="0" w:line="240" w:lineRule="auto"/>
        <w:jc w:val="both"/>
        <w:rPr>
          <w:rFonts w:ascii="Times New Roman" w:eastAsia="Calibri" w:hAnsi="Times New Roman" w:cs="Times New Roman"/>
          <w:sz w:val="22"/>
          <w:szCs w:val="22"/>
          <w:lang w:val="sr-Cyrl-RS"/>
        </w:rPr>
      </w:pPr>
    </w:p>
    <w:p w14:paraId="6166D3EF" w14:textId="1751BD5A" w:rsidR="007522F5" w:rsidRPr="00226F9D" w:rsidRDefault="42DE6905"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Ка</w:t>
      </w:r>
      <w:r w:rsidR="314048C6" w:rsidRPr="00226F9D">
        <w:rPr>
          <w:rFonts w:ascii="Times New Roman" w:eastAsia="Calibri" w:hAnsi="Times New Roman" w:cs="Times New Roman"/>
          <w:lang w:val="sr-Cyrl-RS"/>
        </w:rPr>
        <w:t xml:space="preserve">да </w:t>
      </w:r>
      <w:r w:rsidR="43859B59" w:rsidRPr="00226F9D">
        <w:rPr>
          <w:rFonts w:ascii="Times New Roman" w:eastAsia="Calibri" w:hAnsi="Times New Roman" w:cs="Times New Roman"/>
          <w:lang w:val="sr-Cyrl-RS"/>
        </w:rPr>
        <w:t>су у пита</w:t>
      </w:r>
      <w:r w:rsidR="4ABDE3AA" w:rsidRPr="00226F9D">
        <w:rPr>
          <w:rFonts w:ascii="Times New Roman" w:eastAsia="Calibri" w:hAnsi="Times New Roman" w:cs="Times New Roman"/>
          <w:lang w:val="sr-Cyrl-RS"/>
        </w:rPr>
        <w:t>њу</w:t>
      </w:r>
      <w:r w:rsidR="05724EEC" w:rsidRPr="00226F9D">
        <w:rPr>
          <w:rFonts w:ascii="Times New Roman" w:eastAsia="Calibri" w:hAnsi="Times New Roman" w:cs="Times New Roman"/>
          <w:lang w:val="sr-Cyrl-RS"/>
        </w:rPr>
        <w:t xml:space="preserve"> друга два индикатора, </w:t>
      </w:r>
      <w:r w:rsidR="4ABDE3AA" w:rsidRPr="00226F9D">
        <w:rPr>
          <w:rFonts w:ascii="Times New Roman" w:eastAsia="Calibri" w:hAnsi="Times New Roman" w:cs="Times New Roman"/>
          <w:lang w:val="sr-Cyrl-RS"/>
        </w:rPr>
        <w:t>вредности нису достигнуте.</w:t>
      </w:r>
      <w:r w:rsidR="7DC31364" w:rsidRPr="00226F9D">
        <w:rPr>
          <w:rFonts w:ascii="Times New Roman" w:eastAsia="Calibri" w:hAnsi="Times New Roman" w:cs="Times New Roman"/>
          <w:lang w:val="sr-Cyrl-RS"/>
        </w:rPr>
        <w:t xml:space="preserve"> </w:t>
      </w:r>
      <w:r w:rsidR="1F6A4AF5" w:rsidRPr="00226F9D">
        <w:rPr>
          <w:rFonts w:ascii="Times New Roman" w:eastAsia="Calibri" w:hAnsi="Times New Roman" w:cs="Times New Roman"/>
          <w:i/>
          <w:iCs/>
          <w:lang w:val="sr-Cyrl-RS"/>
        </w:rPr>
        <w:t>Удео пореских прихода ЛС у укупним пореским приходима у Републици Србији</w:t>
      </w:r>
      <w:r w:rsidR="1F6A4AF5" w:rsidRPr="00226F9D">
        <w:rPr>
          <w:rFonts w:ascii="Times New Roman" w:eastAsia="Calibri" w:hAnsi="Times New Roman" w:cs="Times New Roman"/>
          <w:lang w:val="sr-Cyrl-RS"/>
        </w:rPr>
        <w:t xml:space="preserve"> на крају 202</w:t>
      </w:r>
      <w:r w:rsidR="2B86383D" w:rsidRPr="00226F9D">
        <w:rPr>
          <w:rFonts w:ascii="Times New Roman" w:eastAsia="Calibri" w:hAnsi="Times New Roman" w:cs="Times New Roman"/>
          <w:lang w:val="sr-Cyrl-RS"/>
        </w:rPr>
        <w:t>5</w:t>
      </w:r>
      <w:r w:rsidR="1F6A4AF5" w:rsidRPr="00226F9D">
        <w:rPr>
          <w:rFonts w:ascii="Times New Roman" w:eastAsia="Calibri" w:hAnsi="Times New Roman" w:cs="Times New Roman"/>
          <w:lang w:val="sr-Cyrl-RS"/>
        </w:rPr>
        <w:t>. године је испод планиране циљне вредности и само незнатно изнад базне из 2020.</w:t>
      </w:r>
      <w:r w:rsidR="09CE8525" w:rsidRPr="00226F9D">
        <w:rPr>
          <w:rFonts w:ascii="Times New Roman" w:eastAsia="Calibri" w:hAnsi="Times New Roman" w:cs="Times New Roman"/>
          <w:lang w:val="sr-Cyrl-RS"/>
        </w:rPr>
        <w:t xml:space="preserve"> године.</w:t>
      </w:r>
      <w:r w:rsidR="1F6A4AF5" w:rsidRPr="00226F9D">
        <w:rPr>
          <w:rFonts w:ascii="Times New Roman" w:eastAsia="Calibri" w:hAnsi="Times New Roman" w:cs="Times New Roman"/>
          <w:lang w:val="sr-Cyrl-RS"/>
        </w:rPr>
        <w:t xml:space="preserve"> Потребно је истаћи да више од 75% пореских прихода ЈЛС представљају уступљени приходи</w:t>
      </w:r>
      <w:r w:rsidR="1F6A4AF5" w:rsidRPr="00226F9D">
        <w:rPr>
          <w:rFonts w:ascii="Times New Roman" w:eastAsia="Calibri" w:hAnsi="Times New Roman" w:cs="Times New Roman"/>
          <w:lang w:val="sr-Latn-RS"/>
        </w:rPr>
        <w:t xml:space="preserve"> (</w:t>
      </w:r>
      <w:r w:rsidR="1F6A4AF5" w:rsidRPr="00226F9D">
        <w:rPr>
          <w:rFonts w:ascii="Times New Roman" w:eastAsia="Calibri" w:hAnsi="Times New Roman" w:cs="Times New Roman"/>
          <w:lang w:val="sr-Cyrl-RS"/>
        </w:rPr>
        <w:t xml:space="preserve">превасходно порез на доходак) на које ЈЛС нема значајан утицај, </w:t>
      </w:r>
      <w:r w:rsidR="77DB9641" w:rsidRPr="00226F9D">
        <w:rPr>
          <w:rFonts w:ascii="Times New Roman" w:eastAsia="Calibri" w:hAnsi="Times New Roman" w:cs="Times New Roman"/>
          <w:lang w:val="sr-Cyrl-RS"/>
        </w:rPr>
        <w:t xml:space="preserve">и где је позитивна промена требало да буде </w:t>
      </w:r>
      <w:r w:rsidR="1E3A2690" w:rsidRPr="00226F9D">
        <w:rPr>
          <w:rFonts w:ascii="Times New Roman" w:eastAsia="Calibri" w:hAnsi="Times New Roman" w:cs="Times New Roman"/>
          <w:lang w:val="sr-Cyrl-RS"/>
        </w:rPr>
        <w:t xml:space="preserve">првенствено </w:t>
      </w:r>
      <w:r w:rsidR="3460EE7D" w:rsidRPr="00226F9D">
        <w:rPr>
          <w:rFonts w:ascii="Times New Roman" w:eastAsia="Calibri" w:hAnsi="Times New Roman" w:cs="Times New Roman"/>
          <w:lang w:val="sr-Cyrl-RS"/>
        </w:rPr>
        <w:t>резултат</w:t>
      </w:r>
      <w:r w:rsidR="77DB9641" w:rsidRPr="00226F9D">
        <w:rPr>
          <w:rFonts w:ascii="Times New Roman" w:eastAsia="Calibri" w:hAnsi="Times New Roman" w:cs="Times New Roman"/>
          <w:lang w:val="sr-Cyrl-RS"/>
        </w:rPr>
        <w:t xml:space="preserve"> реформе правног оквира</w:t>
      </w:r>
      <w:r w:rsidR="1F6A4AF5" w:rsidRPr="00226F9D">
        <w:rPr>
          <w:rFonts w:ascii="Times New Roman" w:eastAsia="Calibri" w:hAnsi="Times New Roman" w:cs="Times New Roman"/>
          <w:lang w:val="sr-Cyrl-RS"/>
        </w:rPr>
        <w:t>. Када је у питању порез на непокретности, као изворни приход ЈЛС и најзначајнији део пореза на имовину, његов удео је остао релативно константан у укупним приходима и примањима</w:t>
      </w:r>
      <w:r w:rsidR="498214BB" w:rsidRPr="00226F9D">
        <w:rPr>
          <w:rFonts w:ascii="Times New Roman" w:eastAsia="Calibri" w:hAnsi="Times New Roman" w:cs="Times New Roman"/>
          <w:lang w:val="sr-Cyrl-RS"/>
        </w:rPr>
        <w:t xml:space="preserve">, </w:t>
      </w:r>
      <w:r w:rsidR="00F039D8" w:rsidRPr="00226F9D">
        <w:rPr>
          <w:rFonts w:ascii="Times New Roman" w:eastAsia="Calibri" w:hAnsi="Times New Roman" w:cs="Times New Roman"/>
          <w:lang w:val="sr-Cyrl-RS"/>
        </w:rPr>
        <w:t xml:space="preserve">уз тек минималан </w:t>
      </w:r>
      <w:r w:rsidR="007C07D3" w:rsidRPr="00226F9D">
        <w:rPr>
          <w:rFonts w:ascii="Times New Roman" w:eastAsia="Calibri" w:hAnsi="Times New Roman" w:cs="Times New Roman"/>
          <w:lang w:val="sr-Cyrl-RS"/>
        </w:rPr>
        <w:t>пораст на самом крају претходног рефер</w:t>
      </w:r>
      <w:r w:rsidR="00E734BD" w:rsidRPr="00226F9D">
        <w:rPr>
          <w:rFonts w:ascii="Times New Roman" w:eastAsia="Calibri" w:hAnsi="Times New Roman" w:cs="Times New Roman"/>
          <w:lang w:val="sr-Cyrl-RS"/>
        </w:rPr>
        <w:t>е</w:t>
      </w:r>
      <w:r w:rsidR="007C07D3" w:rsidRPr="00226F9D">
        <w:rPr>
          <w:rFonts w:ascii="Times New Roman" w:eastAsia="Calibri" w:hAnsi="Times New Roman" w:cs="Times New Roman"/>
          <w:lang w:val="sr-Cyrl-RS"/>
        </w:rPr>
        <w:t>нтног периода</w:t>
      </w:r>
      <w:r w:rsidR="0074747F" w:rsidRPr="00226F9D">
        <w:rPr>
          <w:rFonts w:ascii="Times New Roman" w:eastAsia="Calibri" w:hAnsi="Times New Roman" w:cs="Times New Roman"/>
          <w:lang w:val="sr-Cyrl-RS"/>
        </w:rPr>
        <w:t xml:space="preserve"> </w:t>
      </w:r>
      <w:r w:rsidR="498214BB" w:rsidRPr="00226F9D">
        <w:rPr>
          <w:rFonts w:ascii="Times New Roman" w:eastAsia="Calibri" w:hAnsi="Times New Roman" w:cs="Times New Roman"/>
          <w:lang w:val="sr-Cyrl-RS"/>
        </w:rPr>
        <w:t>(</w:t>
      </w:r>
      <w:r w:rsidR="1F6A4AF5" w:rsidRPr="00226F9D">
        <w:rPr>
          <w:rFonts w:ascii="Times New Roman" w:eastAsia="Calibri" w:hAnsi="Times New Roman" w:cs="Times New Roman"/>
          <w:lang w:val="sr-Cyrl-RS"/>
        </w:rPr>
        <w:t>са 15,8%</w:t>
      </w:r>
      <w:r w:rsidR="206ED8C9" w:rsidRPr="00226F9D">
        <w:rPr>
          <w:rFonts w:ascii="Times New Roman" w:eastAsia="Calibri" w:hAnsi="Times New Roman" w:cs="Times New Roman"/>
          <w:lang w:val="sr-Cyrl-RS"/>
        </w:rPr>
        <w:t xml:space="preserve"> </w:t>
      </w:r>
      <w:r w:rsidR="0233EF6A" w:rsidRPr="00226F9D">
        <w:rPr>
          <w:rFonts w:ascii="Times New Roman" w:eastAsia="Calibri" w:hAnsi="Times New Roman" w:cs="Times New Roman"/>
          <w:lang w:val="sr-Cyrl-RS"/>
        </w:rPr>
        <w:t>у 2019. години</w:t>
      </w:r>
      <w:r w:rsidR="1F6A4AF5" w:rsidRPr="00226F9D">
        <w:rPr>
          <w:rFonts w:ascii="Times New Roman" w:eastAsia="Calibri" w:hAnsi="Times New Roman" w:cs="Times New Roman"/>
          <w:lang w:val="sr-Cyrl-RS"/>
        </w:rPr>
        <w:t xml:space="preserve"> на 15</w:t>
      </w:r>
      <w:r w:rsidR="3ACC9F8A" w:rsidRPr="00226F9D">
        <w:rPr>
          <w:rFonts w:ascii="Times New Roman" w:eastAsia="Calibri" w:hAnsi="Times New Roman" w:cs="Times New Roman"/>
          <w:lang w:val="sr-Cyrl-RS"/>
        </w:rPr>
        <w:t>,</w:t>
      </w:r>
      <w:r w:rsidR="2B86383D" w:rsidRPr="00226F9D">
        <w:rPr>
          <w:rFonts w:ascii="Times New Roman" w:eastAsia="Calibri" w:hAnsi="Times New Roman" w:cs="Times New Roman"/>
          <w:lang w:val="sr-Cyrl-RS"/>
        </w:rPr>
        <w:t>90</w:t>
      </w:r>
      <w:r w:rsidR="1F6A4AF5" w:rsidRPr="00226F9D">
        <w:rPr>
          <w:rFonts w:ascii="Times New Roman" w:eastAsia="Calibri" w:hAnsi="Times New Roman" w:cs="Times New Roman"/>
          <w:lang w:val="sr-Cyrl-RS"/>
        </w:rPr>
        <w:t>%</w:t>
      </w:r>
      <w:r w:rsidR="3ACC9F8A" w:rsidRPr="00226F9D">
        <w:rPr>
          <w:rFonts w:ascii="Times New Roman" w:eastAsia="Calibri" w:hAnsi="Times New Roman" w:cs="Times New Roman"/>
          <w:lang w:val="sr-Cyrl-RS"/>
        </w:rPr>
        <w:t xml:space="preserve"> у 202</w:t>
      </w:r>
      <w:r w:rsidR="2B86383D" w:rsidRPr="00226F9D">
        <w:rPr>
          <w:rFonts w:ascii="Times New Roman" w:eastAsia="Calibri" w:hAnsi="Times New Roman" w:cs="Times New Roman"/>
          <w:lang w:val="sr-Cyrl-RS"/>
        </w:rPr>
        <w:t>5</w:t>
      </w:r>
      <w:r w:rsidR="3ACC9F8A" w:rsidRPr="00226F9D">
        <w:rPr>
          <w:rFonts w:ascii="Times New Roman" w:eastAsia="Calibri" w:hAnsi="Times New Roman" w:cs="Times New Roman"/>
          <w:lang w:val="sr-Cyrl-RS"/>
        </w:rPr>
        <w:t>.</w:t>
      </w:r>
      <w:r w:rsidR="1F6A4AF5" w:rsidRPr="00226F9D">
        <w:rPr>
          <w:rFonts w:ascii="Times New Roman" w:eastAsia="Calibri" w:hAnsi="Times New Roman" w:cs="Times New Roman"/>
          <w:lang w:val="sr-Cyrl-RS"/>
        </w:rPr>
        <w:t xml:space="preserve">), </w:t>
      </w:r>
      <w:r w:rsidR="7E4E43E1" w:rsidRPr="00226F9D">
        <w:rPr>
          <w:rFonts w:ascii="Times New Roman" w:eastAsia="Calibri" w:hAnsi="Times New Roman" w:cs="Times New Roman"/>
          <w:lang w:val="sr-Cyrl-RS"/>
        </w:rPr>
        <w:t>тако да</w:t>
      </w:r>
      <w:r w:rsidR="1F6A4AF5" w:rsidRPr="00226F9D">
        <w:rPr>
          <w:rFonts w:ascii="Times New Roman" w:eastAsia="Calibri" w:hAnsi="Times New Roman" w:cs="Times New Roman"/>
          <w:lang w:val="sr-Cyrl-RS"/>
        </w:rPr>
        <w:t xml:space="preserve"> није остварен</w:t>
      </w:r>
      <w:r w:rsidR="5F9C93AE" w:rsidRPr="00226F9D">
        <w:rPr>
          <w:rFonts w:ascii="Times New Roman" w:eastAsia="Calibri" w:hAnsi="Times New Roman" w:cs="Times New Roman"/>
          <w:lang w:val="sr-Cyrl-RS"/>
        </w:rPr>
        <w:t>а</w:t>
      </w:r>
      <w:r w:rsidR="1F6A4AF5" w:rsidRPr="00226F9D">
        <w:rPr>
          <w:rFonts w:ascii="Times New Roman" w:eastAsia="Calibri" w:hAnsi="Times New Roman" w:cs="Times New Roman"/>
          <w:lang w:val="sr-Cyrl-RS"/>
        </w:rPr>
        <w:t xml:space="preserve"> планирана вредност учешћа овог пореза </w:t>
      </w:r>
      <w:r w:rsidR="7E4E43E1" w:rsidRPr="00226F9D">
        <w:rPr>
          <w:rFonts w:ascii="Times New Roman" w:eastAsia="Calibri" w:hAnsi="Times New Roman" w:cs="Times New Roman"/>
          <w:lang w:val="sr-Cyrl-RS"/>
        </w:rPr>
        <w:t xml:space="preserve">у укупним буџетским примањима ЛС </w:t>
      </w:r>
      <w:r w:rsidR="1F6A4AF5" w:rsidRPr="00226F9D">
        <w:rPr>
          <w:rFonts w:ascii="Times New Roman" w:eastAsia="Calibri" w:hAnsi="Times New Roman" w:cs="Times New Roman"/>
          <w:lang w:val="sr-Cyrl-RS"/>
        </w:rPr>
        <w:t xml:space="preserve">од </w:t>
      </w:r>
      <w:r w:rsidR="1F6A4AF5" w:rsidRPr="00226F9D">
        <w:rPr>
          <w:rFonts w:ascii="Times New Roman" w:eastAsia="Calibri" w:hAnsi="Times New Roman" w:cs="Times New Roman"/>
          <w:lang w:val="sr-Cyrl-RS"/>
        </w:rPr>
        <w:lastRenderedPageBreak/>
        <w:t>17</w:t>
      </w:r>
      <w:r w:rsidR="2B86383D" w:rsidRPr="00226F9D">
        <w:rPr>
          <w:rFonts w:ascii="Times New Roman" w:eastAsia="Calibri" w:hAnsi="Times New Roman" w:cs="Times New Roman"/>
          <w:lang w:val="sr-Cyrl-RS"/>
        </w:rPr>
        <w:t>,50</w:t>
      </w:r>
      <w:r w:rsidR="1F6A4AF5" w:rsidRPr="00226F9D">
        <w:rPr>
          <w:rFonts w:ascii="Times New Roman" w:eastAsia="Calibri" w:hAnsi="Times New Roman" w:cs="Times New Roman"/>
          <w:lang w:val="sr-Cyrl-RS"/>
        </w:rPr>
        <w:t xml:space="preserve">% </w:t>
      </w:r>
      <w:r w:rsidR="0B5DF160" w:rsidRPr="00226F9D">
        <w:rPr>
          <w:rFonts w:ascii="Times New Roman" w:eastAsia="Calibri" w:hAnsi="Times New Roman" w:cs="Times New Roman"/>
          <w:lang w:val="sr-Cyrl-RS"/>
        </w:rPr>
        <w:t>за</w:t>
      </w:r>
      <w:r w:rsidR="1F6A4AF5" w:rsidRPr="00226F9D">
        <w:rPr>
          <w:rFonts w:ascii="Times New Roman" w:eastAsia="Calibri" w:hAnsi="Times New Roman" w:cs="Times New Roman"/>
          <w:lang w:val="sr-Cyrl-RS"/>
        </w:rPr>
        <w:t xml:space="preserve"> 202</w:t>
      </w:r>
      <w:r w:rsidR="00305578" w:rsidRPr="00226F9D">
        <w:rPr>
          <w:rFonts w:ascii="Times New Roman" w:eastAsia="Calibri" w:hAnsi="Times New Roman" w:cs="Times New Roman"/>
          <w:lang w:val="sr-Cyrl-RS"/>
        </w:rPr>
        <w:t>5</w:t>
      </w:r>
      <w:r w:rsidR="1F6A4AF5" w:rsidRPr="00226F9D">
        <w:rPr>
          <w:rFonts w:ascii="Times New Roman" w:eastAsia="Calibri" w:hAnsi="Times New Roman" w:cs="Times New Roman"/>
          <w:lang w:val="sr-Cyrl-RS"/>
        </w:rPr>
        <w:t>. годин</w:t>
      </w:r>
      <w:r w:rsidR="0B5DF160" w:rsidRPr="00226F9D">
        <w:rPr>
          <w:rFonts w:ascii="Times New Roman" w:eastAsia="Calibri" w:hAnsi="Times New Roman" w:cs="Times New Roman"/>
          <w:lang w:val="sr-Cyrl-RS"/>
        </w:rPr>
        <w:t>у</w:t>
      </w:r>
      <w:r w:rsidR="68D37DAB" w:rsidRPr="00226F9D">
        <w:rPr>
          <w:rFonts w:ascii="Times New Roman" w:eastAsia="Calibri" w:hAnsi="Times New Roman" w:cs="Times New Roman"/>
          <w:lang w:val="sr-Cyrl-RS"/>
        </w:rPr>
        <w:t xml:space="preserve"> (како је било пројектовано </w:t>
      </w:r>
      <w:r w:rsidR="32F5080D" w:rsidRPr="00226F9D">
        <w:rPr>
          <w:rFonts w:ascii="Times New Roman" w:eastAsia="Calibri" w:hAnsi="Times New Roman" w:cs="Times New Roman"/>
          <w:lang w:val="sr-Cyrl-RS"/>
        </w:rPr>
        <w:t>и праћено на нивоу прве мере унутар овог посебног циља</w:t>
      </w:r>
      <w:r w:rsidR="15C67D35" w:rsidRPr="00226F9D">
        <w:rPr>
          <w:rFonts w:ascii="Times New Roman" w:eastAsia="Calibri" w:hAnsi="Times New Roman" w:cs="Times New Roman"/>
          <w:lang w:val="sr-Cyrl-RS"/>
        </w:rPr>
        <w:t>)</w:t>
      </w:r>
      <w:r w:rsidR="1F6A4AF5" w:rsidRPr="00226F9D">
        <w:rPr>
          <w:rFonts w:ascii="Times New Roman" w:eastAsia="Calibri" w:hAnsi="Times New Roman" w:cs="Times New Roman"/>
          <w:lang w:val="sr-Cyrl-RS"/>
        </w:rPr>
        <w:t>. Иако недвосмислено постоји могућност увећања удела овог пореза у укупним приходима и примањима ЈЛС, имајући у виду да је његово учешће међу највећим у региону и близу просека земаља чланица ЕУ из средње и источене Европе, тај раст може бити само ограничен</w:t>
      </w:r>
      <w:r w:rsidR="6EC7DC22" w:rsidRPr="00226F9D">
        <w:rPr>
          <w:rFonts w:ascii="Times New Roman" w:eastAsia="Calibri" w:hAnsi="Times New Roman" w:cs="Times New Roman"/>
          <w:lang w:val="sr-Cyrl-RS"/>
        </w:rPr>
        <w:t>. У складу са тим</w:t>
      </w:r>
      <w:r w:rsidR="081708F2" w:rsidRPr="00226F9D">
        <w:rPr>
          <w:rFonts w:ascii="Times New Roman" w:eastAsia="Calibri" w:hAnsi="Times New Roman" w:cs="Times New Roman"/>
          <w:lang w:val="sr-Cyrl-RS"/>
        </w:rPr>
        <w:t>,</w:t>
      </w:r>
      <w:r w:rsidR="6EC7DC22" w:rsidRPr="00226F9D">
        <w:rPr>
          <w:rFonts w:ascii="Times New Roman" w:eastAsia="Calibri" w:hAnsi="Times New Roman" w:cs="Times New Roman"/>
          <w:lang w:val="sr-Cyrl-RS"/>
        </w:rPr>
        <w:t xml:space="preserve"> порез на имовину </w:t>
      </w:r>
      <w:r w:rsidR="2E3C9674" w:rsidRPr="00226F9D">
        <w:rPr>
          <w:rFonts w:ascii="Times New Roman" w:eastAsia="Calibri" w:hAnsi="Times New Roman" w:cs="Times New Roman"/>
          <w:lang w:val="sr-Cyrl-RS"/>
        </w:rPr>
        <w:t xml:space="preserve">не може </w:t>
      </w:r>
      <w:r w:rsidR="51D4A97D" w:rsidRPr="00226F9D">
        <w:rPr>
          <w:rFonts w:ascii="Times New Roman" w:eastAsia="Calibri" w:hAnsi="Times New Roman" w:cs="Times New Roman"/>
          <w:lang w:val="sr-Cyrl-RS"/>
        </w:rPr>
        <w:t xml:space="preserve">самостално довести до </w:t>
      </w:r>
      <w:r w:rsidR="75E33DD8" w:rsidRPr="00226F9D">
        <w:rPr>
          <w:rFonts w:ascii="Times New Roman" w:eastAsia="Calibri" w:hAnsi="Times New Roman" w:cs="Times New Roman"/>
          <w:lang w:val="sr-Cyrl-RS"/>
        </w:rPr>
        <w:t>раст</w:t>
      </w:r>
      <w:r w:rsidR="51D4A97D" w:rsidRPr="00226F9D">
        <w:rPr>
          <w:rFonts w:ascii="Times New Roman" w:eastAsia="Calibri" w:hAnsi="Times New Roman" w:cs="Times New Roman"/>
          <w:lang w:val="sr-Cyrl-RS"/>
        </w:rPr>
        <w:t>а</w:t>
      </w:r>
      <w:r w:rsidR="75E33DD8" w:rsidRPr="00226F9D">
        <w:rPr>
          <w:rFonts w:ascii="Times New Roman" w:eastAsia="Calibri" w:hAnsi="Times New Roman" w:cs="Times New Roman"/>
          <w:lang w:val="sr-Cyrl-RS"/>
        </w:rPr>
        <w:t xml:space="preserve"> удела локалних пореских прихода у укупним пореским прихода, већ је неопходно разматрати правце даље фискалне децентрализације да би се </w:t>
      </w:r>
      <w:r w:rsidR="6EC7DC22" w:rsidRPr="00226F9D">
        <w:rPr>
          <w:rFonts w:ascii="Times New Roman" w:eastAsia="Calibri" w:hAnsi="Times New Roman" w:cs="Times New Roman"/>
          <w:lang w:val="sr-Cyrl-RS"/>
        </w:rPr>
        <w:t>обезбедио раст значаја локалне самоуправе у пореским приходима</w:t>
      </w:r>
      <w:r w:rsidR="1F6A4AF5" w:rsidRPr="00226F9D">
        <w:rPr>
          <w:rFonts w:ascii="Times New Roman" w:eastAsia="Calibri" w:hAnsi="Times New Roman" w:cs="Times New Roman"/>
          <w:lang w:val="sr-Cyrl-RS"/>
        </w:rPr>
        <w:t>.</w:t>
      </w:r>
    </w:p>
    <w:p w14:paraId="40DD5F27" w14:textId="77777777" w:rsidR="007522F5" w:rsidRPr="00226F9D" w:rsidRDefault="007522F5" w:rsidP="006B59F4">
      <w:pPr>
        <w:spacing w:after="0" w:line="240" w:lineRule="auto"/>
        <w:jc w:val="both"/>
        <w:rPr>
          <w:rFonts w:ascii="Times New Roman" w:eastAsia="Calibri" w:hAnsi="Times New Roman" w:cs="Times New Roman"/>
          <w:lang w:val="sr-Cyrl-RS"/>
        </w:rPr>
      </w:pPr>
    </w:p>
    <w:p w14:paraId="59EEE0AC" w14:textId="35D9F0ED" w:rsidR="00434DB6" w:rsidRPr="00226F9D" w:rsidRDefault="1F6A4AF5"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У погледу индикатора који се односи на ЈЛС које имају усвојен средњорочни план, иако се након завршетка пандемиј</w:t>
      </w:r>
      <w:r w:rsidR="3262A988" w:rsidRPr="00226F9D">
        <w:rPr>
          <w:rFonts w:ascii="Times New Roman" w:eastAsia="Calibri" w:hAnsi="Times New Roman" w:cs="Times New Roman"/>
          <w:lang w:val="sr-Cyrl-RS"/>
        </w:rPr>
        <w:t>е</w:t>
      </w:r>
      <w:r w:rsidRPr="00226F9D">
        <w:rPr>
          <w:rFonts w:ascii="Times New Roman" w:eastAsia="Calibri" w:hAnsi="Times New Roman" w:cs="Times New Roman"/>
          <w:lang w:val="sr-Cyrl-RS"/>
        </w:rPr>
        <w:t xml:space="preserve"> кренуло у спровођење ов</w:t>
      </w:r>
      <w:r w:rsidR="32A6694C" w:rsidRPr="00226F9D">
        <w:rPr>
          <w:rFonts w:ascii="Times New Roman" w:eastAsia="Calibri" w:hAnsi="Times New Roman" w:cs="Times New Roman"/>
          <w:lang w:val="sr-Cyrl-RS"/>
        </w:rPr>
        <w:t>е</w:t>
      </w:r>
      <w:r w:rsidRPr="00226F9D">
        <w:rPr>
          <w:rFonts w:ascii="Times New Roman" w:eastAsia="Calibri" w:hAnsi="Times New Roman" w:cs="Times New Roman"/>
          <w:lang w:val="sr-Cyrl-RS"/>
        </w:rPr>
        <w:t xml:space="preserve"> реформе када је за период 2023-2025, 27 ЈЛС усвојило своје средњорочне планове, стање је почело да се погоршава</w:t>
      </w:r>
      <w:r w:rsidR="18D97907"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јер је за период 2024-2026. ове планове усвојило само 18 ЈЛС</w:t>
      </w:r>
      <w:r w:rsidR="29EACF4D" w:rsidRPr="00226F9D">
        <w:rPr>
          <w:rFonts w:ascii="Times New Roman" w:eastAsia="Calibri" w:hAnsi="Times New Roman" w:cs="Times New Roman"/>
          <w:lang w:val="sr-Cyrl-RS"/>
        </w:rPr>
        <w:t>, а за период 2025-2027 свега</w:t>
      </w:r>
      <w:r w:rsidR="003E2EED" w:rsidRPr="00226F9D">
        <w:rPr>
          <w:rFonts w:ascii="Times New Roman" w:eastAsia="Calibri" w:hAnsi="Times New Roman" w:cs="Times New Roman"/>
          <w:lang w:val="sr-Cyrl-RS"/>
        </w:rPr>
        <w:t xml:space="preserve"> 13</w:t>
      </w:r>
      <w:r w:rsidR="2B86383D" w:rsidRPr="00226F9D">
        <w:rPr>
          <w:rFonts w:ascii="Times New Roman" w:eastAsia="Calibri" w:hAnsi="Times New Roman" w:cs="Times New Roman"/>
          <w:lang w:val="sr-Cyrl-RS"/>
        </w:rPr>
        <w:t xml:space="preserve"> ЈЛС.</w:t>
      </w:r>
      <w:r w:rsidR="09AA9101"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 xml:space="preserve"> </w:t>
      </w:r>
      <w:r w:rsidR="09AA9101" w:rsidRPr="00226F9D">
        <w:rPr>
          <w:rFonts w:ascii="Times New Roman" w:eastAsia="Calibri" w:hAnsi="Times New Roman" w:cs="Times New Roman"/>
          <w:lang w:val="sr-Cyrl-RS"/>
        </w:rPr>
        <w:t>В</w:t>
      </w:r>
      <w:r w:rsidRPr="00226F9D">
        <w:rPr>
          <w:rFonts w:ascii="Times New Roman" w:eastAsia="Calibri" w:hAnsi="Times New Roman" w:cs="Times New Roman"/>
          <w:lang w:val="sr-Cyrl-RS"/>
        </w:rPr>
        <w:t>ећина средњорочних планова израђена уз подршку владе АП Војводине и</w:t>
      </w:r>
      <w:r w:rsidR="09AA9101"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 xml:space="preserve">Програма </w:t>
      </w:r>
      <w:r w:rsidRPr="00226F9D">
        <w:rPr>
          <w:rFonts w:ascii="Times New Roman" w:eastAsia="Calibri" w:hAnsi="Times New Roman" w:cs="Times New Roman"/>
        </w:rPr>
        <w:t>EU</w:t>
      </w:r>
      <w:r w:rsidRPr="00226F9D">
        <w:rPr>
          <w:rFonts w:ascii="Times New Roman" w:eastAsia="Calibri" w:hAnsi="Times New Roman" w:cs="Times New Roman"/>
          <w:lang w:val="sr-Cyrl-RS"/>
        </w:rPr>
        <w:t xml:space="preserve"> </w:t>
      </w:r>
      <w:r w:rsidRPr="00226F9D">
        <w:rPr>
          <w:rFonts w:ascii="Times New Roman" w:eastAsia="Calibri" w:hAnsi="Times New Roman" w:cs="Times New Roman"/>
        </w:rPr>
        <w:t>Exchange</w:t>
      </w:r>
      <w:r w:rsidRPr="00226F9D">
        <w:rPr>
          <w:rFonts w:ascii="Times New Roman" w:eastAsia="Calibri" w:hAnsi="Times New Roman" w:cs="Times New Roman"/>
          <w:lang w:val="sr-Cyrl-RS"/>
        </w:rPr>
        <w:t xml:space="preserve"> 6, с</w:t>
      </w:r>
      <w:r w:rsidR="56162A97"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тим да је само мали број ЈЛС наставио да их израђује у наредним годинама.</w:t>
      </w:r>
      <w:r w:rsidR="15804EFE" w:rsidRPr="00226F9D">
        <w:rPr>
          <w:rFonts w:ascii="Times New Roman" w:eastAsia="Calibri" w:hAnsi="Times New Roman" w:cs="Times New Roman"/>
          <w:lang w:val="sr-Cyrl-RS"/>
        </w:rPr>
        <w:t xml:space="preserve"> </w:t>
      </w:r>
    </w:p>
    <w:p w14:paraId="4F6CD82E" w14:textId="77777777" w:rsidR="00434DB6" w:rsidRPr="00226F9D" w:rsidRDefault="00434DB6" w:rsidP="006B59F4">
      <w:pPr>
        <w:spacing w:after="0" w:line="240" w:lineRule="auto"/>
        <w:jc w:val="both"/>
        <w:rPr>
          <w:rFonts w:ascii="Times New Roman" w:eastAsia="Calibri" w:hAnsi="Times New Roman" w:cs="Times New Roman"/>
          <w:sz w:val="22"/>
          <w:szCs w:val="22"/>
          <w:lang w:val="sr-Cyrl-RS"/>
        </w:rPr>
      </w:pPr>
    </w:p>
    <w:p w14:paraId="1B13086C" w14:textId="4FD10B7B" w:rsidR="007522F5" w:rsidRPr="00226F9D" w:rsidRDefault="007522F5"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Овде треба напоменути да </w:t>
      </w:r>
      <w:r w:rsidR="00493F11" w:rsidRPr="00226F9D">
        <w:rPr>
          <w:rFonts w:ascii="Times New Roman" w:eastAsia="Calibri" w:hAnsi="Times New Roman" w:cs="Times New Roman"/>
          <w:lang w:val="sr-Cyrl-RS"/>
        </w:rPr>
        <w:t xml:space="preserve">је </w:t>
      </w:r>
      <w:r w:rsidRPr="00226F9D">
        <w:rPr>
          <w:rFonts w:ascii="Times New Roman" w:eastAsia="Calibri" w:hAnsi="Times New Roman" w:cs="Times New Roman"/>
          <w:lang w:val="sr-Cyrl-RS"/>
        </w:rPr>
        <w:t>СКГО изради</w:t>
      </w:r>
      <w:r w:rsidR="00BA098A" w:rsidRPr="00226F9D">
        <w:rPr>
          <w:rFonts w:ascii="Times New Roman" w:eastAsia="Calibri" w:hAnsi="Times New Roman" w:cs="Times New Roman"/>
          <w:lang w:val="sr-Cyrl-RS"/>
        </w:rPr>
        <w:t>ла</w:t>
      </w:r>
      <w:r w:rsidRPr="00226F9D">
        <w:rPr>
          <w:rFonts w:ascii="Times New Roman" w:eastAsia="Calibri" w:hAnsi="Times New Roman" w:cs="Times New Roman"/>
          <w:lang w:val="sr-Cyrl-RS"/>
        </w:rPr>
        <w:t xml:space="preserve"> анализу </w:t>
      </w:r>
      <w:r w:rsidRPr="00226F9D">
        <w:rPr>
          <w:rStyle w:val="normaltextrun"/>
          <w:rFonts w:ascii="Times New Roman" w:hAnsi="Times New Roman" w:cs="Times New Roman"/>
          <w:lang w:val="sr-Cyrl-RS"/>
        </w:rPr>
        <w:t>процеса средњорочног планирања и програмског буџетирања на локалном нивоу</w:t>
      </w:r>
      <w:r w:rsidR="00F4023B" w:rsidRPr="00226F9D">
        <w:rPr>
          <w:rStyle w:val="normaltextrun"/>
          <w:rFonts w:ascii="Times New Roman" w:hAnsi="Times New Roman" w:cs="Times New Roman"/>
          <w:lang w:val="sr-Cyrl-RS"/>
        </w:rPr>
        <w:t>,</w:t>
      </w:r>
      <w:r w:rsidRPr="00226F9D">
        <w:rPr>
          <w:rStyle w:val="eop"/>
          <w:rFonts w:ascii="Times New Roman" w:hAnsi="Times New Roman" w:cs="Times New Roman"/>
          <w:lang w:val="sr-Latn-RS"/>
        </w:rPr>
        <w:t> </w:t>
      </w:r>
      <w:r w:rsidRPr="00226F9D">
        <w:rPr>
          <w:rFonts w:ascii="Times New Roman" w:eastAsia="Calibri" w:hAnsi="Times New Roman" w:cs="Times New Roman"/>
          <w:lang w:val="sr-Cyrl-RS"/>
        </w:rPr>
        <w:t>која је указала на значајне препреке када је у питању</w:t>
      </w:r>
      <w:r w:rsidR="0020071E" w:rsidRPr="00226F9D">
        <w:rPr>
          <w:rFonts w:ascii="Times New Roman" w:eastAsia="Calibri" w:hAnsi="Times New Roman" w:cs="Times New Roman"/>
          <w:lang w:val="sr-Cyrl-RS"/>
        </w:rPr>
        <w:t xml:space="preserve"> спровођење ових </w:t>
      </w:r>
      <w:r w:rsidRPr="00226F9D">
        <w:rPr>
          <w:rFonts w:ascii="Times New Roman" w:eastAsia="Calibri" w:hAnsi="Times New Roman" w:cs="Times New Roman"/>
          <w:lang w:val="sr-Cyrl-RS"/>
        </w:rPr>
        <w:t>реформ</w:t>
      </w:r>
      <w:r w:rsidR="0020071E" w:rsidRPr="00226F9D">
        <w:rPr>
          <w:rFonts w:ascii="Times New Roman" w:eastAsia="Calibri" w:hAnsi="Times New Roman" w:cs="Times New Roman"/>
          <w:lang w:val="sr-Cyrl-RS"/>
        </w:rPr>
        <w:t>ских аспеката</w:t>
      </w:r>
      <w:r w:rsidRPr="00226F9D">
        <w:rPr>
          <w:rFonts w:ascii="Times New Roman" w:eastAsia="Calibri" w:hAnsi="Times New Roman" w:cs="Times New Roman"/>
          <w:lang w:val="sr-Cyrl-RS"/>
        </w:rPr>
        <w:t xml:space="preserve">. Анализа указује на </w:t>
      </w:r>
      <w:r w:rsidRPr="00226F9D">
        <w:rPr>
          <w:rStyle w:val="normaltextrun"/>
          <w:rFonts w:ascii="Times New Roman" w:hAnsi="Times New Roman" w:cs="Times New Roman"/>
          <w:lang w:val="sr-Cyrl-RS"/>
        </w:rPr>
        <w:t xml:space="preserve">неопходност успостављања нове програмске структуре за ЈЛС кроз измену Анексa 5, а која би била заснована на принципима из </w:t>
      </w:r>
      <w:r w:rsidRPr="00226F9D">
        <w:rPr>
          <w:rStyle w:val="normaltextrun"/>
          <w:rFonts w:ascii="Times New Roman" w:hAnsi="Times New Roman" w:cs="Times New Roman"/>
          <w:i/>
          <w:iCs/>
          <w:lang w:val="sr-Cyrl-RS"/>
        </w:rPr>
        <w:t>Упутства за израду програмског буџета</w:t>
      </w:r>
      <w:r w:rsidRPr="00226F9D">
        <w:rPr>
          <w:rStyle w:val="normaltextrun"/>
          <w:rFonts w:ascii="Times New Roman" w:hAnsi="Times New Roman" w:cs="Times New Roman"/>
          <w:lang w:val="sr-Cyrl-RS"/>
        </w:rPr>
        <w:t xml:space="preserve"> који се примењују за централни и покрајински ниво власти. На ово је указано још у </w:t>
      </w:r>
      <w:r w:rsidRPr="00226F9D">
        <w:rPr>
          <w:rFonts w:ascii="Times New Roman" w:eastAsia="Calibri" w:hAnsi="Times New Roman" w:cs="Times New Roman"/>
          <w:lang w:val="sr-Cyrl-RS"/>
        </w:rPr>
        <w:t xml:space="preserve">процесу израде АП ПРСЛС 2024-2025 када је установљено да је постојећа програмска структура препрека за усаглашавање средњорочног плана и програмског буџета те да се остварење показатеља </w:t>
      </w:r>
      <w:r w:rsidR="00C030A5" w:rsidRPr="00226F9D">
        <w:rPr>
          <w:rFonts w:ascii="Times New Roman" w:eastAsia="Calibri" w:hAnsi="Times New Roman" w:cs="Times New Roman"/>
          <w:lang w:val="sr-Cyrl-RS"/>
        </w:rPr>
        <w:t xml:space="preserve">у вези </w:t>
      </w:r>
      <w:r w:rsidR="00D8305D" w:rsidRPr="00226F9D">
        <w:rPr>
          <w:rFonts w:ascii="Times New Roman" w:eastAsia="Calibri" w:hAnsi="Times New Roman" w:cs="Times New Roman"/>
          <w:lang w:val="sr-Cyrl-RS"/>
        </w:rPr>
        <w:t xml:space="preserve">са тим </w:t>
      </w:r>
      <w:r w:rsidRPr="00226F9D">
        <w:rPr>
          <w:rFonts w:ascii="Times New Roman" w:eastAsia="Calibri" w:hAnsi="Times New Roman" w:cs="Times New Roman"/>
          <w:lang w:val="sr-Cyrl-RS"/>
        </w:rPr>
        <w:t xml:space="preserve">неће пратити  јер нема предуслова за његово испуњење. </w:t>
      </w:r>
      <w:r w:rsidRPr="00226F9D">
        <w:rPr>
          <w:rStyle w:val="normaltextrun"/>
          <w:rFonts w:ascii="Times New Roman" w:hAnsi="Times New Roman" w:cs="Times New Roman"/>
          <w:lang w:val="sr-Cyrl-RS"/>
        </w:rPr>
        <w:t xml:space="preserve">Такође, као посебно </w:t>
      </w:r>
      <w:r w:rsidRPr="00226F9D">
        <w:rPr>
          <w:rStyle w:val="normaltextrun"/>
          <w:rFonts w:ascii="Times New Roman" w:hAnsi="Times New Roman" w:cs="Times New Roman"/>
          <w:color w:val="000000"/>
          <w:lang w:val="sr-Cyrl-RS"/>
        </w:rPr>
        <w:t>велики изазов наводи се захтев предвиђен Законом о планском систему</w:t>
      </w:r>
      <w:r w:rsidR="00497CD5" w:rsidRPr="00226F9D">
        <w:rPr>
          <w:rStyle w:val="FootnoteReference"/>
          <w:rFonts w:ascii="Times New Roman" w:hAnsi="Times New Roman" w:cs="Times New Roman"/>
          <w:color w:val="000000"/>
          <w:lang w:val="sr-Cyrl-RS"/>
        </w:rPr>
        <w:footnoteReference w:id="45"/>
      </w:r>
      <w:r w:rsidRPr="00226F9D">
        <w:rPr>
          <w:rStyle w:val="normaltextrun"/>
          <w:rFonts w:ascii="Times New Roman" w:hAnsi="Times New Roman" w:cs="Times New Roman"/>
          <w:color w:val="000000"/>
          <w:lang w:val="sr-Cyrl-RS"/>
        </w:rPr>
        <w:t xml:space="preserve"> </w:t>
      </w:r>
      <w:r w:rsidRPr="00226F9D">
        <w:rPr>
          <w:rStyle w:val="normaltextrun"/>
          <w:rFonts w:ascii="Times New Roman" w:hAnsi="Times New Roman" w:cs="Times New Roman"/>
          <w:lang w:val="sr-Cyrl-RS"/>
        </w:rPr>
        <w:t>да се средњорочни план</w:t>
      </w:r>
      <w:r w:rsidRPr="00226F9D">
        <w:rPr>
          <w:rStyle w:val="normaltextrun"/>
          <w:rFonts w:ascii="Times New Roman" w:hAnsi="Times New Roman" w:cs="Times New Roman"/>
          <w:b/>
          <w:bCs/>
          <w:lang w:val="sr-Cyrl-RS"/>
        </w:rPr>
        <w:t xml:space="preserve"> </w:t>
      </w:r>
      <w:r w:rsidRPr="00226F9D">
        <w:rPr>
          <w:rStyle w:val="normaltextrun"/>
          <w:rFonts w:ascii="Times New Roman" w:hAnsi="Times New Roman" w:cs="Times New Roman"/>
          <w:lang w:val="sr-Cyrl-RS"/>
        </w:rPr>
        <w:t xml:space="preserve">усваја од стране локалних представничких тела (скупштина), а не од стране извршних органа што је случај на вишим нивоима власти. </w:t>
      </w:r>
      <w:r w:rsidR="007F5041" w:rsidRPr="00226F9D">
        <w:rPr>
          <w:rStyle w:val="normaltextrun"/>
          <w:rFonts w:ascii="Times New Roman" w:hAnsi="Times New Roman" w:cs="Times New Roman"/>
          <w:lang w:val="sr-Cyrl-RS"/>
        </w:rPr>
        <w:t xml:space="preserve">Анализа СКГО указује да је потребно </w:t>
      </w:r>
      <w:r w:rsidR="005E513A" w:rsidRPr="00226F9D">
        <w:rPr>
          <w:rStyle w:val="normaltextrun"/>
          <w:rFonts w:ascii="Times New Roman" w:hAnsi="Times New Roman" w:cs="Times New Roman"/>
          <w:lang w:val="sr-Cyrl-RS"/>
        </w:rPr>
        <w:t>размотрити сва ова отворена питања и спровести неопходне промене како би било</w:t>
      </w:r>
      <w:r w:rsidRPr="00226F9D">
        <w:rPr>
          <w:rStyle w:val="normaltextrun"/>
          <w:rFonts w:ascii="Times New Roman" w:hAnsi="Times New Roman" w:cs="Times New Roman"/>
          <w:lang w:val="sr-Cyrl-RS"/>
        </w:rPr>
        <w:t xml:space="preserve"> могуће спроводити ову реформу на начин на који се она спроводи на републичком и покрајинском нивоу власти.</w:t>
      </w:r>
    </w:p>
    <w:p w14:paraId="4436CEE8" w14:textId="77777777" w:rsidR="007522F5" w:rsidRPr="00226F9D" w:rsidRDefault="007522F5" w:rsidP="006B59F4">
      <w:pPr>
        <w:spacing w:after="0" w:line="240" w:lineRule="auto"/>
        <w:jc w:val="both"/>
        <w:rPr>
          <w:rFonts w:ascii="Times New Roman" w:eastAsia="Calibri" w:hAnsi="Times New Roman" w:cs="Times New Roman"/>
          <w:lang w:val="sr-Cyrl-RS"/>
        </w:rPr>
      </w:pPr>
    </w:p>
    <w:p w14:paraId="05AC728D" w14:textId="2A2B8D66" w:rsidR="007522F5" w:rsidRPr="00226F9D" w:rsidRDefault="5919E7AB"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У оквиру унапређења транспарентности система локалних финансија је остварена циљна вредност за </w:t>
      </w:r>
      <w:r w:rsidRPr="00226F9D">
        <w:rPr>
          <w:rFonts w:ascii="Times New Roman" w:eastAsia="Calibri" w:hAnsi="Times New Roman" w:cs="Times New Roman"/>
          <w:i/>
          <w:iCs/>
          <w:lang w:val="sr-Cyrl-RS"/>
        </w:rPr>
        <w:t>удео ЛС које имају јавно доступне буџетске портале</w:t>
      </w:r>
      <w:r w:rsidRPr="00226F9D">
        <w:rPr>
          <w:rFonts w:ascii="Times New Roman" w:eastAsia="Calibri" w:hAnsi="Times New Roman" w:cs="Times New Roman"/>
          <w:lang w:val="sr-Cyrl-RS"/>
        </w:rPr>
        <w:t>, то јест значајно је повећан број ЈЛС које су успоставиле софтверски засноване апликације/платформе која омогућава</w:t>
      </w:r>
      <w:r w:rsidR="13936D1D" w:rsidRPr="00226F9D">
        <w:rPr>
          <w:rFonts w:ascii="Times New Roman" w:eastAsia="Calibri" w:hAnsi="Times New Roman" w:cs="Times New Roman"/>
          <w:lang w:val="sr-Cyrl-RS"/>
        </w:rPr>
        <w:t>ју</w:t>
      </w:r>
      <w:r w:rsidRPr="00226F9D">
        <w:rPr>
          <w:rFonts w:ascii="Times New Roman" w:eastAsia="Calibri" w:hAnsi="Times New Roman" w:cs="Times New Roman"/>
          <w:lang w:val="sr-Cyrl-RS"/>
        </w:rPr>
        <w:t xml:space="preserve"> напредан систем електронског извештавања у вези са финансијском документацијом, олакшава</w:t>
      </w:r>
      <w:r w:rsidR="23C0AC4B" w:rsidRPr="00226F9D">
        <w:rPr>
          <w:rFonts w:ascii="Times New Roman" w:eastAsia="Calibri" w:hAnsi="Times New Roman" w:cs="Times New Roman"/>
          <w:lang w:val="sr-Cyrl-RS"/>
        </w:rPr>
        <w:t>ју</w:t>
      </w:r>
      <w:r w:rsidRPr="00226F9D">
        <w:rPr>
          <w:rFonts w:ascii="Times New Roman" w:eastAsia="Calibri" w:hAnsi="Times New Roman" w:cs="Times New Roman"/>
          <w:lang w:val="sr-Cyrl-RS"/>
        </w:rPr>
        <w:t xml:space="preserve"> финансијско управљање и координацију унутар ЛС, као и комуникацију са заинтересованом јавношћу</w:t>
      </w:r>
      <w:r w:rsidR="007522F5" w:rsidRPr="00226F9D">
        <w:rPr>
          <w:rStyle w:val="FootnoteReference"/>
          <w:rFonts w:ascii="Times New Roman" w:eastAsia="Calibri" w:hAnsi="Times New Roman" w:cs="Times New Roman"/>
          <w:lang w:val="sr-Cyrl-RS"/>
        </w:rPr>
        <w:footnoteReference w:id="46"/>
      </w:r>
      <w:r w:rsidRPr="00226F9D">
        <w:rPr>
          <w:rFonts w:ascii="Times New Roman" w:eastAsia="Calibri" w:hAnsi="Times New Roman" w:cs="Times New Roman"/>
          <w:lang w:val="sr-Cyrl-RS"/>
        </w:rPr>
        <w:t>. Ипак,</w:t>
      </w:r>
      <w:r w:rsidR="40EEFC19" w:rsidRPr="00226F9D">
        <w:rPr>
          <w:rFonts w:ascii="Times New Roman" w:eastAsia="Calibri" w:hAnsi="Times New Roman" w:cs="Times New Roman"/>
          <w:lang w:val="sr-Cyrl-RS"/>
        </w:rPr>
        <w:t xml:space="preserve"> током</w:t>
      </w:r>
      <w:r w:rsidR="4647D21D" w:rsidRPr="00226F9D">
        <w:rPr>
          <w:rFonts w:ascii="Times New Roman" w:eastAsia="Calibri" w:hAnsi="Times New Roman" w:cs="Times New Roman"/>
          <w:lang w:val="sr-Cyrl-RS"/>
        </w:rPr>
        <w:t xml:space="preserve"> периода</w:t>
      </w:r>
      <w:r w:rsidR="40EEFC19" w:rsidRPr="00226F9D">
        <w:rPr>
          <w:rFonts w:ascii="Times New Roman" w:eastAsia="Calibri" w:hAnsi="Times New Roman" w:cs="Times New Roman"/>
          <w:lang w:val="sr-Cyrl-RS"/>
        </w:rPr>
        <w:t xml:space="preserve"> спровођења</w:t>
      </w:r>
      <w:r w:rsidR="4647D21D" w:rsidRPr="00226F9D">
        <w:rPr>
          <w:rFonts w:ascii="Times New Roman" w:eastAsia="Calibri" w:hAnsi="Times New Roman" w:cs="Times New Roman"/>
          <w:lang w:val="sr-Cyrl-RS"/>
        </w:rPr>
        <w:t xml:space="preserve"> П</w:t>
      </w:r>
      <w:r w:rsidR="018B5F22" w:rsidRPr="00226F9D">
        <w:rPr>
          <w:rFonts w:ascii="Times New Roman" w:eastAsia="Calibri" w:hAnsi="Times New Roman" w:cs="Times New Roman"/>
          <w:lang w:val="sr-Cyrl-RS"/>
        </w:rPr>
        <w:t>РСЛС</w:t>
      </w:r>
      <w:r w:rsidR="4647D21D" w:rsidRPr="00226F9D">
        <w:rPr>
          <w:rFonts w:ascii="Times New Roman" w:eastAsia="Calibri" w:hAnsi="Times New Roman" w:cs="Times New Roman"/>
          <w:lang w:val="sr-Cyrl-RS"/>
        </w:rPr>
        <w:t xml:space="preserve"> 2021-2025, није </w:t>
      </w:r>
      <w:r w:rsidR="2B52D3C8" w:rsidRPr="00226F9D">
        <w:rPr>
          <w:rFonts w:ascii="Times New Roman" w:eastAsia="Calibri" w:hAnsi="Times New Roman" w:cs="Times New Roman"/>
          <w:lang w:val="sr-Cyrl-RS"/>
        </w:rPr>
        <w:t xml:space="preserve">по плану успостављен </w:t>
      </w:r>
      <w:r w:rsidRPr="00226F9D">
        <w:rPr>
          <w:rFonts w:ascii="Times New Roman" w:eastAsia="Calibri" w:hAnsi="Times New Roman" w:cs="Times New Roman"/>
          <w:lang w:val="sr-Cyrl-RS"/>
        </w:rPr>
        <w:t xml:space="preserve">јавни </w:t>
      </w:r>
      <w:r w:rsidR="018B5F22" w:rsidRPr="00226F9D">
        <w:rPr>
          <w:rFonts w:ascii="Times New Roman" w:eastAsia="Calibri" w:hAnsi="Times New Roman" w:cs="Times New Roman"/>
          <w:lang w:val="sr-Cyrl-RS"/>
        </w:rPr>
        <w:t xml:space="preserve">(централни) </w:t>
      </w:r>
      <w:r w:rsidRPr="00226F9D">
        <w:rPr>
          <w:rFonts w:ascii="Times New Roman" w:eastAsia="Calibri" w:hAnsi="Times New Roman" w:cs="Times New Roman"/>
          <w:lang w:val="sr-Cyrl-RS"/>
        </w:rPr>
        <w:t>електронски приказ за п</w:t>
      </w:r>
      <w:r w:rsidR="6A84FA15" w:rsidRPr="00226F9D">
        <w:rPr>
          <w:rFonts w:ascii="Times New Roman" w:eastAsia="Calibri" w:hAnsi="Times New Roman" w:cs="Times New Roman"/>
          <w:lang w:val="sr-Cyrl-RS"/>
        </w:rPr>
        <w:t>реглед</w:t>
      </w:r>
      <w:r w:rsidRPr="00226F9D">
        <w:rPr>
          <w:rFonts w:ascii="Times New Roman" w:eastAsia="Calibri" w:hAnsi="Times New Roman" w:cs="Times New Roman"/>
          <w:lang w:val="sr-Cyrl-RS"/>
        </w:rPr>
        <w:t xml:space="preserve"> и праћење стања локалних буџета свих ЛС, нити је удео ЛС које јавно објављују месечне извештаје (или кумулативне месечне извештаје) о извршењу буџета путем своје интернет странице</w:t>
      </w:r>
      <w:r w:rsidR="2B52D3C8" w:rsidRPr="00226F9D">
        <w:rPr>
          <w:rFonts w:ascii="Times New Roman" w:eastAsia="Calibri" w:hAnsi="Times New Roman" w:cs="Times New Roman"/>
          <w:lang w:val="sr-Cyrl-RS"/>
        </w:rPr>
        <w:t xml:space="preserve"> достигао</w:t>
      </w:r>
      <w:r w:rsidRPr="00226F9D">
        <w:rPr>
          <w:rFonts w:ascii="Times New Roman" w:eastAsia="Calibri" w:hAnsi="Times New Roman" w:cs="Times New Roman"/>
          <w:lang w:val="sr-Cyrl-RS"/>
        </w:rPr>
        <w:t xml:space="preserve"> задовољавајући</w:t>
      </w:r>
      <w:r w:rsidR="2B52D3C8" w:rsidRPr="00226F9D">
        <w:rPr>
          <w:rFonts w:ascii="Times New Roman" w:eastAsia="Calibri" w:hAnsi="Times New Roman" w:cs="Times New Roman"/>
          <w:lang w:val="sr-Cyrl-RS"/>
        </w:rPr>
        <w:t xml:space="preserve"> ниво</w:t>
      </w:r>
      <w:r w:rsidRPr="00226F9D">
        <w:rPr>
          <w:rFonts w:ascii="Times New Roman" w:eastAsia="Calibri" w:hAnsi="Times New Roman" w:cs="Times New Roman"/>
          <w:lang w:val="sr-Cyrl-RS"/>
        </w:rPr>
        <w:t>.</w:t>
      </w:r>
    </w:p>
    <w:p w14:paraId="5107DE1D" w14:textId="77777777" w:rsidR="00755432" w:rsidRPr="00226F9D" w:rsidRDefault="00755432" w:rsidP="006B59F4">
      <w:pPr>
        <w:spacing w:after="0" w:line="240" w:lineRule="auto"/>
        <w:jc w:val="both"/>
        <w:rPr>
          <w:rFonts w:ascii="Times New Roman" w:eastAsia="Calibri" w:hAnsi="Times New Roman" w:cs="Times New Roman"/>
          <w:lang w:val="sr-Cyrl-RS"/>
        </w:rPr>
      </w:pPr>
    </w:p>
    <w:p w14:paraId="4E50EC82" w14:textId="5B7C04E3" w:rsidR="007522F5" w:rsidRPr="00226F9D" w:rsidRDefault="5919E7AB"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У погледу развоја система интерне финансијске контроле у јавном сектору (ИФКЈ) на локалном нивоу учињен је значајан помак у уделу ЈЛС које су укључене у систем извештавања о свом систему ФУК. Успостављен је правни оквир </w:t>
      </w:r>
      <w:r w:rsidR="353F7E82" w:rsidRPr="00226F9D">
        <w:rPr>
          <w:rFonts w:ascii="Times New Roman" w:eastAsia="Calibri" w:hAnsi="Times New Roman" w:cs="Times New Roman"/>
          <w:lang w:val="sr-Cyrl-RS"/>
        </w:rPr>
        <w:t xml:space="preserve">који </w:t>
      </w:r>
      <w:r w:rsidRPr="00226F9D">
        <w:rPr>
          <w:rFonts w:ascii="Times New Roman" w:eastAsia="Calibri" w:hAnsi="Times New Roman" w:cs="Times New Roman"/>
          <w:lang w:val="sr-Cyrl-RS"/>
        </w:rPr>
        <w:t>обезбеђује примену већине међународних стандарда интерне контроле са Смерницама за интерну контролу у јавном сектору Међународне организације врховних ревизорских институција - ИНТОСАИ и КОСО оквиром. Такође, према Консолидованом годишњем извештају за 202</w:t>
      </w:r>
      <w:r w:rsidR="50B9C428" w:rsidRPr="00226F9D">
        <w:rPr>
          <w:rFonts w:ascii="Times New Roman" w:eastAsia="Calibri" w:hAnsi="Times New Roman" w:cs="Times New Roman"/>
          <w:lang w:val="sr-Cyrl-RS"/>
        </w:rPr>
        <w:t>4</w:t>
      </w:r>
      <w:r w:rsidRPr="00226F9D">
        <w:rPr>
          <w:rFonts w:ascii="Times New Roman" w:eastAsia="Calibri" w:hAnsi="Times New Roman" w:cs="Times New Roman"/>
          <w:lang w:val="sr-Cyrl-RS"/>
        </w:rPr>
        <w:t xml:space="preserve">. годину о стању интерне </w:t>
      </w:r>
      <w:r w:rsidRPr="00226F9D">
        <w:rPr>
          <w:rFonts w:ascii="Times New Roman" w:eastAsia="Calibri" w:hAnsi="Times New Roman" w:cs="Times New Roman"/>
          <w:lang w:val="sr-Cyrl-RS"/>
        </w:rPr>
        <w:lastRenderedPageBreak/>
        <w:t>финансијске контроле у јавном сектору у Републици Србији</w:t>
      </w:r>
      <w:r w:rsidR="007522F5" w:rsidRPr="00226F9D">
        <w:rPr>
          <w:rStyle w:val="FootnoteReference"/>
          <w:rFonts w:ascii="Times New Roman" w:eastAsia="Calibri" w:hAnsi="Times New Roman" w:cs="Times New Roman"/>
          <w:lang w:val="sr-Cyrl-RS"/>
        </w:rPr>
        <w:footnoteReference w:id="47"/>
      </w:r>
      <w:r w:rsidRPr="00226F9D">
        <w:rPr>
          <w:rFonts w:ascii="Times New Roman" w:eastAsia="Calibri" w:hAnsi="Times New Roman" w:cs="Times New Roman"/>
          <w:lang w:val="sr-Cyrl-RS"/>
        </w:rPr>
        <w:t>, код 1</w:t>
      </w:r>
      <w:r w:rsidR="6199D9FB" w:rsidRPr="00226F9D">
        <w:rPr>
          <w:rFonts w:ascii="Times New Roman" w:eastAsia="Calibri" w:hAnsi="Times New Roman" w:cs="Times New Roman"/>
          <w:lang w:val="sr-Cyrl-RS"/>
        </w:rPr>
        <w:t>12</w:t>
      </w:r>
      <w:r w:rsidRPr="00226F9D">
        <w:rPr>
          <w:rFonts w:ascii="Times New Roman" w:eastAsia="Calibri" w:hAnsi="Times New Roman" w:cs="Times New Roman"/>
          <w:lang w:val="sr-Cyrl-RS"/>
        </w:rPr>
        <w:t xml:space="preserve"> директних корисника средстава ЈЛС нормативно је успостављена функција ИР, а 7</w:t>
      </w:r>
      <w:r w:rsidR="3FFC0387" w:rsidRPr="00226F9D">
        <w:rPr>
          <w:rFonts w:ascii="Times New Roman" w:eastAsia="Calibri" w:hAnsi="Times New Roman" w:cs="Times New Roman"/>
          <w:lang w:val="sr-Cyrl-RS"/>
        </w:rPr>
        <w:t>6</w:t>
      </w:r>
      <w:r w:rsidRPr="00226F9D">
        <w:rPr>
          <w:rFonts w:ascii="Times New Roman" w:eastAsia="Calibri" w:hAnsi="Times New Roman" w:cs="Times New Roman"/>
          <w:lang w:val="sr-Cyrl-RS"/>
        </w:rPr>
        <w:t xml:space="preserve"> директних корисника средстава ЈЛС има функционално успостављену ИР. Укупан број систематизованих радних места за послове интерне ревизије је </w:t>
      </w:r>
      <w:r w:rsidR="4F7FBF6B" w:rsidRPr="00226F9D">
        <w:rPr>
          <w:rFonts w:ascii="Times New Roman" w:eastAsia="Calibri" w:hAnsi="Times New Roman" w:cs="Times New Roman"/>
          <w:lang w:val="sr-Cyrl-RS"/>
        </w:rPr>
        <w:t>224</w:t>
      </w:r>
      <w:r w:rsidRPr="00226F9D">
        <w:rPr>
          <w:rFonts w:ascii="Times New Roman" w:eastAsia="Calibri" w:hAnsi="Times New Roman" w:cs="Times New Roman"/>
          <w:lang w:val="sr-Cyrl-RS"/>
        </w:rPr>
        <w:t>, а број попуњених радних места износи 12</w:t>
      </w:r>
      <w:r w:rsidR="0838AF43" w:rsidRPr="00226F9D">
        <w:rPr>
          <w:rFonts w:ascii="Times New Roman" w:eastAsia="Calibri" w:hAnsi="Times New Roman" w:cs="Times New Roman"/>
          <w:lang w:val="sr-Cyrl-RS"/>
        </w:rPr>
        <w:t>4</w:t>
      </w:r>
      <w:r w:rsidRPr="00226F9D">
        <w:rPr>
          <w:rFonts w:ascii="Times New Roman" w:eastAsia="Calibri" w:hAnsi="Times New Roman" w:cs="Times New Roman"/>
          <w:lang w:val="sr-Cyrl-RS"/>
        </w:rPr>
        <w:t>.</w:t>
      </w:r>
    </w:p>
    <w:p w14:paraId="118E23F3" w14:textId="77777777" w:rsidR="007522F5" w:rsidRPr="00226F9D" w:rsidRDefault="007522F5" w:rsidP="006B59F4">
      <w:pPr>
        <w:spacing w:after="0" w:line="240" w:lineRule="auto"/>
        <w:jc w:val="both"/>
        <w:rPr>
          <w:rFonts w:ascii="Times New Roman" w:eastAsia="Calibri" w:hAnsi="Times New Roman" w:cs="Times New Roman"/>
          <w:lang w:val="sr-Cyrl-RS"/>
        </w:rPr>
      </w:pPr>
    </w:p>
    <w:p w14:paraId="1505EA43" w14:textId="39DC29BD" w:rsidR="007522F5" w:rsidRPr="00226F9D" w:rsidRDefault="5919E7AB"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Такође, напредак је направљен и кроз активности директне подршке за 10 ЈЛС у домену ФУК и</w:t>
      </w:r>
      <w:r w:rsidR="353F7E82"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 xml:space="preserve">ИР у оквиру Програма </w:t>
      </w:r>
      <w:r w:rsidRPr="00226F9D">
        <w:rPr>
          <w:rFonts w:ascii="Times New Roman" w:eastAsia="Calibri" w:hAnsi="Times New Roman" w:cs="Times New Roman"/>
          <w:i/>
          <w:iCs/>
          <w:lang w:val="sr-Cyrl-RS"/>
        </w:rPr>
        <w:t>EU Exchange 6</w:t>
      </w:r>
      <w:r w:rsidRPr="00226F9D">
        <w:rPr>
          <w:rFonts w:ascii="Times New Roman" w:eastAsia="Calibri" w:hAnsi="Times New Roman" w:cs="Times New Roman"/>
          <w:lang w:val="sr-Cyrl-RS"/>
        </w:rPr>
        <w:t xml:space="preserve"> </w:t>
      </w:r>
      <w:r w:rsidR="353F7E82" w:rsidRPr="00226F9D">
        <w:rPr>
          <w:rFonts w:ascii="Times New Roman" w:eastAsia="Calibri" w:hAnsi="Times New Roman" w:cs="Times New Roman"/>
          <w:lang w:val="sr-Cyrl-RS"/>
        </w:rPr>
        <w:t xml:space="preserve">који је спроводила </w:t>
      </w:r>
      <w:r w:rsidRPr="00226F9D">
        <w:rPr>
          <w:rFonts w:ascii="Times New Roman" w:eastAsia="Calibri" w:hAnsi="Times New Roman" w:cs="Times New Roman"/>
          <w:lang w:val="sr-Cyrl-RS"/>
        </w:rPr>
        <w:t>СКГО</w:t>
      </w:r>
      <w:r w:rsidR="007522F5" w:rsidRPr="00226F9D">
        <w:rPr>
          <w:rStyle w:val="FootnoteReference"/>
          <w:rFonts w:ascii="Times New Roman" w:eastAsia="Calibri" w:hAnsi="Times New Roman" w:cs="Times New Roman"/>
          <w:lang w:val="sr-Cyrl-RS"/>
        </w:rPr>
        <w:footnoteReference w:id="48"/>
      </w:r>
      <w:r w:rsidRPr="00226F9D">
        <w:rPr>
          <w:rFonts w:ascii="Times New Roman" w:eastAsia="Calibri" w:hAnsi="Times New Roman" w:cs="Times New Roman"/>
          <w:lang w:val="sr-Cyrl-RS"/>
        </w:rPr>
        <w:t>. Стручна подршка се односила како на организационе и координационе аспекте, тако и на израду/ унапређење документационог оквира за систем ФУК</w:t>
      </w:r>
      <w:r w:rsidR="4FF30293" w:rsidRPr="00226F9D">
        <w:rPr>
          <w:rFonts w:ascii="Times New Roman" w:eastAsia="Calibri" w:hAnsi="Times New Roman" w:cs="Times New Roman"/>
          <w:lang w:val="sr-Cyrl-RS"/>
        </w:rPr>
        <w:t>,</w:t>
      </w:r>
      <w:r w:rsidRPr="00226F9D">
        <w:rPr>
          <w:rFonts w:ascii="Times New Roman" w:eastAsia="Calibri" w:hAnsi="Times New Roman" w:cs="Times New Roman"/>
          <w:lang w:val="sr-Cyrl-RS"/>
        </w:rPr>
        <w:t xml:space="preserve"> односно функцију ИР. Додатно, у оквиру подршке РЕЛОФ </w:t>
      </w:r>
      <w:r w:rsidR="32FB1F54" w:rsidRPr="00226F9D">
        <w:rPr>
          <w:rFonts w:ascii="Times New Roman" w:eastAsia="Calibri" w:hAnsi="Times New Roman" w:cs="Times New Roman"/>
          <w:lang w:val="sr-Cyrl-RS"/>
        </w:rPr>
        <w:t xml:space="preserve">3 </w:t>
      </w:r>
      <w:r w:rsidRPr="00226F9D">
        <w:rPr>
          <w:rFonts w:ascii="Times New Roman" w:eastAsia="Calibri" w:hAnsi="Times New Roman" w:cs="Times New Roman"/>
          <w:lang w:val="sr-Cyrl-RS"/>
        </w:rPr>
        <w:t xml:space="preserve">програма </w:t>
      </w:r>
      <w:r w:rsidR="05CF5D11" w:rsidRPr="00226F9D">
        <w:rPr>
          <w:rFonts w:ascii="Times New Roman" w:eastAsia="Calibri" w:hAnsi="Times New Roman" w:cs="Times New Roman"/>
          <w:lang w:val="sr-Cyrl-RS"/>
        </w:rPr>
        <w:t>који финансира Влада Швајцарске</w:t>
      </w:r>
      <w:r w:rsidRPr="00226F9D">
        <w:rPr>
          <w:rFonts w:ascii="Times New Roman" w:eastAsia="Calibri" w:hAnsi="Times New Roman" w:cs="Times New Roman"/>
          <w:lang w:val="sr-Cyrl-RS"/>
        </w:rPr>
        <w:t xml:space="preserve"> у сарадњи са </w:t>
      </w:r>
      <w:r w:rsidR="32FB1F54" w:rsidRPr="00226F9D">
        <w:rPr>
          <w:rFonts w:ascii="Times New Roman" w:eastAsia="Calibri" w:hAnsi="Times New Roman" w:cs="Times New Roman"/>
          <w:lang w:val="sr-Cyrl-RS"/>
        </w:rPr>
        <w:t>Централном јединицом за хармонизацију (ЦЈХ)</w:t>
      </w:r>
      <w:r w:rsidRPr="00226F9D">
        <w:rPr>
          <w:rFonts w:ascii="Times New Roman" w:eastAsia="Calibri" w:hAnsi="Times New Roman" w:cs="Times New Roman"/>
          <w:lang w:val="sr-Cyrl-RS"/>
        </w:rPr>
        <w:t xml:space="preserve"> и </w:t>
      </w:r>
      <w:r w:rsidR="32FB1F54" w:rsidRPr="00226F9D">
        <w:rPr>
          <w:rFonts w:ascii="Times New Roman" w:eastAsia="Calibri" w:hAnsi="Times New Roman" w:cs="Times New Roman"/>
          <w:lang w:val="sr-Cyrl-RS"/>
        </w:rPr>
        <w:t>Националном академијом за јавну управу (</w:t>
      </w:r>
      <w:r w:rsidRPr="00226F9D">
        <w:rPr>
          <w:rFonts w:ascii="Times New Roman" w:eastAsia="Calibri" w:hAnsi="Times New Roman" w:cs="Times New Roman"/>
          <w:lang w:val="sr-Cyrl-RS"/>
        </w:rPr>
        <w:t>НАЈУ</w:t>
      </w:r>
      <w:r w:rsidR="32FB1F54" w:rsidRPr="00226F9D">
        <w:rPr>
          <w:rFonts w:ascii="Times New Roman" w:eastAsia="Calibri" w:hAnsi="Times New Roman" w:cs="Times New Roman"/>
          <w:lang w:val="sr-Cyrl-RS"/>
        </w:rPr>
        <w:t>)</w:t>
      </w:r>
      <w:r w:rsidRPr="00226F9D">
        <w:rPr>
          <w:rFonts w:ascii="Times New Roman" w:eastAsia="Calibri" w:hAnsi="Times New Roman" w:cs="Times New Roman"/>
          <w:lang w:val="sr-Cyrl-RS"/>
        </w:rPr>
        <w:t xml:space="preserve">, завршена </w:t>
      </w:r>
      <w:r w:rsidRPr="00226F9D">
        <w:rPr>
          <w:rFonts w:ascii="Times New Roman" w:eastAsia="Calibri" w:hAnsi="Times New Roman" w:cs="Times New Roman"/>
        </w:rPr>
        <w:t>je</w:t>
      </w:r>
      <w:r w:rsidRPr="00226F9D">
        <w:rPr>
          <w:rFonts w:ascii="Times New Roman" w:eastAsia="Calibri" w:hAnsi="Times New Roman" w:cs="Times New Roman"/>
          <w:lang w:val="sr-Cyrl-RS"/>
        </w:rPr>
        <w:t xml:space="preserve"> израда онлајн видео тренинга за кориснике ИР</w:t>
      </w:r>
      <w:r w:rsidR="2F728734" w:rsidRPr="00226F9D">
        <w:rPr>
          <w:rFonts w:ascii="Times New Roman" w:eastAsia="Calibri" w:hAnsi="Times New Roman" w:cs="Times New Roman"/>
          <w:lang w:val="sr-Cyrl-RS"/>
        </w:rPr>
        <w:t xml:space="preserve">, као и онлајн тренинга за увођење система ФУК </w:t>
      </w:r>
      <w:r w:rsidRPr="00226F9D">
        <w:rPr>
          <w:rFonts w:ascii="Times New Roman" w:eastAsia="Calibri" w:hAnsi="Times New Roman" w:cs="Times New Roman"/>
          <w:lang w:val="sr-Cyrl-RS"/>
        </w:rPr>
        <w:t xml:space="preserve">(видео лекције, текстуални материјали, питања за тестирање), који </w:t>
      </w:r>
      <w:r w:rsidR="2D027430" w:rsidRPr="00226F9D">
        <w:rPr>
          <w:rFonts w:ascii="Times New Roman" w:eastAsia="Calibri" w:hAnsi="Times New Roman" w:cs="Times New Roman"/>
          <w:lang w:val="sr-Cyrl-RS"/>
        </w:rPr>
        <w:t xml:space="preserve">је </w:t>
      </w:r>
      <w:r w:rsidRPr="00226F9D">
        <w:rPr>
          <w:rFonts w:ascii="Times New Roman" w:eastAsia="Calibri" w:hAnsi="Times New Roman" w:cs="Times New Roman"/>
          <w:lang w:val="sr-Cyrl-RS"/>
        </w:rPr>
        <w:t>део НАЈУ курикулума и платформе за обуку запослених и руководилаца у државној управи и ЈЛС.</w:t>
      </w:r>
      <w:r w:rsidR="2D027430" w:rsidRPr="00226F9D">
        <w:rPr>
          <w:rFonts w:ascii="Times New Roman" w:hAnsi="Times New Roman" w:cs="Times New Roman"/>
          <w:lang w:val="sr-Cyrl-RS"/>
        </w:rPr>
        <w:t xml:space="preserve"> </w:t>
      </w:r>
      <w:r w:rsidR="2D027430" w:rsidRPr="00226F9D">
        <w:rPr>
          <w:rFonts w:ascii="Times New Roman" w:eastAsia="Calibri" w:hAnsi="Times New Roman" w:cs="Times New Roman"/>
          <w:lang w:val="sr-Cyrl-RS"/>
        </w:rPr>
        <w:t>Пројекат је подржао 50 ЈЛС, као и њихова јавна предузећа и ИБК,</w:t>
      </w:r>
      <w:r w:rsidR="00D42B75" w:rsidRPr="00226F9D">
        <w:rPr>
          <w:rFonts w:ascii="Times New Roman" w:eastAsia="Calibri" w:hAnsi="Times New Roman" w:cs="Times New Roman"/>
          <w:lang w:val="sr-Latn-RS"/>
        </w:rPr>
        <w:t xml:space="preserve"> </w:t>
      </w:r>
      <w:r w:rsidR="2D027430" w:rsidRPr="00226F9D">
        <w:rPr>
          <w:rFonts w:ascii="Times New Roman" w:eastAsia="Calibri" w:hAnsi="Times New Roman" w:cs="Times New Roman"/>
          <w:lang w:val="sr-Cyrl-RS"/>
        </w:rPr>
        <w:t>у домену даљег развоја/увођења интерне ревизије и система финансијског управљања и контроле. РЕЛОФ3 је у 10 система ЈЛС радио на унапређењу капацитета за примену налаза екстерне ревизије као алата за унапређење управљачке одговорности.</w:t>
      </w:r>
    </w:p>
    <w:p w14:paraId="1EF8BCAC" w14:textId="77777777" w:rsidR="007522F5" w:rsidRPr="00226F9D" w:rsidRDefault="007522F5" w:rsidP="006B59F4">
      <w:pPr>
        <w:spacing w:after="0" w:line="240" w:lineRule="auto"/>
        <w:jc w:val="both"/>
        <w:rPr>
          <w:rFonts w:ascii="Times New Roman" w:eastAsia="Calibri" w:hAnsi="Times New Roman" w:cs="Times New Roman"/>
          <w:lang w:val="sr-Cyrl-RS"/>
        </w:rPr>
      </w:pPr>
    </w:p>
    <w:p w14:paraId="60525E11" w14:textId="6354A3DF" w:rsidR="004C6B21" w:rsidRPr="00226F9D" w:rsidRDefault="5919E7AB" w:rsidP="00090884">
      <w:pPr>
        <w:spacing w:after="0" w:line="240" w:lineRule="auto"/>
        <w:jc w:val="both"/>
        <w:rPr>
          <w:rFonts w:ascii="Times New Roman" w:hAnsi="Times New Roman" w:cs="Times New Roman"/>
          <w:lang w:val="sr-Cyrl-RS"/>
        </w:rPr>
      </w:pPr>
      <w:r w:rsidRPr="00226F9D">
        <w:rPr>
          <w:rFonts w:ascii="Times New Roman" w:hAnsi="Times New Roman" w:cs="Times New Roman"/>
          <w:i/>
          <w:iCs/>
          <w:lang w:val="sr-Cyrl-RS"/>
        </w:rPr>
        <w:t>Програм</w:t>
      </w:r>
      <w:r w:rsidRPr="00226F9D">
        <w:rPr>
          <w:rFonts w:ascii="Times New Roman" w:hAnsi="Times New Roman" w:cs="Times New Roman"/>
          <w:lang w:val="sr-Cyrl-RS"/>
        </w:rPr>
        <w:t xml:space="preserve"> (2021-2025) је у С</w:t>
      </w:r>
      <w:r w:rsidR="2C3AAED9" w:rsidRPr="00226F9D">
        <w:rPr>
          <w:rFonts w:ascii="Times New Roman" w:hAnsi="Times New Roman" w:cs="Times New Roman"/>
          <w:lang w:val="sr-Cyrl-RS"/>
        </w:rPr>
        <w:t>ИГМА</w:t>
      </w:r>
      <w:r w:rsidRPr="00226F9D">
        <w:rPr>
          <w:rFonts w:ascii="Times New Roman" w:hAnsi="Times New Roman" w:cs="Times New Roman"/>
          <w:lang w:val="sr-Cyrl-RS"/>
        </w:rPr>
        <w:t xml:space="preserve"> Извештају за Србију за 2024. годину</w:t>
      </w:r>
      <w:r w:rsidR="007522F5" w:rsidRPr="00226F9D">
        <w:rPr>
          <w:rStyle w:val="FootnoteReference"/>
          <w:rFonts w:ascii="Times New Roman" w:hAnsi="Times New Roman" w:cs="Times New Roman"/>
          <w:lang w:val="sr-Cyrl-RS"/>
        </w:rPr>
        <w:footnoteReference w:id="49"/>
      </w:r>
      <w:r w:rsidRPr="00226F9D">
        <w:rPr>
          <w:rFonts w:ascii="Times New Roman" w:hAnsi="Times New Roman" w:cs="Times New Roman"/>
          <w:lang w:val="sr-Cyrl-RS"/>
        </w:rPr>
        <w:t xml:space="preserve"> оцењен као добро усмерен и на фискалну децентрализацију коју поставља као један од својих централних приоритета. Ипак, очита су кашњења у имплементацији и то је разлог зашто је неопходно да се део текућих мера настав</w:t>
      </w:r>
      <w:r w:rsidR="3FC7322C" w:rsidRPr="00226F9D">
        <w:rPr>
          <w:rFonts w:ascii="Times New Roman" w:hAnsi="Times New Roman" w:cs="Times New Roman"/>
          <w:lang w:val="sr-Cyrl-RS"/>
        </w:rPr>
        <w:t>и</w:t>
      </w:r>
      <w:r w:rsidRPr="00226F9D">
        <w:rPr>
          <w:rFonts w:ascii="Times New Roman" w:hAnsi="Times New Roman" w:cs="Times New Roman"/>
          <w:lang w:val="sr-Cyrl-RS"/>
        </w:rPr>
        <w:t xml:space="preserve"> и у новом Програму, али и да се фокус стави на оне аспекте </w:t>
      </w:r>
      <w:r w:rsidR="2C3AAED9" w:rsidRPr="00226F9D">
        <w:rPr>
          <w:rFonts w:ascii="Times New Roman" w:hAnsi="Times New Roman" w:cs="Times New Roman"/>
          <w:lang w:val="sr-Cyrl-RS"/>
        </w:rPr>
        <w:t xml:space="preserve">даљег јачања </w:t>
      </w:r>
      <w:r w:rsidR="51C172BF" w:rsidRPr="00226F9D">
        <w:rPr>
          <w:rFonts w:ascii="Times New Roman" w:hAnsi="Times New Roman" w:cs="Times New Roman"/>
          <w:lang w:val="sr-Cyrl-RS"/>
        </w:rPr>
        <w:t>значаја али и одговорности локалне самоуправе</w:t>
      </w:r>
      <w:r w:rsidRPr="00226F9D">
        <w:rPr>
          <w:rFonts w:ascii="Times New Roman" w:hAnsi="Times New Roman" w:cs="Times New Roman"/>
          <w:lang w:val="sr-Cyrl-RS"/>
        </w:rPr>
        <w:t xml:space="preserve">.  Учешће локалних самоуправа у приходима и расходима опште државе је </w:t>
      </w:r>
      <w:r w:rsidR="1B90F964" w:rsidRPr="00226F9D">
        <w:rPr>
          <w:rFonts w:ascii="Times New Roman" w:hAnsi="Times New Roman" w:cs="Times New Roman"/>
          <w:lang w:val="sr-Cyrl-RS"/>
        </w:rPr>
        <w:t xml:space="preserve">мало </w:t>
      </w:r>
      <w:r w:rsidRPr="00226F9D">
        <w:rPr>
          <w:rFonts w:ascii="Times New Roman" w:hAnsi="Times New Roman" w:cs="Times New Roman"/>
          <w:lang w:val="sr-Cyrl-RS"/>
        </w:rPr>
        <w:t xml:space="preserve">у поређењу са већином земаља Европске уније, </w:t>
      </w:r>
      <w:r w:rsidR="1B90F964" w:rsidRPr="00226F9D">
        <w:rPr>
          <w:rFonts w:ascii="Times New Roman" w:hAnsi="Times New Roman" w:cs="Times New Roman"/>
          <w:lang w:val="sr-Cyrl-RS"/>
        </w:rPr>
        <w:t xml:space="preserve"> и у оквиру просека региона Западног Балкан</w:t>
      </w:r>
      <w:r w:rsidR="1B90F964" w:rsidRPr="00226F9D">
        <w:rPr>
          <w:rFonts w:ascii="Times New Roman" w:hAnsi="Times New Roman" w:cs="Times New Roman"/>
        </w:rPr>
        <w:t>a</w:t>
      </w:r>
      <w:r w:rsidR="1B90F964"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тако да је један од жељених показатеља промена у претходном програму управо </w:t>
      </w:r>
      <w:r w:rsidR="01B1D875" w:rsidRPr="00226F9D">
        <w:rPr>
          <w:rFonts w:ascii="Times New Roman" w:hAnsi="Times New Roman" w:cs="Times New Roman"/>
          <w:lang w:val="sr-Cyrl-RS"/>
        </w:rPr>
        <w:t xml:space="preserve">било </w:t>
      </w:r>
      <w:r w:rsidR="51C172BF" w:rsidRPr="00226F9D">
        <w:rPr>
          <w:rFonts w:ascii="Times New Roman" w:hAnsi="Times New Roman" w:cs="Times New Roman"/>
          <w:lang w:val="sr-Cyrl-RS"/>
        </w:rPr>
        <w:t>повећање значаја</w:t>
      </w:r>
      <w:r w:rsidRPr="00226F9D">
        <w:rPr>
          <w:rFonts w:ascii="Times New Roman" w:hAnsi="Times New Roman" w:cs="Times New Roman"/>
          <w:lang w:val="sr-Cyrl-RS"/>
        </w:rPr>
        <w:t xml:space="preserve"> ЈЛС</w:t>
      </w:r>
      <w:r w:rsidR="263970FA" w:rsidRPr="00226F9D">
        <w:rPr>
          <w:rFonts w:ascii="Times New Roman" w:hAnsi="Times New Roman" w:cs="Times New Roman"/>
          <w:lang w:val="sr-Cyrl-RS"/>
        </w:rPr>
        <w:t xml:space="preserve"> у овом смислу</w:t>
      </w:r>
      <w:r w:rsidRPr="00226F9D">
        <w:rPr>
          <w:rFonts w:ascii="Times New Roman" w:hAnsi="Times New Roman" w:cs="Times New Roman"/>
          <w:lang w:val="sr-Cyrl-RS"/>
        </w:rPr>
        <w:t>. Ипак таква промена би захтевала да ЈЛС добију нове функције у складу са основним принципом децентрализације да финансије прате функције</w:t>
      </w:r>
      <w:r w:rsidR="39416BB0" w:rsidRPr="00226F9D">
        <w:rPr>
          <w:rFonts w:ascii="Times New Roman" w:hAnsi="Times New Roman" w:cs="Times New Roman"/>
          <w:lang w:val="sr-Cyrl-RS"/>
        </w:rPr>
        <w:t xml:space="preserve">. </w:t>
      </w:r>
    </w:p>
    <w:p w14:paraId="6341C323" w14:textId="77777777" w:rsidR="004C6B21" w:rsidRPr="00226F9D" w:rsidRDefault="004C6B21" w:rsidP="00090884">
      <w:pPr>
        <w:spacing w:after="0" w:line="240" w:lineRule="auto"/>
        <w:jc w:val="both"/>
        <w:rPr>
          <w:rFonts w:ascii="Times New Roman" w:hAnsi="Times New Roman" w:cs="Times New Roman"/>
          <w:lang w:val="sr-Cyrl-RS"/>
        </w:rPr>
      </w:pPr>
    </w:p>
    <w:p w14:paraId="476ACC07" w14:textId="5E7E7B1D" w:rsidR="007522F5" w:rsidRPr="00226F9D" w:rsidRDefault="1BAA0F69"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Важно је напоменути да постојећ</w:t>
      </w:r>
      <w:r w:rsidR="5CDA30FA" w:rsidRPr="00226F9D">
        <w:rPr>
          <w:rFonts w:ascii="Times New Roman" w:hAnsi="Times New Roman" w:cs="Times New Roman"/>
          <w:lang w:val="sr-Cyrl-RS"/>
        </w:rPr>
        <w:t xml:space="preserve">и </w:t>
      </w:r>
      <w:r w:rsidRPr="00226F9D">
        <w:rPr>
          <w:rFonts w:ascii="Times New Roman" w:hAnsi="Times New Roman" w:cs="Times New Roman"/>
          <w:lang w:val="sr-Cyrl-RS"/>
        </w:rPr>
        <w:t xml:space="preserve">систем финансирања има и многе позитивне аспекте, </w:t>
      </w:r>
      <w:r w:rsidR="5998801B" w:rsidRPr="00226F9D">
        <w:rPr>
          <w:rFonts w:ascii="Times New Roman" w:hAnsi="Times New Roman" w:cs="Times New Roman"/>
          <w:lang w:val="sr-Cyrl-RS"/>
        </w:rPr>
        <w:t>ш</w:t>
      </w:r>
      <w:r w:rsidRPr="00226F9D">
        <w:rPr>
          <w:rFonts w:ascii="Times New Roman" w:hAnsi="Times New Roman" w:cs="Times New Roman"/>
          <w:lang w:val="sr-Cyrl-RS"/>
        </w:rPr>
        <w:t>то се пре свега односи на учешће пореза на имов</w:t>
      </w:r>
      <w:r w:rsidR="5CDA30FA" w:rsidRPr="00226F9D">
        <w:rPr>
          <w:rFonts w:ascii="Times New Roman" w:hAnsi="Times New Roman" w:cs="Times New Roman"/>
          <w:lang w:val="sr-Cyrl-RS"/>
        </w:rPr>
        <w:t>и</w:t>
      </w:r>
      <w:r w:rsidRPr="00226F9D">
        <w:rPr>
          <w:rFonts w:ascii="Times New Roman" w:hAnsi="Times New Roman" w:cs="Times New Roman"/>
          <w:lang w:val="sr-Cyrl-RS"/>
        </w:rPr>
        <w:t>ну (као и генерално изворних прихода ЈЛС) у БДП-у које је највеће у региону Западног Балкана после Црне Горе. Гледајући вредности СИГМА показатеља за Србију кроз призму принципа 32 који</w:t>
      </w:r>
      <w:r w:rsidRPr="00226F9D">
        <w:rPr>
          <w:rFonts w:ascii="Times New Roman" w:eastAsia="Times New Roman" w:hAnsi="Times New Roman" w:cs="Times New Roman"/>
          <w:kern w:val="0"/>
          <w:lang w:val="sr-Latn-RS"/>
          <w14:ligatures w14:val="none"/>
        </w:rPr>
        <w:t xml:space="preserve"> процењује фискалну аутономију, разноликост прихода и финансијску одрживост</w:t>
      </w:r>
      <w:r w:rsidRPr="00226F9D">
        <w:rPr>
          <w:rFonts w:ascii="Times New Roman" w:eastAsia="Times New Roman" w:hAnsi="Times New Roman" w:cs="Times New Roman"/>
          <w:kern w:val="0"/>
          <w:lang w:val="sr-Cyrl-RS"/>
          <w14:ligatures w14:val="none"/>
        </w:rPr>
        <w:t>, резултат је неповољнији и Србија је</w:t>
      </w:r>
      <w:r w:rsidRPr="00226F9D">
        <w:rPr>
          <w:rFonts w:ascii="Times New Roman" w:hAnsi="Times New Roman" w:cs="Times New Roman"/>
          <w:lang w:val="sr-Cyrl-RS"/>
        </w:rPr>
        <w:t xml:space="preserve"> испод регионалног просека</w:t>
      </w:r>
      <w:r w:rsidR="004C6B21" w:rsidRPr="00226F9D">
        <w:rPr>
          <w:rStyle w:val="FootnoteReference"/>
          <w:rFonts w:ascii="Times New Roman" w:hAnsi="Times New Roman" w:cs="Times New Roman"/>
          <w:lang w:val="sr-Cyrl-RS"/>
        </w:rPr>
        <w:footnoteReference w:id="50"/>
      </w:r>
      <w:r w:rsidRPr="00226F9D">
        <w:rPr>
          <w:rFonts w:ascii="Times New Roman" w:hAnsi="Times New Roman" w:cs="Times New Roman"/>
          <w:lang w:val="sr-Cyrl-RS"/>
        </w:rPr>
        <w:t xml:space="preserve">. </w:t>
      </w:r>
      <w:r w:rsidR="5919E7AB" w:rsidRPr="00226F9D">
        <w:rPr>
          <w:rFonts w:ascii="Times New Roman" w:hAnsi="Times New Roman" w:cs="Times New Roman"/>
          <w:lang w:val="sr-Cyrl-RS"/>
        </w:rPr>
        <w:t xml:space="preserve">Стога приоритет </w:t>
      </w:r>
      <w:r w:rsidR="5DB8EED6" w:rsidRPr="00226F9D">
        <w:rPr>
          <w:rFonts w:ascii="Times New Roman" w:hAnsi="Times New Roman" w:cs="Times New Roman"/>
          <w:lang w:val="sr-Cyrl-RS"/>
        </w:rPr>
        <w:t xml:space="preserve">и </w:t>
      </w:r>
      <w:r w:rsidR="5919E7AB" w:rsidRPr="00226F9D">
        <w:rPr>
          <w:rFonts w:ascii="Times New Roman" w:hAnsi="Times New Roman" w:cs="Times New Roman"/>
          <w:lang w:val="sr-Cyrl-RS"/>
        </w:rPr>
        <w:t xml:space="preserve">у </w:t>
      </w:r>
      <w:r w:rsidR="1A089744" w:rsidRPr="00226F9D">
        <w:rPr>
          <w:rFonts w:ascii="Times New Roman" w:hAnsi="Times New Roman" w:cs="Times New Roman"/>
          <w:lang w:val="sr-Cyrl-RS"/>
        </w:rPr>
        <w:t>П</w:t>
      </w:r>
      <w:r w:rsidR="5919E7AB" w:rsidRPr="00226F9D">
        <w:rPr>
          <w:rFonts w:ascii="Times New Roman" w:hAnsi="Times New Roman" w:cs="Times New Roman"/>
          <w:lang w:val="sr-Cyrl-RS"/>
        </w:rPr>
        <w:t xml:space="preserve">рограму до 2030. </w:t>
      </w:r>
      <w:r w:rsidRPr="00226F9D">
        <w:rPr>
          <w:rFonts w:ascii="Times New Roman" w:hAnsi="Times New Roman" w:cs="Times New Roman"/>
          <w:lang w:val="sr-Cyrl-RS"/>
        </w:rPr>
        <w:t xml:space="preserve">треба да </w:t>
      </w:r>
      <w:r w:rsidR="5DB8EED6" w:rsidRPr="00226F9D">
        <w:rPr>
          <w:rFonts w:ascii="Times New Roman" w:hAnsi="Times New Roman" w:cs="Times New Roman"/>
          <w:lang w:val="sr-Cyrl-RS"/>
        </w:rPr>
        <w:t>буде</w:t>
      </w:r>
      <w:r w:rsidRPr="00226F9D">
        <w:rPr>
          <w:rFonts w:ascii="Times New Roman" w:hAnsi="Times New Roman" w:cs="Times New Roman"/>
          <w:lang w:val="sr-Cyrl-RS"/>
        </w:rPr>
        <w:t xml:space="preserve"> јачање фискалне аутономије</w:t>
      </w:r>
      <w:r w:rsidR="0BDB13F1" w:rsidRPr="00226F9D">
        <w:rPr>
          <w:rFonts w:ascii="Times New Roman" w:hAnsi="Times New Roman" w:cs="Times New Roman"/>
          <w:lang w:val="sr-Cyrl-RS"/>
        </w:rPr>
        <w:t xml:space="preserve"> ЈЛС</w:t>
      </w:r>
      <w:r w:rsidRPr="00226F9D">
        <w:rPr>
          <w:rFonts w:ascii="Times New Roman" w:hAnsi="Times New Roman" w:cs="Times New Roman"/>
          <w:lang w:val="sr-Cyrl-RS"/>
        </w:rPr>
        <w:t>,</w:t>
      </w:r>
      <w:r w:rsidR="5DB8EED6" w:rsidRPr="00226F9D">
        <w:rPr>
          <w:rFonts w:ascii="Times New Roman" w:hAnsi="Times New Roman" w:cs="Times New Roman"/>
          <w:lang w:val="sr-Cyrl-RS"/>
        </w:rPr>
        <w:t xml:space="preserve"> али</w:t>
      </w:r>
      <w:r w:rsidRPr="00226F9D">
        <w:rPr>
          <w:rFonts w:ascii="Times New Roman" w:hAnsi="Times New Roman" w:cs="Times New Roman"/>
          <w:lang w:val="sr-Cyrl-RS"/>
        </w:rPr>
        <w:t xml:space="preserve"> превасходно кроз успостављање вертикалне фискалне равнотеже између републичког и локалног нивоа власти</w:t>
      </w:r>
      <w:r w:rsidR="007B63B9">
        <w:rPr>
          <w:rFonts w:ascii="Times New Roman" w:hAnsi="Times New Roman" w:cs="Times New Roman"/>
        </w:rPr>
        <w:t>.</w:t>
      </w:r>
      <w:r w:rsidR="2B6C19CD" w:rsidRPr="00226F9D">
        <w:rPr>
          <w:rFonts w:ascii="Times New Roman" w:hAnsi="Times New Roman" w:cs="Times New Roman"/>
          <w:lang w:val="sr-Cyrl-RS"/>
        </w:rPr>
        <w:t xml:space="preserve"> Такође, то би подразумевало </w:t>
      </w:r>
      <w:r w:rsidRPr="00226F9D">
        <w:rPr>
          <w:rFonts w:ascii="Times New Roman" w:hAnsi="Times New Roman" w:cs="Times New Roman"/>
          <w:lang w:val="sr-Cyrl-RS"/>
        </w:rPr>
        <w:t xml:space="preserve"> и увећање удела сопствених прихода из буџета</w:t>
      </w:r>
      <w:r w:rsidR="3A298710" w:rsidRPr="00226F9D">
        <w:rPr>
          <w:rFonts w:ascii="Times New Roman" w:hAnsi="Times New Roman" w:cs="Times New Roman"/>
          <w:lang w:val="sr-Cyrl-RS"/>
        </w:rPr>
        <w:t xml:space="preserve"> на ниво пре</w:t>
      </w:r>
      <w:r w:rsidR="5CDA30FA" w:rsidRPr="00226F9D">
        <w:rPr>
          <w:rFonts w:ascii="Times New Roman" w:hAnsi="Times New Roman" w:cs="Times New Roman"/>
          <w:lang w:val="sr-Cyrl-RS"/>
        </w:rPr>
        <w:t xml:space="preserve"> </w:t>
      </w:r>
      <w:r w:rsidR="3A298710" w:rsidRPr="00226F9D">
        <w:rPr>
          <w:rFonts w:ascii="Times New Roman" w:hAnsi="Times New Roman" w:cs="Times New Roman"/>
          <w:lang w:val="sr-Cyrl-RS"/>
        </w:rPr>
        <w:t>пандемије</w:t>
      </w:r>
      <w:r w:rsidR="561A0283" w:rsidRPr="00226F9D">
        <w:rPr>
          <w:rFonts w:ascii="Times New Roman" w:hAnsi="Times New Roman" w:cs="Times New Roman"/>
          <w:lang w:val="sr-Cyrl-RS"/>
        </w:rPr>
        <w:t xml:space="preserve">. </w:t>
      </w:r>
    </w:p>
    <w:p w14:paraId="3F0E6C6B" w14:textId="39B23412" w:rsidR="00C212FC" w:rsidRPr="00226F9D" w:rsidRDefault="00C212FC" w:rsidP="00090884">
      <w:pPr>
        <w:spacing w:after="0" w:line="240" w:lineRule="auto"/>
        <w:jc w:val="both"/>
        <w:rPr>
          <w:rFonts w:ascii="Times New Roman" w:hAnsi="Times New Roman" w:cs="Times New Roman"/>
          <w:lang w:val="sr-Cyrl-RS"/>
        </w:rPr>
      </w:pPr>
    </w:p>
    <w:p w14:paraId="40CAAD72" w14:textId="60BC3AB3" w:rsidR="00E824BD" w:rsidRPr="00226F9D" w:rsidRDefault="007522F5"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Када је реч о систему уједначавања које служи за успостављање хоризонтално</w:t>
      </w:r>
      <w:r w:rsidR="00AB5731" w:rsidRPr="00226F9D">
        <w:rPr>
          <w:rFonts w:ascii="Times New Roman" w:hAnsi="Times New Roman" w:cs="Times New Roman"/>
          <w:lang w:val="sr-Cyrl-RS"/>
        </w:rPr>
        <w:t>г</w:t>
      </w:r>
      <w:r w:rsidRPr="00226F9D">
        <w:rPr>
          <w:rFonts w:ascii="Times New Roman" w:hAnsi="Times New Roman" w:cs="Times New Roman"/>
          <w:lang w:val="sr-Cyrl-RS"/>
        </w:rPr>
        <w:t xml:space="preserve"> баланса између самих ЈЛС, СИГМА закључује да он </w:t>
      </w:r>
      <w:r w:rsidR="00212833" w:rsidRPr="00226F9D">
        <w:rPr>
          <w:rFonts w:ascii="Times New Roman" w:hAnsi="Times New Roman" w:cs="Times New Roman"/>
          <w:lang w:val="sr-Cyrl-RS"/>
        </w:rPr>
        <w:t xml:space="preserve">у </w:t>
      </w:r>
      <w:r w:rsidR="00DB44A1" w:rsidRPr="00226F9D">
        <w:rPr>
          <w:rFonts w:ascii="Times New Roman" w:hAnsi="Times New Roman" w:cs="Times New Roman"/>
          <w:lang w:val="sr-Cyrl-RS"/>
        </w:rPr>
        <w:t xml:space="preserve">Републици </w:t>
      </w:r>
      <w:r w:rsidR="00212833" w:rsidRPr="00226F9D">
        <w:rPr>
          <w:rFonts w:ascii="Times New Roman" w:hAnsi="Times New Roman" w:cs="Times New Roman"/>
          <w:lang w:val="sr-Cyrl-RS"/>
        </w:rPr>
        <w:t xml:space="preserve">Србији </w:t>
      </w:r>
      <w:r w:rsidRPr="00226F9D">
        <w:rPr>
          <w:rFonts w:ascii="Times New Roman" w:hAnsi="Times New Roman" w:cs="Times New Roman"/>
          <w:lang w:val="sr-Cyrl-RS"/>
        </w:rPr>
        <w:t>не</w:t>
      </w:r>
      <w:r w:rsidR="00AD462D" w:rsidRPr="00226F9D">
        <w:rPr>
          <w:rFonts w:ascii="Times New Roman" w:hAnsi="Times New Roman" w:cs="Times New Roman"/>
          <w:lang w:val="sr-Cyrl-RS"/>
        </w:rPr>
        <w:t xml:space="preserve">ма жељени </w:t>
      </w:r>
      <w:r w:rsidRPr="00226F9D">
        <w:rPr>
          <w:rFonts w:ascii="Times New Roman" w:hAnsi="Times New Roman" w:cs="Times New Roman"/>
          <w:lang w:val="sr-Cyrl-RS"/>
        </w:rPr>
        <w:t>ефек</w:t>
      </w:r>
      <w:r w:rsidR="00AD462D" w:rsidRPr="00226F9D">
        <w:rPr>
          <w:rFonts w:ascii="Times New Roman" w:hAnsi="Times New Roman" w:cs="Times New Roman"/>
          <w:lang w:val="sr-Cyrl-RS"/>
        </w:rPr>
        <w:t>ат</w:t>
      </w:r>
      <w:r w:rsidRPr="00226F9D">
        <w:rPr>
          <w:rFonts w:ascii="Times New Roman" w:hAnsi="Times New Roman" w:cs="Times New Roman"/>
          <w:lang w:val="sr-Cyrl-RS"/>
        </w:rPr>
        <w:t xml:space="preserve"> смањења диспаритет</w:t>
      </w:r>
      <w:r w:rsidR="00AD462D" w:rsidRPr="00226F9D">
        <w:rPr>
          <w:rFonts w:ascii="Times New Roman" w:hAnsi="Times New Roman" w:cs="Times New Roman"/>
          <w:lang w:val="sr-Cyrl-RS"/>
        </w:rPr>
        <w:t>а</w:t>
      </w:r>
      <w:r w:rsidRPr="00226F9D">
        <w:rPr>
          <w:rFonts w:ascii="Times New Roman" w:hAnsi="Times New Roman" w:cs="Times New Roman"/>
          <w:lang w:val="sr-Cyrl-RS"/>
        </w:rPr>
        <w:t xml:space="preserve"> између ЈЛС, те да  је финансијски капацитет општина у групи оних са 90% највећег прихода и даље дупло већи од финансијског капацитета општина у 10% најнижих прихода. </w:t>
      </w:r>
      <w:r w:rsidRPr="00226F9D">
        <w:rPr>
          <w:rStyle w:val="cf01"/>
          <w:rFonts w:ascii="Times New Roman" w:hAnsi="Times New Roman" w:cs="Times New Roman"/>
          <w:sz w:val="24"/>
          <w:szCs w:val="24"/>
          <w:lang w:val="sr-Cyrl-RS"/>
        </w:rPr>
        <w:t xml:space="preserve">Иако су ове вредности сличне просеку за Западни Балкан, оне су доста ниже у односу </w:t>
      </w:r>
      <w:r w:rsidRPr="00226F9D">
        <w:rPr>
          <w:rStyle w:val="cf01"/>
          <w:rFonts w:ascii="Times New Roman" w:hAnsi="Times New Roman" w:cs="Times New Roman"/>
          <w:sz w:val="24"/>
          <w:szCs w:val="24"/>
          <w:lang w:val="sr-Cyrl-RS"/>
        </w:rPr>
        <w:lastRenderedPageBreak/>
        <w:t xml:space="preserve">на земље Европске уније, поготово узимајући </w:t>
      </w:r>
      <w:r w:rsidR="00D21670" w:rsidRPr="00226F9D">
        <w:rPr>
          <w:rStyle w:val="cf01"/>
          <w:rFonts w:ascii="Times New Roman" w:hAnsi="Times New Roman" w:cs="Times New Roman"/>
          <w:sz w:val="24"/>
          <w:szCs w:val="24"/>
          <w:lang w:val="sr-Cyrl-RS"/>
        </w:rPr>
        <w:t xml:space="preserve">у обзир </w:t>
      </w:r>
      <w:r w:rsidRPr="00226F9D">
        <w:rPr>
          <w:rStyle w:val="cf01"/>
          <w:rFonts w:ascii="Times New Roman" w:hAnsi="Times New Roman" w:cs="Times New Roman"/>
          <w:sz w:val="24"/>
          <w:szCs w:val="24"/>
          <w:lang w:val="sr-Cyrl-RS"/>
        </w:rPr>
        <w:t>просечну величину ЈЛС и разлике у величини између ЈЛС у Србији које би требало да имају за резултат  да овај диспаритет буде мањи. СИГМА указује да је уједн</w:t>
      </w:r>
      <w:r w:rsidR="002E2CFE" w:rsidRPr="00226F9D">
        <w:rPr>
          <w:rStyle w:val="cf01"/>
          <w:rFonts w:ascii="Times New Roman" w:hAnsi="Times New Roman" w:cs="Times New Roman"/>
          <w:sz w:val="24"/>
          <w:szCs w:val="24"/>
          <w:lang w:val="sr-Cyrl-RS"/>
        </w:rPr>
        <w:t>а</w:t>
      </w:r>
      <w:r w:rsidRPr="00226F9D">
        <w:rPr>
          <w:rStyle w:val="cf01"/>
          <w:rFonts w:ascii="Times New Roman" w:hAnsi="Times New Roman" w:cs="Times New Roman"/>
          <w:sz w:val="24"/>
          <w:szCs w:val="24"/>
          <w:lang w:val="sr-Cyrl-RS"/>
        </w:rPr>
        <w:t xml:space="preserve">чавање слабо поготово када су у питању сиромашније општине, као и то да је релација између </w:t>
      </w:r>
      <w:r w:rsidR="00F65CBF" w:rsidRPr="00226F9D">
        <w:rPr>
          <w:rStyle w:val="cf01"/>
          <w:rFonts w:ascii="Times New Roman" w:hAnsi="Times New Roman" w:cs="Times New Roman"/>
          <w:sz w:val="24"/>
          <w:szCs w:val="24"/>
          <w:lang w:val="sr-Cyrl-RS"/>
        </w:rPr>
        <w:t>финансијског капацитета</w:t>
      </w:r>
      <w:r w:rsidRPr="00226F9D">
        <w:rPr>
          <w:rStyle w:val="cf01"/>
          <w:rFonts w:ascii="Times New Roman" w:hAnsi="Times New Roman" w:cs="Times New Roman"/>
          <w:sz w:val="24"/>
          <w:szCs w:val="24"/>
          <w:lang w:val="sr-Cyrl-RS"/>
        </w:rPr>
        <w:t xml:space="preserve"> ЈЛС и висине трансфера нејасна, те </w:t>
      </w:r>
      <w:r w:rsidRPr="00226F9D">
        <w:rPr>
          <w:rFonts w:ascii="Times New Roman" w:hAnsi="Times New Roman" w:cs="Times New Roman"/>
          <w:lang w:val="sr-Cyrl-RS"/>
        </w:rPr>
        <w:t xml:space="preserve">стога препоручује </w:t>
      </w:r>
      <w:r w:rsidR="00080317" w:rsidRPr="00226F9D">
        <w:rPr>
          <w:rFonts w:ascii="Times New Roman" w:hAnsi="Times New Roman" w:cs="Times New Roman"/>
          <w:lang w:val="sr-Cyrl-RS"/>
        </w:rPr>
        <w:t>да се размотре</w:t>
      </w:r>
      <w:r w:rsidRPr="00226F9D">
        <w:rPr>
          <w:rFonts w:ascii="Times New Roman" w:hAnsi="Times New Roman" w:cs="Times New Roman"/>
          <w:lang w:val="sr-Cyrl-RS"/>
        </w:rPr>
        <w:t xml:space="preserve"> опције за побољшање ефективности система</w:t>
      </w:r>
      <w:r w:rsidR="00622C32" w:rsidRPr="00226F9D">
        <w:rPr>
          <w:rFonts w:ascii="Times New Roman" w:hAnsi="Times New Roman" w:cs="Times New Roman"/>
          <w:lang w:val="sr-Cyrl-RS"/>
        </w:rPr>
        <w:t xml:space="preserve"> уједначавања</w:t>
      </w:r>
      <w:r w:rsidR="00080317" w:rsidRPr="00226F9D">
        <w:rPr>
          <w:rFonts w:ascii="Times New Roman" w:hAnsi="Times New Roman" w:cs="Times New Roman"/>
          <w:lang w:val="sr-Cyrl-RS"/>
        </w:rPr>
        <w:t xml:space="preserve">. </w:t>
      </w:r>
      <w:r w:rsidR="00013EDE" w:rsidRPr="00226F9D">
        <w:rPr>
          <w:rFonts w:ascii="Times New Roman" w:hAnsi="Times New Roman" w:cs="Times New Roman"/>
          <w:lang w:val="sr-Cyrl-RS"/>
        </w:rPr>
        <w:t>И саме локалне власти, последњих неколико година указују на неопходност промена у</w:t>
      </w:r>
      <w:r w:rsidR="006E3D56" w:rsidRPr="00226F9D">
        <w:rPr>
          <w:rFonts w:ascii="Times New Roman" w:hAnsi="Times New Roman" w:cs="Times New Roman"/>
          <w:lang w:val="sr-Cyrl-RS"/>
        </w:rPr>
        <w:t xml:space="preserve"> делу њихових прихода од ненаменских трансфера</w:t>
      </w:r>
      <w:r w:rsidR="00C13657" w:rsidRPr="00226F9D">
        <w:rPr>
          <w:rFonts w:ascii="Times New Roman" w:hAnsi="Times New Roman" w:cs="Times New Roman"/>
          <w:lang w:val="sr-Cyrl-RS"/>
        </w:rPr>
        <w:t>, односно на потребу повећања укупног износа ненаменског трансфера,</w:t>
      </w:r>
      <w:r w:rsidR="006E3D56" w:rsidRPr="00226F9D">
        <w:rPr>
          <w:rFonts w:ascii="Times New Roman" w:hAnsi="Times New Roman" w:cs="Times New Roman"/>
          <w:lang w:val="sr-Cyrl-RS"/>
        </w:rPr>
        <w:t xml:space="preserve"> који</w:t>
      </w:r>
      <w:r w:rsidR="00DF4BCE" w:rsidRPr="00226F9D">
        <w:rPr>
          <w:rFonts w:ascii="Times New Roman" w:hAnsi="Times New Roman" w:cs="Times New Roman"/>
          <w:lang w:val="sr-Cyrl-RS"/>
        </w:rPr>
        <w:t xml:space="preserve"> је</w:t>
      </w:r>
      <w:r w:rsidR="006E3D56" w:rsidRPr="00226F9D">
        <w:rPr>
          <w:rFonts w:ascii="Times New Roman" w:hAnsi="Times New Roman" w:cs="Times New Roman"/>
          <w:lang w:val="sr-Cyrl-RS"/>
        </w:rPr>
        <w:t xml:space="preserve"> на истом ниво</w:t>
      </w:r>
      <w:r w:rsidR="001F5574" w:rsidRPr="00226F9D">
        <w:rPr>
          <w:rFonts w:ascii="Times New Roman" w:hAnsi="Times New Roman" w:cs="Times New Roman"/>
          <w:lang w:val="sr-Cyrl-RS"/>
        </w:rPr>
        <w:t>у</w:t>
      </w:r>
      <w:r w:rsidR="006E3D56" w:rsidRPr="00226F9D">
        <w:rPr>
          <w:rFonts w:ascii="Times New Roman" w:hAnsi="Times New Roman" w:cs="Times New Roman"/>
          <w:lang w:val="sr-Cyrl-RS"/>
        </w:rPr>
        <w:t xml:space="preserve"> већ више од деценије. </w:t>
      </w:r>
      <w:r w:rsidR="00013EDE" w:rsidRPr="00226F9D">
        <w:rPr>
          <w:rFonts w:ascii="Times New Roman" w:hAnsi="Times New Roman" w:cs="Times New Roman"/>
          <w:lang w:val="sr-Cyrl-RS"/>
        </w:rPr>
        <w:t xml:space="preserve">Ово посебно утиче на висину прихода великог броја, превасходно слабије развијених ЈЛС које у значајној мери зависе од ове врсте трансфера, и онемогућава утицај овог трансфера на уједначавање између ЈЛС, што треба да буде једна од његових најважнији карактеристика.  </w:t>
      </w:r>
    </w:p>
    <w:p w14:paraId="5D6E917F" w14:textId="77777777" w:rsidR="00E824BD" w:rsidRPr="00226F9D" w:rsidRDefault="00E824BD" w:rsidP="006B59F4">
      <w:pPr>
        <w:spacing w:after="0" w:line="240" w:lineRule="auto"/>
        <w:jc w:val="both"/>
        <w:rPr>
          <w:rFonts w:ascii="Times New Roman" w:hAnsi="Times New Roman" w:cs="Times New Roman"/>
          <w:lang w:val="sr-Latn-RS"/>
        </w:rPr>
      </w:pPr>
    </w:p>
    <w:p w14:paraId="50250D2B" w14:textId="497BEF7A" w:rsidR="007522F5" w:rsidRPr="00226F9D" w:rsidRDefault="00916443" w:rsidP="006B59F4">
      <w:pPr>
        <w:spacing w:after="0" w:line="240" w:lineRule="auto"/>
        <w:jc w:val="both"/>
        <w:rPr>
          <w:rFonts w:ascii="Times New Roman" w:eastAsia="Calibri" w:hAnsi="Times New Roman" w:cs="Times New Roman"/>
          <w:lang w:val="sr-Cyrl-RS"/>
        </w:rPr>
      </w:pPr>
      <w:r w:rsidRPr="00226F9D">
        <w:rPr>
          <w:rFonts w:ascii="Times New Roman" w:hAnsi="Times New Roman" w:cs="Times New Roman"/>
          <w:lang w:val="sr-Cyrl-RS"/>
        </w:rPr>
        <w:t xml:space="preserve">Из </w:t>
      </w:r>
      <w:r w:rsidR="00E824BD" w:rsidRPr="00226F9D">
        <w:rPr>
          <w:rFonts w:ascii="Times New Roman" w:hAnsi="Times New Roman" w:cs="Times New Roman"/>
          <w:lang w:val="sr-Cyrl-RS"/>
        </w:rPr>
        <w:t xml:space="preserve">ових и других </w:t>
      </w:r>
      <w:r w:rsidRPr="00226F9D">
        <w:rPr>
          <w:rFonts w:ascii="Times New Roman" w:hAnsi="Times New Roman" w:cs="Times New Roman"/>
          <w:lang w:val="sr-Cyrl-RS"/>
        </w:rPr>
        <w:t>разлога</w:t>
      </w:r>
      <w:r w:rsidR="00E967C0" w:rsidRPr="00226F9D">
        <w:rPr>
          <w:rFonts w:ascii="Times New Roman" w:hAnsi="Times New Roman" w:cs="Times New Roman"/>
          <w:lang w:val="sr-Cyrl-RS"/>
        </w:rPr>
        <w:t xml:space="preserve">, </w:t>
      </w:r>
      <w:r w:rsidR="001653E8" w:rsidRPr="00226F9D">
        <w:rPr>
          <w:rFonts w:ascii="Times New Roman" w:hAnsi="Times New Roman" w:cs="Times New Roman"/>
          <w:lang w:val="sr-Cyrl-RS"/>
        </w:rPr>
        <w:t>укључујући и</w:t>
      </w:r>
      <w:r w:rsidR="00E967C0" w:rsidRPr="00226F9D">
        <w:rPr>
          <w:rFonts w:ascii="Times New Roman" w:hAnsi="Times New Roman" w:cs="Times New Roman"/>
          <w:lang w:val="sr-Cyrl-RS"/>
        </w:rPr>
        <w:t xml:space="preserve"> трендов</w:t>
      </w:r>
      <w:r w:rsidR="001653E8" w:rsidRPr="00226F9D">
        <w:rPr>
          <w:rFonts w:ascii="Times New Roman" w:hAnsi="Times New Roman" w:cs="Times New Roman"/>
          <w:lang w:val="sr-Cyrl-RS"/>
        </w:rPr>
        <w:t>е</w:t>
      </w:r>
      <w:r w:rsidR="00E967C0" w:rsidRPr="00226F9D">
        <w:rPr>
          <w:rFonts w:ascii="Times New Roman" w:hAnsi="Times New Roman" w:cs="Times New Roman"/>
          <w:lang w:val="sr-Cyrl-RS"/>
        </w:rPr>
        <w:t xml:space="preserve"> како у региону тако и у ширем европском контексту, </w:t>
      </w:r>
      <w:r w:rsidR="00C5023C" w:rsidRPr="00226F9D">
        <w:rPr>
          <w:rFonts w:ascii="Times New Roman" w:hAnsi="Times New Roman" w:cs="Times New Roman"/>
          <w:lang w:val="sr-Cyrl-RS"/>
        </w:rPr>
        <w:t>у</w:t>
      </w:r>
      <w:r w:rsidR="00E967C0" w:rsidRPr="00226F9D">
        <w:rPr>
          <w:rFonts w:ascii="Times New Roman" w:hAnsi="Times New Roman" w:cs="Times New Roman"/>
          <w:lang w:val="sr-Cyrl-RS"/>
        </w:rPr>
        <w:t xml:space="preserve">напређење значаја локалне самоуправе у приходима и расходима опште државе, треба да </w:t>
      </w:r>
      <w:r w:rsidR="00C5023C" w:rsidRPr="00226F9D">
        <w:rPr>
          <w:rFonts w:ascii="Times New Roman" w:hAnsi="Times New Roman" w:cs="Times New Roman"/>
          <w:lang w:val="sr-Cyrl-RS"/>
        </w:rPr>
        <w:t xml:space="preserve">буде </w:t>
      </w:r>
      <w:r w:rsidR="00E967C0" w:rsidRPr="00226F9D">
        <w:rPr>
          <w:rFonts w:ascii="Times New Roman" w:hAnsi="Times New Roman" w:cs="Times New Roman"/>
          <w:lang w:val="sr-Cyrl-RS"/>
        </w:rPr>
        <w:t>приоритет даљих реформи</w:t>
      </w:r>
      <w:r w:rsidR="00C5023C" w:rsidRPr="00226F9D">
        <w:rPr>
          <w:rFonts w:ascii="Times New Roman" w:hAnsi="Times New Roman" w:cs="Times New Roman"/>
          <w:lang w:val="sr-Cyrl-RS"/>
        </w:rPr>
        <w:t>. Н</w:t>
      </w:r>
      <w:r w:rsidR="00064D71" w:rsidRPr="00226F9D">
        <w:rPr>
          <w:rFonts w:ascii="Times New Roman" w:hAnsi="Times New Roman" w:cs="Times New Roman"/>
          <w:lang w:val="sr-Cyrl-RS"/>
        </w:rPr>
        <w:t xml:space="preserve">еопходно је сагледати стање система финансирања локалне самоуправе и дефинисати кораке за његову реформу. </w:t>
      </w:r>
      <w:r w:rsidR="00507DCB" w:rsidRPr="00226F9D">
        <w:rPr>
          <w:rFonts w:ascii="Times New Roman" w:hAnsi="Times New Roman" w:cs="Times New Roman"/>
          <w:lang w:val="sr-Cyrl-RS"/>
        </w:rPr>
        <w:t>За потребе</w:t>
      </w:r>
      <w:r w:rsidRPr="00226F9D">
        <w:rPr>
          <w:rFonts w:ascii="Times New Roman" w:hAnsi="Times New Roman" w:cs="Times New Roman"/>
          <w:lang w:val="sr-Cyrl-RS"/>
        </w:rPr>
        <w:t xml:space="preserve"> </w:t>
      </w:r>
      <w:r w:rsidR="00507DCB" w:rsidRPr="00226F9D">
        <w:rPr>
          <w:rFonts w:ascii="Times New Roman" w:hAnsi="Times New Roman" w:cs="Times New Roman"/>
          <w:lang w:val="sr-Cyrl-RS"/>
        </w:rPr>
        <w:t>р</w:t>
      </w:r>
      <w:r w:rsidRPr="00226F9D">
        <w:rPr>
          <w:rFonts w:ascii="Times New Roman" w:hAnsi="Times New Roman" w:cs="Times New Roman"/>
          <w:lang w:val="sr-Cyrl-RS"/>
        </w:rPr>
        <w:t>еформе система уједначавања</w:t>
      </w:r>
      <w:r w:rsidR="003A11CA" w:rsidRPr="00226F9D">
        <w:rPr>
          <w:rFonts w:ascii="Times New Roman" w:hAnsi="Times New Roman" w:cs="Times New Roman"/>
          <w:lang w:val="sr-Cyrl-RS"/>
        </w:rPr>
        <w:t>,</w:t>
      </w:r>
      <w:r w:rsidRPr="00226F9D">
        <w:rPr>
          <w:rFonts w:ascii="Times New Roman" w:hAnsi="Times New Roman" w:cs="Times New Roman"/>
          <w:lang w:val="sr-Cyrl-RS"/>
        </w:rPr>
        <w:t xml:space="preserve"> </w:t>
      </w:r>
      <w:r w:rsidR="00035845" w:rsidRPr="00226F9D">
        <w:rPr>
          <w:rFonts w:ascii="Times New Roman" w:hAnsi="Times New Roman" w:cs="Times New Roman"/>
          <w:lang w:val="sr-Cyrl-RS"/>
        </w:rPr>
        <w:t xml:space="preserve">укључујући </w:t>
      </w:r>
      <w:r w:rsidR="0070262C" w:rsidRPr="00226F9D">
        <w:rPr>
          <w:rFonts w:ascii="Times New Roman" w:hAnsi="Times New Roman" w:cs="Times New Roman"/>
          <w:lang w:val="sr-Cyrl-RS"/>
        </w:rPr>
        <w:t>и</w:t>
      </w:r>
      <w:r w:rsidR="00035845" w:rsidRPr="00226F9D">
        <w:rPr>
          <w:rFonts w:ascii="Times New Roman" w:hAnsi="Times New Roman" w:cs="Times New Roman"/>
          <w:lang w:val="sr-Cyrl-RS"/>
        </w:rPr>
        <w:t xml:space="preserve"> </w:t>
      </w:r>
      <w:r w:rsidRPr="00226F9D">
        <w:rPr>
          <w:rFonts w:ascii="Times New Roman" w:hAnsi="Times New Roman" w:cs="Times New Roman"/>
          <w:lang w:val="sr-Cyrl-RS"/>
        </w:rPr>
        <w:t xml:space="preserve">питање </w:t>
      </w:r>
      <w:r w:rsidR="00023327" w:rsidRPr="00226F9D">
        <w:rPr>
          <w:rFonts w:ascii="Times New Roman" w:hAnsi="Times New Roman" w:cs="Times New Roman"/>
          <w:lang w:val="sr-Cyrl-RS"/>
        </w:rPr>
        <w:t xml:space="preserve">износа </w:t>
      </w:r>
      <w:r w:rsidR="002A014B" w:rsidRPr="00226F9D">
        <w:rPr>
          <w:rFonts w:ascii="Times New Roman" w:hAnsi="Times New Roman" w:cs="Times New Roman"/>
          <w:lang w:val="sr-Cyrl-RS"/>
        </w:rPr>
        <w:t>и критеријума за обрачун</w:t>
      </w:r>
      <w:r w:rsidR="00023327" w:rsidRPr="00226F9D">
        <w:rPr>
          <w:rFonts w:ascii="Times New Roman" w:hAnsi="Times New Roman" w:cs="Times New Roman"/>
          <w:lang w:val="sr-Cyrl-RS"/>
        </w:rPr>
        <w:t xml:space="preserve"> ненаменског трансфера, </w:t>
      </w:r>
      <w:r w:rsidR="001653E8" w:rsidRPr="00226F9D">
        <w:rPr>
          <w:rFonts w:ascii="Times New Roman" w:hAnsi="Times New Roman" w:cs="Times New Roman"/>
          <w:lang w:val="sr-Cyrl-RS"/>
        </w:rPr>
        <w:t xml:space="preserve">важно је </w:t>
      </w:r>
      <w:r w:rsidR="00507DCB" w:rsidRPr="00226F9D">
        <w:rPr>
          <w:rFonts w:ascii="Times New Roman" w:hAnsi="Times New Roman" w:cs="Times New Roman"/>
          <w:lang w:val="sr-Cyrl-RS"/>
        </w:rPr>
        <w:t xml:space="preserve">сагледати и упоредну праксу </w:t>
      </w:r>
      <w:r w:rsidR="006131C1" w:rsidRPr="00226F9D">
        <w:rPr>
          <w:rFonts w:ascii="Times New Roman" w:hAnsi="Times New Roman" w:cs="Times New Roman"/>
          <w:lang w:val="sr-Cyrl-RS"/>
        </w:rPr>
        <w:t xml:space="preserve">других система локалне самоуправе. </w:t>
      </w:r>
      <w:r w:rsidR="001653E8" w:rsidRPr="00226F9D">
        <w:rPr>
          <w:rFonts w:ascii="Times New Roman" w:hAnsi="Times New Roman" w:cs="Times New Roman"/>
          <w:lang w:val="sr-Cyrl-RS"/>
        </w:rPr>
        <w:t xml:space="preserve">Такође, у правцу онога што и саме локалне власти истичу, </w:t>
      </w:r>
      <w:r w:rsidR="00596049" w:rsidRPr="00226F9D">
        <w:rPr>
          <w:rFonts w:ascii="Times New Roman" w:hAnsi="Times New Roman" w:cs="Times New Roman"/>
          <w:lang w:val="sr-Cyrl-RS"/>
        </w:rPr>
        <w:t xml:space="preserve">након више од 10 година, </w:t>
      </w:r>
      <w:r w:rsidR="001653E8" w:rsidRPr="00226F9D">
        <w:rPr>
          <w:rFonts w:ascii="Times New Roman" w:hAnsi="Times New Roman" w:cs="Times New Roman"/>
          <w:lang w:val="sr-Cyrl-RS"/>
        </w:rPr>
        <w:t xml:space="preserve">потребно је </w:t>
      </w:r>
      <w:r w:rsidR="001653E8" w:rsidRPr="00226F9D">
        <w:rPr>
          <w:rFonts w:ascii="Times New Roman" w:eastAsia="Calibri" w:hAnsi="Times New Roman" w:cs="Times New Roman"/>
          <w:lang w:val="sr-Cyrl-RS"/>
        </w:rPr>
        <w:t xml:space="preserve">реформисати и методологију </w:t>
      </w:r>
      <w:r w:rsidR="00514A8B" w:rsidRPr="00226F9D">
        <w:rPr>
          <w:rFonts w:ascii="Times New Roman" w:eastAsia="Calibri" w:hAnsi="Times New Roman" w:cs="Times New Roman"/>
          <w:lang w:val="sr-Cyrl-RS"/>
        </w:rPr>
        <w:t xml:space="preserve">за израчунавање степена развијености ЈЛС </w:t>
      </w:r>
      <w:r w:rsidR="00FF4AF5" w:rsidRPr="00226F9D">
        <w:rPr>
          <w:rFonts w:ascii="Times New Roman" w:eastAsia="Calibri" w:hAnsi="Times New Roman" w:cs="Times New Roman"/>
          <w:lang w:val="sr-Cyrl-RS"/>
        </w:rPr>
        <w:t>и дефинисати нову листу развијености, јер значајан</w:t>
      </w:r>
      <w:r w:rsidR="005D631B" w:rsidRPr="00226F9D">
        <w:rPr>
          <w:rFonts w:ascii="Times New Roman" w:eastAsia="Calibri" w:hAnsi="Times New Roman" w:cs="Times New Roman"/>
          <w:lang w:val="sr-Cyrl-RS"/>
        </w:rPr>
        <w:t xml:space="preserve"> део</w:t>
      </w:r>
      <w:r w:rsidR="00FF4AF5" w:rsidRPr="00226F9D">
        <w:rPr>
          <w:rFonts w:ascii="Times New Roman" w:eastAsia="Calibri" w:hAnsi="Times New Roman" w:cs="Times New Roman"/>
          <w:lang w:val="sr-Cyrl-RS"/>
        </w:rPr>
        <w:t xml:space="preserve"> </w:t>
      </w:r>
      <w:r w:rsidR="00596049" w:rsidRPr="00226F9D">
        <w:rPr>
          <w:rFonts w:ascii="Times New Roman" w:eastAsia="Calibri" w:hAnsi="Times New Roman" w:cs="Times New Roman"/>
          <w:lang w:val="sr-Cyrl-RS"/>
        </w:rPr>
        <w:t xml:space="preserve">како </w:t>
      </w:r>
      <w:r w:rsidR="00FF4AF5" w:rsidRPr="00226F9D">
        <w:rPr>
          <w:rFonts w:ascii="Times New Roman" w:eastAsia="Calibri" w:hAnsi="Times New Roman" w:cs="Times New Roman"/>
          <w:lang w:val="sr-Cyrl-RS"/>
        </w:rPr>
        <w:t>прихода</w:t>
      </w:r>
      <w:r w:rsidR="00596049" w:rsidRPr="00226F9D">
        <w:rPr>
          <w:rFonts w:ascii="Times New Roman" w:eastAsia="Calibri" w:hAnsi="Times New Roman" w:cs="Times New Roman"/>
          <w:lang w:val="sr-Cyrl-RS"/>
        </w:rPr>
        <w:t xml:space="preserve"> тако и друге врсте подршке кој</w:t>
      </w:r>
      <w:r w:rsidR="00435113" w:rsidRPr="00226F9D">
        <w:rPr>
          <w:rFonts w:ascii="Times New Roman" w:eastAsia="Calibri" w:hAnsi="Times New Roman" w:cs="Times New Roman"/>
          <w:lang w:val="sr-Cyrl-RS"/>
        </w:rPr>
        <w:t>у имају</w:t>
      </w:r>
      <w:r w:rsidR="00FF4AF5" w:rsidRPr="00226F9D">
        <w:rPr>
          <w:rFonts w:ascii="Times New Roman" w:eastAsia="Calibri" w:hAnsi="Times New Roman" w:cs="Times New Roman"/>
          <w:lang w:val="sr-Cyrl-RS"/>
        </w:rPr>
        <w:t xml:space="preserve"> локалне власти</w:t>
      </w:r>
      <w:r w:rsidR="00435113" w:rsidRPr="00226F9D">
        <w:rPr>
          <w:rFonts w:ascii="Times New Roman" w:eastAsia="Calibri" w:hAnsi="Times New Roman" w:cs="Times New Roman"/>
          <w:lang w:val="sr-Cyrl-RS"/>
        </w:rPr>
        <w:t>,</w:t>
      </w:r>
      <w:r w:rsidR="00FF4AF5" w:rsidRPr="00226F9D">
        <w:rPr>
          <w:rFonts w:ascii="Times New Roman" w:eastAsia="Calibri" w:hAnsi="Times New Roman" w:cs="Times New Roman"/>
          <w:lang w:val="sr-Cyrl-RS"/>
        </w:rPr>
        <w:t xml:space="preserve"> зависи од позиције на </w:t>
      </w:r>
      <w:r w:rsidR="00596049" w:rsidRPr="00226F9D">
        <w:rPr>
          <w:rFonts w:ascii="Times New Roman" w:eastAsia="Calibri" w:hAnsi="Times New Roman" w:cs="Times New Roman"/>
          <w:lang w:val="sr-Cyrl-RS"/>
        </w:rPr>
        <w:t xml:space="preserve">листи развијености. </w:t>
      </w:r>
      <w:r w:rsidR="00514A8B" w:rsidRPr="00226F9D">
        <w:rPr>
          <w:rFonts w:ascii="Times New Roman" w:hAnsi="Times New Roman" w:cs="Times New Roman"/>
          <w:lang w:val="sr-Cyrl-RS"/>
        </w:rPr>
        <w:t>П</w:t>
      </w:r>
      <w:r w:rsidR="007522F5" w:rsidRPr="00226F9D">
        <w:rPr>
          <w:rFonts w:ascii="Times New Roman" w:hAnsi="Times New Roman" w:cs="Times New Roman"/>
          <w:lang w:val="sr-Cyrl-RS"/>
        </w:rPr>
        <w:t xml:space="preserve">риоритет  </w:t>
      </w:r>
      <w:r w:rsidR="006131C1" w:rsidRPr="00226F9D">
        <w:rPr>
          <w:rFonts w:ascii="Times New Roman" w:hAnsi="Times New Roman" w:cs="Times New Roman"/>
          <w:lang w:val="sr-Cyrl-RS"/>
        </w:rPr>
        <w:t>треба да буде и даље</w:t>
      </w:r>
      <w:r w:rsidR="007522F5" w:rsidRPr="00226F9D">
        <w:rPr>
          <w:rFonts w:ascii="Times New Roman" w:hAnsi="Times New Roman" w:cs="Times New Roman"/>
          <w:lang w:val="sr-Cyrl-RS"/>
        </w:rPr>
        <w:t xml:space="preserve"> унапређење процеса припреме и доношења локалних буџета, како у погледу садржине и сврсисходности, тако и транспарентности и инклузивности процеса. То подразумева</w:t>
      </w:r>
      <w:r w:rsidR="007522F5" w:rsidRPr="00226F9D">
        <w:rPr>
          <w:rFonts w:ascii="Times New Roman" w:eastAsia="Calibri" w:hAnsi="Times New Roman" w:cs="Times New Roman"/>
          <w:lang w:val="sr-Cyrl-RS"/>
        </w:rPr>
        <w:t xml:space="preserve"> да одлуке о</w:t>
      </w:r>
      <w:r w:rsidR="007522F5" w:rsidRPr="00226F9D">
        <w:rPr>
          <w:rFonts w:ascii="Times New Roman" w:hAnsi="Times New Roman" w:cs="Times New Roman"/>
          <w:lang w:val="sr-Cyrl-RS"/>
        </w:rPr>
        <w:t xml:space="preserve"> буџету буду у складу са упутством Министарства финансија, али </w:t>
      </w:r>
      <w:r w:rsidR="003A11CA" w:rsidRPr="00226F9D">
        <w:rPr>
          <w:rFonts w:ascii="Times New Roman" w:hAnsi="Times New Roman" w:cs="Times New Roman"/>
          <w:lang w:val="sr-Cyrl-RS"/>
        </w:rPr>
        <w:t xml:space="preserve">и да </w:t>
      </w:r>
      <w:r w:rsidR="007522F5" w:rsidRPr="00226F9D">
        <w:rPr>
          <w:rFonts w:ascii="Times New Roman" w:hAnsi="Times New Roman" w:cs="Times New Roman"/>
          <w:lang w:val="sr-Cyrl-RS"/>
        </w:rPr>
        <w:t xml:space="preserve">процес доношења буде транспарентан и инклузиван, а док је посебно важно да </w:t>
      </w:r>
      <w:r w:rsidR="003F3165" w:rsidRPr="00226F9D">
        <w:rPr>
          <w:rFonts w:ascii="Times New Roman" w:hAnsi="Times New Roman" w:cs="Times New Roman"/>
          <w:lang w:val="sr-Cyrl-RS"/>
        </w:rPr>
        <w:t xml:space="preserve">расте </w:t>
      </w:r>
      <w:r w:rsidR="007522F5" w:rsidRPr="00226F9D">
        <w:rPr>
          <w:rFonts w:ascii="Times New Roman" w:hAnsi="Times New Roman" w:cs="Times New Roman"/>
          <w:lang w:val="sr-Cyrl-RS"/>
        </w:rPr>
        <w:t>учешће капиталних издатака у укупним расходима и издацима ЈЛС.</w:t>
      </w:r>
      <w:r w:rsidR="00DF2E93" w:rsidRPr="00226F9D">
        <w:rPr>
          <w:rFonts w:ascii="Times New Roman" w:hAnsi="Times New Roman" w:cs="Times New Roman"/>
          <w:lang w:val="sr-Cyrl-RS"/>
        </w:rPr>
        <w:t xml:space="preserve"> </w:t>
      </w:r>
      <w:r w:rsidR="00DF2E93" w:rsidRPr="00226F9D">
        <w:rPr>
          <w:rFonts w:ascii="Times New Roman" w:eastAsia="Calibri" w:hAnsi="Times New Roman" w:cs="Times New Roman"/>
          <w:lang w:val="sr-Cyrl-RS"/>
        </w:rPr>
        <w:t>Такође, иако је правни, стратешки и институционални оквир за интерну финансијску контролу у јавном сектору (ИФКЈ) великим делом успостављен, капацитети за спровођење стандарда интерне контроле, укључујући управљање ризицима, морају бити додатно унапређени на локалном нивоу власти и интегрисани у оквиру административне културе, па је неопходно да ова област остане прио</w:t>
      </w:r>
      <w:r w:rsidR="003C378E" w:rsidRPr="00226F9D">
        <w:rPr>
          <w:rFonts w:ascii="Times New Roman" w:eastAsia="Calibri" w:hAnsi="Times New Roman" w:cs="Times New Roman"/>
          <w:lang w:val="sr-Cyrl-RS"/>
        </w:rPr>
        <w:t>ри</w:t>
      </w:r>
      <w:r w:rsidR="00DF2E93" w:rsidRPr="00226F9D">
        <w:rPr>
          <w:rFonts w:ascii="Times New Roman" w:eastAsia="Calibri" w:hAnsi="Times New Roman" w:cs="Times New Roman"/>
          <w:lang w:val="sr-Cyrl-RS"/>
        </w:rPr>
        <w:t>тет и у наредном периоду.</w:t>
      </w:r>
      <w:r w:rsidR="009A67AE" w:rsidRPr="00226F9D">
        <w:rPr>
          <w:rFonts w:ascii="Times New Roman" w:eastAsia="Calibri" w:hAnsi="Times New Roman" w:cs="Times New Roman"/>
          <w:lang w:val="sr-Cyrl-RS"/>
        </w:rPr>
        <w:t xml:space="preserve"> </w:t>
      </w:r>
      <w:r w:rsidR="00435113" w:rsidRPr="00226F9D">
        <w:rPr>
          <w:rFonts w:ascii="Times New Roman" w:hAnsi="Times New Roman" w:cs="Times New Roman"/>
          <w:lang w:val="sr-Cyrl-RS"/>
        </w:rPr>
        <w:t>Ови и други приоритети у даљем јачању система финанси</w:t>
      </w:r>
      <w:r w:rsidR="003C378E" w:rsidRPr="00226F9D">
        <w:rPr>
          <w:rFonts w:ascii="Times New Roman" w:hAnsi="Times New Roman" w:cs="Times New Roman"/>
          <w:lang w:val="sr-Cyrl-RS"/>
        </w:rPr>
        <w:t>р</w:t>
      </w:r>
      <w:r w:rsidR="00435113" w:rsidRPr="00226F9D">
        <w:rPr>
          <w:rFonts w:ascii="Times New Roman" w:hAnsi="Times New Roman" w:cs="Times New Roman"/>
          <w:lang w:val="sr-Cyrl-RS"/>
        </w:rPr>
        <w:t>ања локалне самоуправе</w:t>
      </w:r>
      <w:r w:rsidR="002D2422" w:rsidRPr="00226F9D">
        <w:rPr>
          <w:rFonts w:ascii="Times New Roman" w:hAnsi="Times New Roman" w:cs="Times New Roman"/>
          <w:lang w:val="sr-Cyrl-RS"/>
        </w:rPr>
        <w:t>,</w:t>
      </w:r>
      <w:r w:rsidR="00435113" w:rsidRPr="00226F9D">
        <w:rPr>
          <w:rFonts w:ascii="Times New Roman" w:hAnsi="Times New Roman" w:cs="Times New Roman"/>
          <w:lang w:val="sr-Cyrl-RS"/>
        </w:rPr>
        <w:t xml:space="preserve"> али и </w:t>
      </w:r>
      <w:r w:rsidR="00592409" w:rsidRPr="00226F9D">
        <w:rPr>
          <w:rFonts w:ascii="Times New Roman" w:hAnsi="Times New Roman" w:cs="Times New Roman"/>
          <w:lang w:val="sr-Cyrl-RS"/>
        </w:rPr>
        <w:t>одржавања стабилности укупно</w:t>
      </w:r>
      <w:r w:rsidR="002D2422" w:rsidRPr="00226F9D">
        <w:rPr>
          <w:rFonts w:ascii="Times New Roman" w:hAnsi="Times New Roman" w:cs="Times New Roman"/>
          <w:lang w:val="sr-Cyrl-RS"/>
        </w:rPr>
        <w:t>г</w:t>
      </w:r>
      <w:r w:rsidR="00592409" w:rsidRPr="00226F9D">
        <w:rPr>
          <w:rFonts w:ascii="Times New Roman" w:hAnsi="Times New Roman" w:cs="Times New Roman"/>
          <w:lang w:val="sr-Cyrl-RS"/>
        </w:rPr>
        <w:t xml:space="preserve"> финансијског система, захтева</w:t>
      </w:r>
      <w:r w:rsidR="001C0212" w:rsidRPr="00226F9D">
        <w:rPr>
          <w:rFonts w:ascii="Times New Roman" w:hAnsi="Times New Roman" w:cs="Times New Roman"/>
          <w:lang w:val="sr-Cyrl-RS"/>
        </w:rPr>
        <w:t>ју</w:t>
      </w:r>
      <w:r w:rsidR="00592409" w:rsidRPr="00226F9D">
        <w:rPr>
          <w:rFonts w:ascii="Times New Roman" w:hAnsi="Times New Roman" w:cs="Times New Roman"/>
          <w:lang w:val="sr-Cyrl-RS"/>
        </w:rPr>
        <w:t xml:space="preserve"> </w:t>
      </w:r>
      <w:r w:rsidR="003A3D82" w:rsidRPr="00226F9D">
        <w:rPr>
          <w:rFonts w:ascii="Times New Roman" w:hAnsi="Times New Roman" w:cs="Times New Roman"/>
          <w:lang w:val="sr-Cyrl-RS"/>
        </w:rPr>
        <w:t>интензиван</w:t>
      </w:r>
      <w:r w:rsidR="00592409" w:rsidRPr="00226F9D">
        <w:rPr>
          <w:rFonts w:ascii="Times New Roman" w:hAnsi="Times New Roman" w:cs="Times New Roman"/>
          <w:lang w:val="sr-Cyrl-RS"/>
        </w:rPr>
        <w:t xml:space="preserve"> дијалог између националних и локалних власти</w:t>
      </w:r>
      <w:r w:rsidR="00012581" w:rsidRPr="00226F9D">
        <w:rPr>
          <w:rFonts w:ascii="Times New Roman" w:hAnsi="Times New Roman" w:cs="Times New Roman"/>
          <w:lang w:val="sr-Cyrl-RS"/>
        </w:rPr>
        <w:t>. У процесу реформе потребно је пажљиво</w:t>
      </w:r>
      <w:r w:rsidR="009A67AE" w:rsidRPr="00226F9D">
        <w:rPr>
          <w:rFonts w:ascii="Times New Roman" w:hAnsi="Times New Roman" w:cs="Times New Roman"/>
          <w:lang w:val="sr-Cyrl-RS"/>
        </w:rPr>
        <w:t xml:space="preserve"> разматра</w:t>
      </w:r>
      <w:r w:rsidR="00012581" w:rsidRPr="00226F9D">
        <w:rPr>
          <w:rFonts w:ascii="Times New Roman" w:hAnsi="Times New Roman" w:cs="Times New Roman"/>
          <w:lang w:val="sr-Cyrl-RS"/>
        </w:rPr>
        <w:t>ти</w:t>
      </w:r>
      <w:r w:rsidR="009A67AE" w:rsidRPr="00226F9D">
        <w:rPr>
          <w:rFonts w:ascii="Times New Roman" w:hAnsi="Times New Roman" w:cs="Times New Roman"/>
          <w:lang w:val="sr-Cyrl-RS"/>
        </w:rPr>
        <w:t xml:space="preserve"> потреб</w:t>
      </w:r>
      <w:r w:rsidR="00012581" w:rsidRPr="00226F9D">
        <w:rPr>
          <w:rFonts w:ascii="Times New Roman" w:hAnsi="Times New Roman" w:cs="Times New Roman"/>
          <w:lang w:val="sr-Cyrl-RS"/>
        </w:rPr>
        <w:t>е</w:t>
      </w:r>
      <w:r w:rsidR="009A67AE" w:rsidRPr="00226F9D">
        <w:rPr>
          <w:rFonts w:ascii="Times New Roman" w:hAnsi="Times New Roman" w:cs="Times New Roman"/>
          <w:lang w:val="sr-Cyrl-RS"/>
        </w:rPr>
        <w:t xml:space="preserve"> целог финансијског система</w:t>
      </w:r>
      <w:r w:rsidR="002D2422" w:rsidRPr="00226F9D">
        <w:rPr>
          <w:rFonts w:ascii="Times New Roman" w:hAnsi="Times New Roman" w:cs="Times New Roman"/>
          <w:lang w:val="sr-Cyrl-RS"/>
        </w:rPr>
        <w:t>,</w:t>
      </w:r>
      <w:r w:rsidR="009A67AE" w:rsidRPr="00226F9D">
        <w:rPr>
          <w:rFonts w:ascii="Times New Roman" w:hAnsi="Times New Roman" w:cs="Times New Roman"/>
          <w:lang w:val="sr-Cyrl-RS"/>
        </w:rPr>
        <w:t xml:space="preserve"> али и сваке</w:t>
      </w:r>
      <w:r w:rsidR="00001212" w:rsidRPr="00226F9D">
        <w:rPr>
          <w:rFonts w:ascii="Times New Roman" w:hAnsi="Times New Roman" w:cs="Times New Roman"/>
          <w:lang w:val="sr-Cyrl-RS"/>
        </w:rPr>
        <w:t xml:space="preserve"> различите групе ЈЛС (мале и велике, урбане и руралне, развијене и неразвијене, </w:t>
      </w:r>
      <w:r w:rsidR="003C378E" w:rsidRPr="00226F9D">
        <w:rPr>
          <w:rFonts w:ascii="Times New Roman" w:hAnsi="Times New Roman" w:cs="Times New Roman"/>
          <w:lang w:val="sr-Cyrl-RS"/>
        </w:rPr>
        <w:t>и др.)</w:t>
      </w:r>
      <w:r w:rsidR="008B25CF" w:rsidRPr="00226F9D">
        <w:rPr>
          <w:rFonts w:ascii="Times New Roman" w:hAnsi="Times New Roman" w:cs="Times New Roman"/>
          <w:lang w:val="sr-Cyrl-RS"/>
        </w:rPr>
        <w:t>, како у оквиру Комисије за финансирање локалне самоуправе</w:t>
      </w:r>
      <w:r w:rsidR="00261838" w:rsidRPr="00226F9D">
        <w:rPr>
          <w:rFonts w:ascii="Times New Roman" w:hAnsi="Times New Roman" w:cs="Times New Roman"/>
          <w:lang w:val="sr-Cyrl-RS"/>
        </w:rPr>
        <w:t>,</w:t>
      </w:r>
      <w:r w:rsidR="008B25CF" w:rsidRPr="00226F9D">
        <w:rPr>
          <w:rFonts w:ascii="Times New Roman" w:hAnsi="Times New Roman" w:cs="Times New Roman"/>
          <w:lang w:val="sr-Cyrl-RS"/>
        </w:rPr>
        <w:t xml:space="preserve"> кој</w:t>
      </w:r>
      <w:r w:rsidR="0031542A" w:rsidRPr="00226F9D">
        <w:rPr>
          <w:rFonts w:ascii="Times New Roman" w:hAnsi="Times New Roman" w:cs="Times New Roman"/>
          <w:lang w:val="sr-Cyrl-RS"/>
        </w:rPr>
        <w:t>а треба да буде оснажена и континуирано активна, тако и у директном дијалогу са градовима и општинама.</w:t>
      </w:r>
    </w:p>
    <w:p w14:paraId="0B68C04E" w14:textId="52D88DE9" w:rsidR="000257F8" w:rsidRPr="00226F9D" w:rsidRDefault="000257F8" w:rsidP="00090884">
      <w:pPr>
        <w:spacing w:after="0" w:line="240" w:lineRule="auto"/>
        <w:jc w:val="both"/>
        <w:rPr>
          <w:rFonts w:ascii="Times New Roman" w:hAnsi="Times New Roman" w:cs="Times New Roman"/>
          <w:lang w:val="sr-Cyrl-RS"/>
        </w:rPr>
      </w:pPr>
    </w:p>
    <w:p w14:paraId="11DFC3C1" w14:textId="77777777" w:rsidR="000257F8" w:rsidRPr="00226F9D" w:rsidRDefault="000257F8" w:rsidP="00090884">
      <w:pPr>
        <w:spacing w:after="0" w:line="240" w:lineRule="auto"/>
        <w:jc w:val="both"/>
        <w:rPr>
          <w:rFonts w:ascii="Times New Roman" w:hAnsi="Times New Roman" w:cs="Times New Roman"/>
          <w:lang w:val="sr-Cyrl-RS"/>
        </w:rPr>
      </w:pPr>
    </w:p>
    <w:p w14:paraId="0D8D2DFD" w14:textId="32B53EB4" w:rsidR="000C148A" w:rsidRPr="00226F9D" w:rsidRDefault="00291362" w:rsidP="00C346C1">
      <w:pPr>
        <w:pStyle w:val="Heading2"/>
        <w:numPr>
          <w:ilvl w:val="0"/>
          <w:numId w:val="25"/>
        </w:numPr>
        <w:rPr>
          <w:rFonts w:ascii="Times New Roman" w:hAnsi="Times New Roman" w:cs="Times New Roman"/>
          <w:lang w:val="sr-Cyrl-RS"/>
        </w:rPr>
      </w:pPr>
      <w:bookmarkStart w:id="8" w:name="_Toc222753916"/>
      <w:r w:rsidRPr="00226F9D">
        <w:rPr>
          <w:rFonts w:ascii="Times New Roman" w:eastAsia="Calibri" w:hAnsi="Times New Roman" w:cs="Times New Roman"/>
          <w:lang w:val="sr-Cyrl-RS"/>
        </w:rPr>
        <w:t>Организација и капацитети локалне самоуправе</w:t>
      </w:r>
      <w:bookmarkEnd w:id="8"/>
    </w:p>
    <w:p w14:paraId="007A562B" w14:textId="77777777" w:rsidR="006F790A" w:rsidRPr="00226F9D" w:rsidRDefault="006F790A" w:rsidP="00090884">
      <w:pPr>
        <w:spacing w:after="0" w:line="240" w:lineRule="auto"/>
        <w:jc w:val="both"/>
        <w:rPr>
          <w:rFonts w:ascii="Times New Roman" w:hAnsi="Times New Roman" w:cs="Times New Roman"/>
          <w:sz w:val="22"/>
          <w:szCs w:val="22"/>
          <w:lang w:val="sr-Latn-RS"/>
        </w:rPr>
      </w:pPr>
    </w:p>
    <w:p w14:paraId="7048718E" w14:textId="325E58C5" w:rsidR="006F790A" w:rsidRPr="00226F9D" w:rsidRDefault="006F790A" w:rsidP="00090884">
      <w:pPr>
        <w:spacing w:after="0" w:line="240" w:lineRule="auto"/>
        <w:jc w:val="both"/>
        <w:rPr>
          <w:rFonts w:ascii="Times New Roman" w:hAnsi="Times New Roman" w:cs="Times New Roman"/>
          <w:lang w:val="sr-Latn-RS"/>
        </w:rPr>
      </w:pPr>
      <w:r w:rsidRPr="00226F9D">
        <w:rPr>
          <w:rFonts w:ascii="Times New Roman" w:hAnsi="Times New Roman" w:cs="Times New Roman"/>
          <w:lang w:val="sr-Cyrl-RS"/>
        </w:rPr>
        <w:t>У Програму за реформу система локалне самоуправе за период 2021-2025. године, препозната је потреба да део реформе буде и питање организације и капацитета локалне самоуправе, као једно од кључних реформских области које су дефинисане у П</w:t>
      </w:r>
      <w:r w:rsidR="00261838" w:rsidRPr="00226F9D">
        <w:rPr>
          <w:rFonts w:ascii="Times New Roman" w:hAnsi="Times New Roman" w:cs="Times New Roman"/>
          <w:lang w:val="sr-Cyrl-RS"/>
        </w:rPr>
        <w:t>осебном</w:t>
      </w:r>
      <w:r w:rsidRPr="00226F9D">
        <w:rPr>
          <w:rFonts w:ascii="Times New Roman" w:hAnsi="Times New Roman" w:cs="Times New Roman"/>
          <w:lang w:val="sr-Cyrl-RS"/>
        </w:rPr>
        <w:t xml:space="preserve"> циљу 3. Програм је идентификовао бројне структурне и функционалне изазове на које је неопходно дати реформски одговор, као што су били:</w:t>
      </w:r>
    </w:p>
    <w:p w14:paraId="68334464" w14:textId="6880390F" w:rsidR="00333682" w:rsidRPr="00226F9D" w:rsidRDefault="006F790A" w:rsidP="008C793E">
      <w:pPr>
        <w:pStyle w:val="ListParagraph"/>
        <w:numPr>
          <w:ilvl w:val="0"/>
          <w:numId w:val="20"/>
        </w:numPr>
        <w:spacing w:after="0" w:line="240" w:lineRule="auto"/>
        <w:jc w:val="both"/>
        <w:rPr>
          <w:rFonts w:ascii="Times New Roman" w:hAnsi="Times New Roman" w:cs="Times New Roman"/>
          <w:lang w:val="sr-Cyrl-RS"/>
        </w:rPr>
      </w:pPr>
      <w:r w:rsidRPr="00226F9D">
        <w:rPr>
          <w:rFonts w:ascii="Times New Roman" w:eastAsia="Times New Roman" w:hAnsi="Times New Roman" w:cs="Times New Roman"/>
          <w:b/>
          <w:bCs/>
          <w:lang w:val="sr-Cyrl-RS"/>
        </w:rPr>
        <w:t>Слаб институционални надзор и контрола над локалним установама и јавним предузећима</w:t>
      </w:r>
      <w:r w:rsidRPr="00226F9D">
        <w:rPr>
          <w:rFonts w:ascii="Times New Roman" w:hAnsi="Times New Roman" w:cs="Times New Roman"/>
          <w:lang w:val="sr-Cyrl-RS"/>
        </w:rPr>
        <w:t xml:space="preserve"> - скупштине имају недовољно развијене механизме надзора над извршним органима, јавним предузећима и установама</w:t>
      </w:r>
      <w:r w:rsidR="00261838" w:rsidRPr="00226F9D">
        <w:rPr>
          <w:rFonts w:ascii="Times New Roman" w:hAnsi="Times New Roman" w:cs="Times New Roman"/>
          <w:lang w:val="sr-Cyrl-RS"/>
        </w:rPr>
        <w:t>,</w:t>
      </w:r>
      <w:r w:rsidRPr="00226F9D">
        <w:rPr>
          <w:rFonts w:ascii="Times New Roman" w:hAnsi="Times New Roman" w:cs="Times New Roman"/>
          <w:lang w:val="sr-Cyrl-RS"/>
        </w:rPr>
        <w:t xml:space="preserve"> </w:t>
      </w:r>
      <w:r w:rsidRPr="00226F9D">
        <w:rPr>
          <w:rFonts w:ascii="Times New Roman" w:hAnsi="Times New Roman" w:cs="Times New Roman"/>
          <w:lang w:val="sr-Latn-RS"/>
        </w:rPr>
        <w:t>a</w:t>
      </w:r>
      <w:r w:rsidRPr="00226F9D">
        <w:rPr>
          <w:rFonts w:ascii="Times New Roman" w:hAnsi="Times New Roman" w:cs="Times New Roman"/>
          <w:lang w:val="sr-Cyrl-RS"/>
        </w:rPr>
        <w:t xml:space="preserve"> радна тела су често пасивна и сведена на формалности.</w:t>
      </w:r>
    </w:p>
    <w:p w14:paraId="6CE3B62D" w14:textId="26F5EF07" w:rsidR="00333682" w:rsidRPr="00226F9D" w:rsidRDefault="006F790A" w:rsidP="008C793E">
      <w:pPr>
        <w:pStyle w:val="ListParagraph"/>
        <w:numPr>
          <w:ilvl w:val="0"/>
          <w:numId w:val="20"/>
        </w:numPr>
        <w:spacing w:after="0" w:line="240" w:lineRule="auto"/>
        <w:jc w:val="both"/>
        <w:rPr>
          <w:rFonts w:ascii="Times New Roman" w:hAnsi="Times New Roman" w:cs="Times New Roman"/>
          <w:lang w:val="sr-Cyrl-RS"/>
        </w:rPr>
      </w:pPr>
      <w:r w:rsidRPr="00226F9D">
        <w:rPr>
          <w:rFonts w:ascii="Times New Roman" w:eastAsia="Times New Roman" w:hAnsi="Times New Roman" w:cs="Times New Roman"/>
          <w:b/>
          <w:bCs/>
          <w:lang w:val="sr-Cyrl-RS"/>
        </w:rPr>
        <w:lastRenderedPageBreak/>
        <w:t>Неуређена типологија организационих облика</w:t>
      </w:r>
      <w:r w:rsidRPr="00226F9D">
        <w:rPr>
          <w:rFonts w:ascii="Times New Roman" w:hAnsi="Times New Roman" w:cs="Times New Roman"/>
          <w:lang w:val="sr-Cyrl-RS"/>
        </w:rPr>
        <w:t xml:space="preserve"> – постоји значајан број </w:t>
      </w:r>
      <w:r w:rsidR="00261838" w:rsidRPr="00226F9D">
        <w:rPr>
          <w:rFonts w:ascii="Times New Roman" w:hAnsi="Times New Roman" w:cs="Times New Roman"/>
          <w:i/>
          <w:iCs/>
          <w:lang w:val="sr-Latn-RS"/>
        </w:rPr>
        <w:t>ad hoc</w:t>
      </w:r>
      <w:r w:rsidRPr="00226F9D">
        <w:rPr>
          <w:rFonts w:ascii="Times New Roman" w:hAnsi="Times New Roman" w:cs="Times New Roman"/>
          <w:lang w:val="sr-Cyrl-RS"/>
        </w:rPr>
        <w:t xml:space="preserve"> формираних агенција, фондова и центара без јасног правног статуса, надлежности и финансијске стабилности.</w:t>
      </w:r>
    </w:p>
    <w:p w14:paraId="76D0C060" w14:textId="4BB72827" w:rsidR="00333682" w:rsidRPr="00226F9D" w:rsidRDefault="006F790A" w:rsidP="008C793E">
      <w:pPr>
        <w:pStyle w:val="ListParagraph"/>
        <w:numPr>
          <w:ilvl w:val="0"/>
          <w:numId w:val="20"/>
        </w:numPr>
        <w:spacing w:after="0" w:line="240" w:lineRule="auto"/>
        <w:jc w:val="both"/>
        <w:rPr>
          <w:rFonts w:ascii="Times New Roman" w:hAnsi="Times New Roman" w:cs="Times New Roman"/>
          <w:lang w:val="sr-Cyrl-RS"/>
        </w:rPr>
      </w:pPr>
      <w:r w:rsidRPr="00226F9D">
        <w:rPr>
          <w:rFonts w:ascii="Times New Roman" w:eastAsia="Times New Roman" w:hAnsi="Times New Roman" w:cs="Times New Roman"/>
          <w:b/>
          <w:bCs/>
          <w:lang w:val="sr-Cyrl-RS"/>
        </w:rPr>
        <w:t>Организациона и кадровска слабост управа</w:t>
      </w:r>
      <w:r w:rsidRPr="00226F9D">
        <w:rPr>
          <w:rFonts w:ascii="Times New Roman" w:hAnsi="Times New Roman" w:cs="Times New Roman"/>
          <w:lang w:val="sr-Cyrl-RS"/>
        </w:rPr>
        <w:t xml:space="preserve"> – иако је успостављен правни оквир за каријерни систем и функцију управљања људским ресурсима, примена је често непотпуна или формална; кадровско планирање и систематизација су недовољно квалитетни. Недовољно добро је уређена унутрашња организација и систематизација и постоји неповољна кадровска структура уз одлив стручних кадрова.</w:t>
      </w:r>
    </w:p>
    <w:p w14:paraId="5EF60C3D" w14:textId="6CCA723B" w:rsidR="00333682" w:rsidRPr="00226F9D" w:rsidRDefault="006F790A" w:rsidP="008C793E">
      <w:pPr>
        <w:pStyle w:val="ListParagraph"/>
        <w:numPr>
          <w:ilvl w:val="0"/>
          <w:numId w:val="20"/>
        </w:numPr>
        <w:spacing w:after="0" w:line="240" w:lineRule="auto"/>
        <w:jc w:val="both"/>
        <w:rPr>
          <w:rFonts w:ascii="Times New Roman" w:hAnsi="Times New Roman" w:cs="Times New Roman"/>
          <w:lang w:val="sr-Cyrl-RS"/>
        </w:rPr>
      </w:pPr>
      <w:r w:rsidRPr="00226F9D">
        <w:rPr>
          <w:rFonts w:ascii="Times New Roman" w:eastAsia="Times New Roman" w:hAnsi="Times New Roman" w:cs="Times New Roman"/>
          <w:b/>
          <w:bCs/>
          <w:lang w:val="sr-Cyrl-RS"/>
        </w:rPr>
        <w:t>Недово</w:t>
      </w:r>
      <w:r w:rsidRPr="00226F9D">
        <w:rPr>
          <w:rFonts w:ascii="Times New Roman" w:hAnsi="Times New Roman" w:cs="Times New Roman"/>
          <w:b/>
          <w:bCs/>
          <w:lang w:val="sr-Cyrl-RS"/>
        </w:rPr>
        <w:t>љ</w:t>
      </w:r>
      <w:r w:rsidRPr="00226F9D">
        <w:rPr>
          <w:rFonts w:ascii="Times New Roman" w:eastAsia="Times New Roman" w:hAnsi="Times New Roman" w:cs="Times New Roman"/>
          <w:b/>
          <w:bCs/>
          <w:lang w:val="sr-Cyrl-RS"/>
        </w:rPr>
        <w:t>но развијено стручно усавршавање</w:t>
      </w:r>
      <w:r w:rsidRPr="00226F9D">
        <w:rPr>
          <w:rFonts w:ascii="Times New Roman" w:hAnsi="Times New Roman" w:cs="Times New Roman"/>
          <w:lang w:val="sr-Cyrl-RS"/>
        </w:rPr>
        <w:t xml:space="preserve"> – планирање обука и утврђивање потреба често изостаје</w:t>
      </w:r>
      <w:r w:rsidR="00D70D1B" w:rsidRPr="00226F9D">
        <w:rPr>
          <w:rFonts w:ascii="Times New Roman" w:hAnsi="Times New Roman" w:cs="Times New Roman"/>
          <w:lang w:val="sr-Latn-RS"/>
        </w:rPr>
        <w:t>,</w:t>
      </w:r>
      <w:r w:rsidRPr="00226F9D">
        <w:rPr>
          <w:rFonts w:ascii="Times New Roman" w:hAnsi="Times New Roman" w:cs="Times New Roman"/>
          <w:lang w:val="sr-Cyrl-RS"/>
        </w:rPr>
        <w:t xml:space="preserve"> а интерни системи за преношење знања нису довољно изграђени</w:t>
      </w:r>
      <w:r w:rsidR="00333682" w:rsidRPr="00226F9D">
        <w:rPr>
          <w:rFonts w:ascii="Times New Roman" w:hAnsi="Times New Roman" w:cs="Times New Roman"/>
          <w:lang w:val="sr-Cyrl-RS"/>
        </w:rPr>
        <w:t>.</w:t>
      </w:r>
    </w:p>
    <w:p w14:paraId="297029A4" w14:textId="30F90991" w:rsidR="006F790A" w:rsidRPr="00226F9D" w:rsidRDefault="006F790A" w:rsidP="008C793E">
      <w:pPr>
        <w:pStyle w:val="ListParagraph"/>
        <w:numPr>
          <w:ilvl w:val="0"/>
          <w:numId w:val="20"/>
        </w:numPr>
        <w:spacing w:after="0" w:line="240" w:lineRule="auto"/>
        <w:jc w:val="both"/>
        <w:rPr>
          <w:rFonts w:ascii="Times New Roman" w:hAnsi="Times New Roman" w:cs="Times New Roman"/>
          <w:lang w:val="sr-Cyrl-RS"/>
        </w:rPr>
      </w:pPr>
      <w:r w:rsidRPr="00226F9D">
        <w:rPr>
          <w:rFonts w:ascii="Times New Roman" w:eastAsia="Times New Roman" w:hAnsi="Times New Roman" w:cs="Times New Roman"/>
          <w:b/>
          <w:bCs/>
          <w:lang w:val="sr-Cyrl-RS"/>
        </w:rPr>
        <w:t>Ограничен систем мерења учинка и компетенција</w:t>
      </w:r>
      <w:r w:rsidRPr="00226F9D">
        <w:rPr>
          <w:rFonts w:ascii="Times New Roman" w:hAnsi="Times New Roman" w:cs="Times New Roman"/>
          <w:b/>
          <w:bCs/>
          <w:lang w:val="sr-Cyrl-RS"/>
        </w:rPr>
        <w:t xml:space="preserve"> и проблеми са мотивацијом запослених</w:t>
      </w:r>
      <w:r w:rsidRPr="00226F9D">
        <w:rPr>
          <w:rFonts w:ascii="Times New Roman" w:hAnsi="Times New Roman" w:cs="Times New Roman"/>
          <w:lang w:val="sr-Cyrl-RS"/>
        </w:rPr>
        <w:t xml:space="preserve"> – оцењивање запослених често се спроводи </w:t>
      </w:r>
      <w:r w:rsidRPr="00226F9D">
        <w:rPr>
          <w:rFonts w:ascii="Times New Roman" w:hAnsi="Times New Roman" w:cs="Times New Roman"/>
          <w:i/>
          <w:iCs/>
        </w:rPr>
        <w:t>pro</w:t>
      </w:r>
      <w:r w:rsidRPr="00226F9D">
        <w:rPr>
          <w:rFonts w:ascii="Times New Roman" w:hAnsi="Times New Roman" w:cs="Times New Roman"/>
          <w:i/>
          <w:iCs/>
          <w:lang w:val="sr-Cyrl-RS"/>
        </w:rPr>
        <w:t xml:space="preserve"> </w:t>
      </w:r>
      <w:r w:rsidRPr="00226F9D">
        <w:rPr>
          <w:rFonts w:ascii="Times New Roman" w:hAnsi="Times New Roman" w:cs="Times New Roman"/>
          <w:i/>
          <w:iCs/>
        </w:rPr>
        <w:t>forma</w:t>
      </w:r>
      <w:r w:rsidRPr="00226F9D">
        <w:rPr>
          <w:rFonts w:ascii="Times New Roman" w:hAnsi="Times New Roman" w:cs="Times New Roman"/>
          <w:lang w:val="sr-Cyrl-RS"/>
        </w:rPr>
        <w:t xml:space="preserve">, </w:t>
      </w:r>
      <w:r w:rsidR="00D70D1B" w:rsidRPr="00226F9D">
        <w:rPr>
          <w:rFonts w:ascii="Times New Roman" w:hAnsi="Times New Roman" w:cs="Times New Roman"/>
          <w:lang w:val="sr-Cyrl-RS"/>
        </w:rPr>
        <w:t>оквир компетенција</w:t>
      </w:r>
      <w:r w:rsidRPr="00226F9D">
        <w:rPr>
          <w:rFonts w:ascii="Times New Roman" w:hAnsi="Times New Roman" w:cs="Times New Roman"/>
          <w:lang w:val="sr-Cyrl-RS"/>
        </w:rPr>
        <w:t xml:space="preserve"> још није у пуној примени на локалном нивоу, што слаби оријентацију ка резултатима и развоју каријере</w:t>
      </w:r>
      <w:r w:rsidR="00217DD5" w:rsidRPr="00226F9D">
        <w:rPr>
          <w:rFonts w:ascii="Times New Roman" w:hAnsi="Times New Roman" w:cs="Times New Roman"/>
          <w:lang w:val="sr-Cyrl-RS"/>
        </w:rPr>
        <w:t>, док</w:t>
      </w:r>
      <w:r w:rsidRPr="00226F9D">
        <w:rPr>
          <w:rFonts w:ascii="Times New Roman" w:hAnsi="Times New Roman" w:cs="Times New Roman"/>
          <w:lang w:val="sr-Cyrl-RS"/>
        </w:rPr>
        <w:t xml:space="preserve"> одлагање примене система платних разреда, ниске зараде и непостојање јасног система награђивања и напредовања, демотивише запослене. </w:t>
      </w:r>
    </w:p>
    <w:p w14:paraId="4EFA2FE0" w14:textId="77777777" w:rsidR="006F790A" w:rsidRPr="00226F9D" w:rsidRDefault="006F790A" w:rsidP="00090884">
      <w:pPr>
        <w:spacing w:after="0" w:line="240" w:lineRule="auto"/>
        <w:jc w:val="both"/>
        <w:rPr>
          <w:rFonts w:ascii="Times New Roman" w:hAnsi="Times New Roman" w:cs="Times New Roman"/>
          <w:lang w:val="sr-Cyrl-RS"/>
        </w:rPr>
      </w:pPr>
    </w:p>
    <w:p w14:paraId="59F0E313" w14:textId="5B2BE294" w:rsidR="00896CBD" w:rsidRPr="00226F9D" w:rsidRDefault="006F790A"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Имајући у виду истакнуте изазове у систему локалне самоуправе, приоритет Програма за реформу система локалне самоуправе у периоду 2021 – 2025 биле су организационе промене у начину управљања локалним пословима кроз функционално редефинисање послова локалне самоуправе, успостављање јасне и доследне типологије организационих облика (органа, установа, предузећа и организација) преко којих се управља пословима локалне самоуправе, интензивирање развоја међуопштинске сарадње у спровођењу послова локалне самоуправе као одговора на недостатак капацитета и даљи развој система за управљање људским ресурсима у локалној управи.</w:t>
      </w:r>
    </w:p>
    <w:p w14:paraId="4A08BF13" w14:textId="77777777" w:rsidR="006F790A" w:rsidRPr="00226F9D" w:rsidRDefault="006F790A" w:rsidP="006B59F4">
      <w:pPr>
        <w:spacing w:after="0" w:line="240" w:lineRule="auto"/>
        <w:jc w:val="both"/>
        <w:rPr>
          <w:rFonts w:ascii="Times New Roman" w:eastAsia="Calibri" w:hAnsi="Times New Roman" w:cs="Times New Roman"/>
          <w:sz w:val="22"/>
          <w:szCs w:val="22"/>
          <w:lang w:val="sr-Cyrl-RS"/>
        </w:rPr>
      </w:pPr>
    </w:p>
    <w:p w14:paraId="29EBEF9E" w14:textId="57F12CCB" w:rsidR="008C793E" w:rsidRPr="00226F9D" w:rsidRDefault="006F790A" w:rsidP="00090884">
      <w:pPr>
        <w:spacing w:after="0" w:line="240" w:lineRule="auto"/>
        <w:jc w:val="both"/>
        <w:rPr>
          <w:rFonts w:ascii="Times New Roman" w:hAnsi="Times New Roman" w:cs="Times New Roman"/>
          <w:lang w:val="sr-Latn-RS"/>
        </w:rPr>
      </w:pPr>
      <w:r w:rsidRPr="00226F9D">
        <w:rPr>
          <w:rFonts w:ascii="Times New Roman" w:hAnsi="Times New Roman" w:cs="Times New Roman"/>
          <w:lang w:val="sr-Cyrl-RS"/>
        </w:rPr>
        <w:t xml:space="preserve">Током периода спровођења овог Програма, остварене су бројне активности али нису остварене и све планиране вредности показатеља за Посебни циљ 3. </w:t>
      </w:r>
    </w:p>
    <w:p w14:paraId="4967FDC3" w14:textId="77777777" w:rsidR="008C793E" w:rsidRPr="00226F9D" w:rsidRDefault="008C793E" w:rsidP="00090884">
      <w:pPr>
        <w:spacing w:after="0" w:line="240" w:lineRule="auto"/>
        <w:jc w:val="both"/>
        <w:rPr>
          <w:rFonts w:ascii="Times New Roman" w:hAnsi="Times New Roman" w:cs="Times New Roman"/>
          <w:lang w:val="sr-Latn-RS"/>
        </w:rPr>
      </w:pPr>
    </w:p>
    <w:p w14:paraId="3CE70721" w14:textId="5BD8E0DE" w:rsidR="006F790A" w:rsidRPr="00226F9D" w:rsidRDefault="006F790A" w:rsidP="00090884">
      <w:pPr>
        <w:spacing w:after="0" w:line="240" w:lineRule="auto"/>
        <w:jc w:val="both"/>
        <w:rPr>
          <w:rFonts w:ascii="Times New Roman" w:hAnsi="Times New Roman" w:cs="Times New Roman"/>
          <w:i/>
          <w:iCs/>
          <w:lang w:val="sr-Cyrl-RS"/>
        </w:rPr>
      </w:pPr>
      <w:r w:rsidRPr="00226F9D">
        <w:rPr>
          <w:rFonts w:ascii="Times New Roman" w:hAnsi="Times New Roman" w:cs="Times New Roman"/>
          <w:b/>
          <w:bCs/>
          <w:i/>
          <w:iCs/>
          <w:lang w:val="sr-Cyrl-RS"/>
        </w:rPr>
        <w:t>Табела 3:</w:t>
      </w:r>
      <w:r w:rsidRPr="00226F9D">
        <w:rPr>
          <w:rFonts w:ascii="Times New Roman" w:hAnsi="Times New Roman" w:cs="Times New Roman"/>
          <w:i/>
          <w:iCs/>
          <w:lang w:val="sr-Cyrl-RS"/>
        </w:rPr>
        <w:t xml:space="preserve"> Приказ остварења показатеља на нивоу Посебног циља 3:</w:t>
      </w:r>
    </w:p>
    <w:p w14:paraId="06095FBF" w14:textId="77777777" w:rsidR="006F790A" w:rsidRPr="00226F9D" w:rsidRDefault="006F790A" w:rsidP="00090884">
      <w:pPr>
        <w:spacing w:after="0" w:line="240" w:lineRule="auto"/>
        <w:jc w:val="both"/>
        <w:rPr>
          <w:rFonts w:ascii="Times New Roman" w:hAnsi="Times New Roman" w:cs="Times New Roman"/>
          <w:sz w:val="22"/>
          <w:szCs w:val="22"/>
          <w:lang w:val="sr-Cyrl-RS"/>
        </w:rPr>
      </w:pPr>
    </w:p>
    <w:tbl>
      <w:tblPr>
        <w:tblW w:w="5000" w:type="pct"/>
        <w:tblLayout w:type="fixed"/>
        <w:tblLook w:val="04A0" w:firstRow="1" w:lastRow="0" w:firstColumn="1" w:lastColumn="0" w:noHBand="0" w:noVBand="1"/>
      </w:tblPr>
      <w:tblGrid>
        <w:gridCol w:w="5539"/>
        <w:gridCol w:w="1312"/>
        <w:gridCol w:w="1312"/>
        <w:gridCol w:w="1459"/>
      </w:tblGrid>
      <w:tr w:rsidR="006F790A" w:rsidRPr="00226F9D" w14:paraId="4F662123" w14:textId="77777777" w:rsidTr="0E5AB833">
        <w:trPr>
          <w:trHeight w:val="688"/>
        </w:trPr>
        <w:tc>
          <w:tcPr>
            <w:tcW w:w="287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AAE54D" w14:textId="77777777" w:rsidR="006F790A" w:rsidRPr="00226F9D" w:rsidRDefault="006F790A" w:rsidP="00232B8B">
            <w:pPr>
              <w:spacing w:after="0" w:line="240" w:lineRule="auto"/>
              <w:rPr>
                <w:rFonts w:ascii="Times New Roman" w:hAnsi="Times New Roman" w:cs="Times New Roman"/>
                <w:b/>
                <w:sz w:val="20"/>
                <w:szCs w:val="20"/>
                <w:lang w:val="sr-Cyrl-RS"/>
              </w:rPr>
            </w:pPr>
            <w:r w:rsidRPr="00226F9D">
              <w:rPr>
                <w:rFonts w:ascii="Times New Roman" w:hAnsi="Times New Roman" w:cs="Times New Roman"/>
                <w:b/>
                <w:sz w:val="20"/>
                <w:szCs w:val="20"/>
                <w:lang w:val="sr-Cyrl-RS"/>
              </w:rPr>
              <w:t>Показатељ(и) на нивоу посебног циља (показатељ исхода)</w:t>
            </w:r>
          </w:p>
        </w:tc>
        <w:tc>
          <w:tcPr>
            <w:tcW w:w="68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2B7651" w14:textId="77777777" w:rsidR="006F790A" w:rsidRPr="00226F9D" w:rsidRDefault="006F790A" w:rsidP="00232B8B">
            <w:pPr>
              <w:spacing w:after="0" w:line="240" w:lineRule="auto"/>
              <w:rPr>
                <w:rFonts w:ascii="Times New Roman" w:hAnsi="Times New Roman" w:cs="Times New Roman"/>
                <w:b/>
                <w:sz w:val="20"/>
                <w:szCs w:val="20"/>
                <w:lang w:val="sr-Cyrl-RS"/>
              </w:rPr>
            </w:pPr>
            <w:r w:rsidRPr="00226F9D">
              <w:rPr>
                <w:rFonts w:ascii="Times New Roman" w:hAnsi="Times New Roman" w:cs="Times New Roman"/>
                <w:b/>
                <w:sz w:val="20"/>
                <w:szCs w:val="20"/>
                <w:lang w:val="sr-Cyrl-RS"/>
              </w:rPr>
              <w:t xml:space="preserve">Почетна вредност </w:t>
            </w:r>
          </w:p>
        </w:tc>
        <w:tc>
          <w:tcPr>
            <w:tcW w:w="68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66D5DF" w14:textId="77777777" w:rsidR="006F790A" w:rsidRPr="00226F9D" w:rsidRDefault="006F790A" w:rsidP="00232B8B">
            <w:pPr>
              <w:spacing w:after="0" w:line="240" w:lineRule="auto"/>
              <w:rPr>
                <w:rFonts w:ascii="Times New Roman" w:hAnsi="Times New Roman" w:cs="Times New Roman"/>
                <w:b/>
                <w:sz w:val="20"/>
                <w:szCs w:val="20"/>
                <w:lang w:val="sr-Cyrl-RS"/>
              </w:rPr>
            </w:pPr>
            <w:r w:rsidRPr="00226F9D">
              <w:rPr>
                <w:rFonts w:ascii="Times New Roman" w:hAnsi="Times New Roman" w:cs="Times New Roman"/>
                <w:b/>
                <w:sz w:val="20"/>
                <w:szCs w:val="20"/>
                <w:lang w:val="sr-Cyrl-RS"/>
              </w:rPr>
              <w:t>Планирана вредност</w:t>
            </w:r>
          </w:p>
        </w:tc>
        <w:tc>
          <w:tcPr>
            <w:tcW w:w="75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279AB1" w14:textId="77777777" w:rsidR="006F790A" w:rsidRPr="00226F9D" w:rsidRDefault="006F790A" w:rsidP="00232B8B">
            <w:pPr>
              <w:spacing w:after="0" w:line="240" w:lineRule="auto"/>
              <w:rPr>
                <w:rFonts w:ascii="Times New Roman" w:hAnsi="Times New Roman" w:cs="Times New Roman"/>
                <w:b/>
                <w:sz w:val="20"/>
                <w:szCs w:val="20"/>
                <w:lang w:val="sr-Cyrl-RS"/>
              </w:rPr>
            </w:pPr>
            <w:r w:rsidRPr="00226F9D">
              <w:rPr>
                <w:rFonts w:ascii="Times New Roman" w:hAnsi="Times New Roman" w:cs="Times New Roman"/>
                <w:b/>
                <w:sz w:val="20"/>
                <w:szCs w:val="20"/>
                <w:lang w:val="sr-Cyrl-RS"/>
              </w:rPr>
              <w:t>Остварена вредност</w:t>
            </w:r>
          </w:p>
        </w:tc>
      </w:tr>
      <w:tr w:rsidR="006F790A" w:rsidRPr="00226F9D" w14:paraId="06A74344" w14:textId="77777777" w:rsidTr="0E5AB833">
        <w:trPr>
          <w:trHeight w:val="571"/>
        </w:trPr>
        <w:tc>
          <w:tcPr>
            <w:tcW w:w="2878" w:type="pct"/>
            <w:tcBorders>
              <w:top w:val="single" w:sz="4" w:space="0" w:color="auto"/>
              <w:left w:val="single" w:sz="4" w:space="0" w:color="auto"/>
              <w:bottom w:val="single" w:sz="4" w:space="0" w:color="auto"/>
              <w:right w:val="single" w:sz="4" w:space="0" w:color="auto"/>
            </w:tcBorders>
            <w:noWrap/>
            <w:vAlign w:val="center"/>
            <w:hideMark/>
          </w:tcPr>
          <w:p w14:paraId="1C121555" w14:textId="77777777" w:rsidR="006F790A" w:rsidRPr="00226F9D" w:rsidRDefault="006F790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Капацитет ЈЛС за управљање људским ресурсима у локалној управи</w:t>
            </w:r>
          </w:p>
        </w:tc>
        <w:tc>
          <w:tcPr>
            <w:tcW w:w="682" w:type="pct"/>
            <w:tcBorders>
              <w:top w:val="nil"/>
              <w:left w:val="nil"/>
              <w:bottom w:val="single" w:sz="4" w:space="0" w:color="auto"/>
              <w:right w:val="single" w:sz="4" w:space="0" w:color="auto"/>
            </w:tcBorders>
            <w:shd w:val="clear" w:color="auto" w:fill="FFFFFF" w:themeFill="background1"/>
            <w:vAlign w:val="center"/>
            <w:hideMark/>
          </w:tcPr>
          <w:p w14:paraId="5DF9E800" w14:textId="77777777" w:rsidR="00EB10E8" w:rsidRPr="00226F9D" w:rsidRDefault="006F790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51%</w:t>
            </w:r>
          </w:p>
          <w:p w14:paraId="7CC91AA4" w14:textId="57150F54" w:rsidR="006F790A" w:rsidRPr="00226F9D" w:rsidRDefault="00281C69"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w:t>
            </w:r>
            <w:r w:rsidR="005A5E7C" w:rsidRPr="00226F9D">
              <w:rPr>
                <w:rFonts w:ascii="Times New Roman" w:hAnsi="Times New Roman" w:cs="Times New Roman"/>
                <w:sz w:val="20"/>
                <w:szCs w:val="20"/>
                <w:lang w:val="sr-Latn-RS"/>
              </w:rPr>
              <w:t>0)</w:t>
            </w:r>
          </w:p>
        </w:tc>
        <w:tc>
          <w:tcPr>
            <w:tcW w:w="682" w:type="pct"/>
            <w:tcBorders>
              <w:top w:val="nil"/>
              <w:left w:val="nil"/>
              <w:bottom w:val="single" w:sz="4" w:space="0" w:color="auto"/>
              <w:right w:val="single" w:sz="4" w:space="0" w:color="auto"/>
            </w:tcBorders>
            <w:vAlign w:val="center"/>
            <w:hideMark/>
          </w:tcPr>
          <w:p w14:paraId="38D4E38C" w14:textId="77777777" w:rsidR="00EB10E8" w:rsidRPr="00226F9D" w:rsidRDefault="006F790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68%</w:t>
            </w:r>
          </w:p>
          <w:p w14:paraId="4A1011B2" w14:textId="574623B6" w:rsidR="006F790A" w:rsidRPr="00226F9D" w:rsidRDefault="005A5E7C"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(2025)</w:t>
            </w:r>
          </w:p>
        </w:tc>
        <w:tc>
          <w:tcPr>
            <w:tcW w:w="758" w:type="pct"/>
            <w:tcBorders>
              <w:top w:val="nil"/>
              <w:left w:val="nil"/>
              <w:bottom w:val="single" w:sz="4" w:space="0" w:color="auto"/>
              <w:right w:val="single" w:sz="4" w:space="0" w:color="auto"/>
            </w:tcBorders>
            <w:shd w:val="clear" w:color="auto" w:fill="FFFFFF" w:themeFill="background1"/>
            <w:vAlign w:val="center"/>
            <w:hideMark/>
          </w:tcPr>
          <w:p w14:paraId="1FA4B1DF" w14:textId="2C6ADDBC" w:rsidR="00EB10E8" w:rsidRPr="00226F9D" w:rsidRDefault="006F790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5</w:t>
            </w:r>
            <w:r w:rsidR="00A16BCC" w:rsidRPr="00226F9D">
              <w:rPr>
                <w:rFonts w:ascii="Times New Roman" w:hAnsi="Times New Roman" w:cs="Times New Roman"/>
                <w:sz w:val="20"/>
                <w:szCs w:val="20"/>
                <w:lang w:val="sr-Cyrl-RS"/>
              </w:rPr>
              <w:t>6</w:t>
            </w:r>
            <w:r w:rsidRPr="00226F9D">
              <w:rPr>
                <w:rFonts w:ascii="Times New Roman" w:hAnsi="Times New Roman" w:cs="Times New Roman"/>
                <w:sz w:val="20"/>
                <w:szCs w:val="20"/>
                <w:lang w:val="sr-Cyrl-RS"/>
              </w:rPr>
              <w:t>.</w:t>
            </w:r>
            <w:r w:rsidR="00A16BCC" w:rsidRPr="00226F9D">
              <w:rPr>
                <w:rFonts w:ascii="Times New Roman" w:hAnsi="Times New Roman" w:cs="Times New Roman"/>
                <w:sz w:val="20"/>
                <w:szCs w:val="20"/>
                <w:lang w:val="sr-Cyrl-RS"/>
              </w:rPr>
              <w:t>7</w:t>
            </w:r>
            <w:r w:rsidRPr="00226F9D">
              <w:rPr>
                <w:rFonts w:ascii="Times New Roman" w:hAnsi="Times New Roman" w:cs="Times New Roman"/>
                <w:sz w:val="20"/>
                <w:szCs w:val="20"/>
                <w:lang w:val="sr-Cyrl-RS"/>
              </w:rPr>
              <w:t>%</w:t>
            </w:r>
          </w:p>
          <w:p w14:paraId="6583A6EA" w14:textId="2A37986A" w:rsidR="006F790A" w:rsidRPr="00226F9D" w:rsidRDefault="5C7996E4"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w:t>
            </w:r>
            <w:r w:rsidR="17896816" w:rsidRPr="00226F9D">
              <w:rPr>
                <w:rFonts w:ascii="Times New Roman" w:hAnsi="Times New Roman" w:cs="Times New Roman"/>
                <w:sz w:val="20"/>
                <w:szCs w:val="20"/>
                <w:lang w:val="sr-Cyrl-RS"/>
              </w:rPr>
              <w:t>5</w:t>
            </w:r>
            <w:r w:rsidRPr="00226F9D">
              <w:rPr>
                <w:rFonts w:ascii="Times New Roman" w:hAnsi="Times New Roman" w:cs="Times New Roman"/>
                <w:sz w:val="20"/>
                <w:szCs w:val="20"/>
                <w:lang w:val="sr-Latn-RS"/>
              </w:rPr>
              <w:t>)</w:t>
            </w:r>
          </w:p>
        </w:tc>
      </w:tr>
      <w:tr w:rsidR="006F790A" w:rsidRPr="00226F9D" w14:paraId="5FEF460B" w14:textId="77777777" w:rsidTr="0E5AB833">
        <w:trPr>
          <w:trHeight w:val="551"/>
        </w:trPr>
        <w:tc>
          <w:tcPr>
            <w:tcW w:w="2878" w:type="pct"/>
            <w:tcBorders>
              <w:top w:val="single" w:sz="4" w:space="0" w:color="auto"/>
              <w:left w:val="single" w:sz="4" w:space="0" w:color="auto"/>
              <w:bottom w:val="single" w:sz="4" w:space="0" w:color="auto"/>
              <w:right w:val="single" w:sz="4" w:space="0" w:color="auto"/>
            </w:tcBorders>
            <w:vAlign w:val="center"/>
            <w:hideMark/>
          </w:tcPr>
          <w:p w14:paraId="59CC3C87" w14:textId="77777777" w:rsidR="006F790A" w:rsidRPr="00226F9D" w:rsidRDefault="006F790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Удео ЈЛС који је успоставио међуопштинску сарадњу у укупном броју ЈЛС</w:t>
            </w:r>
          </w:p>
        </w:tc>
        <w:tc>
          <w:tcPr>
            <w:tcW w:w="682" w:type="pct"/>
            <w:tcBorders>
              <w:top w:val="nil"/>
              <w:left w:val="nil"/>
              <w:bottom w:val="single" w:sz="4" w:space="0" w:color="auto"/>
              <w:right w:val="single" w:sz="4" w:space="0" w:color="auto"/>
            </w:tcBorders>
            <w:shd w:val="clear" w:color="auto" w:fill="FFFFFF" w:themeFill="background1"/>
            <w:vAlign w:val="center"/>
            <w:hideMark/>
          </w:tcPr>
          <w:p w14:paraId="5341B5B5" w14:textId="77777777" w:rsidR="00EB10E8" w:rsidRPr="00226F9D" w:rsidRDefault="006F790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27%</w:t>
            </w:r>
          </w:p>
          <w:p w14:paraId="0B3AE30F" w14:textId="0C487874" w:rsidR="006F790A" w:rsidRPr="00226F9D" w:rsidRDefault="005A5E7C"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(2020)</w:t>
            </w:r>
          </w:p>
        </w:tc>
        <w:tc>
          <w:tcPr>
            <w:tcW w:w="682" w:type="pct"/>
            <w:tcBorders>
              <w:top w:val="nil"/>
              <w:left w:val="nil"/>
              <w:bottom w:val="single" w:sz="4" w:space="0" w:color="auto"/>
              <w:right w:val="single" w:sz="4" w:space="0" w:color="auto"/>
            </w:tcBorders>
            <w:vAlign w:val="center"/>
            <w:hideMark/>
          </w:tcPr>
          <w:p w14:paraId="562A301E" w14:textId="77777777" w:rsidR="00EB10E8" w:rsidRPr="00226F9D" w:rsidRDefault="006F790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43%</w:t>
            </w:r>
          </w:p>
          <w:p w14:paraId="6D256C05" w14:textId="1AE4CA1B" w:rsidR="006F790A" w:rsidRPr="00226F9D" w:rsidRDefault="005A5E7C"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(2025)</w:t>
            </w:r>
          </w:p>
        </w:tc>
        <w:tc>
          <w:tcPr>
            <w:tcW w:w="758" w:type="pct"/>
            <w:tcBorders>
              <w:top w:val="nil"/>
              <w:left w:val="nil"/>
              <w:bottom w:val="single" w:sz="4" w:space="0" w:color="auto"/>
              <w:right w:val="single" w:sz="4" w:space="0" w:color="auto"/>
            </w:tcBorders>
            <w:shd w:val="clear" w:color="auto" w:fill="FFFFFF" w:themeFill="background1"/>
            <w:vAlign w:val="center"/>
            <w:hideMark/>
          </w:tcPr>
          <w:p w14:paraId="54FE846E" w14:textId="31DEE656" w:rsidR="00232B8B" w:rsidRPr="00226F9D" w:rsidRDefault="006F790A"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6</w:t>
            </w:r>
            <w:r w:rsidR="007F56FB" w:rsidRPr="00226F9D">
              <w:rPr>
                <w:rFonts w:ascii="Times New Roman" w:hAnsi="Times New Roman" w:cs="Times New Roman"/>
                <w:sz w:val="20"/>
                <w:szCs w:val="20"/>
                <w:lang w:val="sr-Cyrl-RS"/>
              </w:rPr>
              <w:t>2</w:t>
            </w:r>
            <w:r w:rsidRPr="00226F9D">
              <w:rPr>
                <w:rFonts w:ascii="Times New Roman" w:hAnsi="Times New Roman" w:cs="Times New Roman"/>
                <w:sz w:val="20"/>
                <w:szCs w:val="20"/>
                <w:lang w:val="sr-Cyrl-RS"/>
              </w:rPr>
              <w:t>%</w:t>
            </w:r>
            <w:r w:rsidR="006A1D41" w:rsidRPr="00226F9D">
              <w:rPr>
                <w:rFonts w:ascii="Times New Roman" w:hAnsi="Times New Roman" w:cs="Times New Roman"/>
                <w:sz w:val="20"/>
                <w:szCs w:val="20"/>
                <w:lang w:val="sr-Cyrl-RS"/>
              </w:rPr>
              <w:t xml:space="preserve"> </w:t>
            </w:r>
          </w:p>
          <w:p w14:paraId="4FADF726" w14:textId="4F374430" w:rsidR="006F790A" w:rsidRPr="00226F9D" w:rsidRDefault="005A5E7C"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w:t>
            </w:r>
            <w:r w:rsidR="007F56FB" w:rsidRPr="00226F9D">
              <w:rPr>
                <w:rFonts w:ascii="Times New Roman" w:hAnsi="Times New Roman" w:cs="Times New Roman"/>
                <w:sz w:val="20"/>
                <w:szCs w:val="20"/>
                <w:lang w:val="sr-Cyrl-RS"/>
              </w:rPr>
              <w:t>5</w:t>
            </w:r>
            <w:r w:rsidRPr="00226F9D">
              <w:rPr>
                <w:rFonts w:ascii="Times New Roman" w:hAnsi="Times New Roman" w:cs="Times New Roman"/>
                <w:sz w:val="20"/>
                <w:szCs w:val="20"/>
                <w:lang w:val="sr-Latn-RS"/>
              </w:rPr>
              <w:t>)</w:t>
            </w:r>
          </w:p>
        </w:tc>
      </w:tr>
    </w:tbl>
    <w:p w14:paraId="795EFAA5" w14:textId="77777777" w:rsidR="006F790A" w:rsidRPr="00226F9D" w:rsidRDefault="006F790A" w:rsidP="006B59F4">
      <w:pPr>
        <w:spacing w:after="0" w:line="240" w:lineRule="auto"/>
        <w:jc w:val="both"/>
        <w:rPr>
          <w:rFonts w:ascii="Times New Roman" w:eastAsia="Calibri" w:hAnsi="Times New Roman" w:cs="Times New Roman"/>
          <w:sz w:val="22"/>
          <w:szCs w:val="22"/>
          <w:lang w:val="sr-Cyrl-RS"/>
        </w:rPr>
      </w:pPr>
    </w:p>
    <w:p w14:paraId="2D96BA41" w14:textId="76115BFE" w:rsidR="00D62206" w:rsidRPr="00226F9D" w:rsidRDefault="074B82FA" w:rsidP="0E5AB833">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Уде</w:t>
      </w:r>
      <w:r w:rsidR="5019E7E8" w:rsidRPr="00226F9D">
        <w:rPr>
          <w:rFonts w:ascii="Times New Roman" w:eastAsia="Calibri" w:hAnsi="Times New Roman" w:cs="Times New Roman"/>
          <w:lang w:val="sr-Cyrl-RS"/>
        </w:rPr>
        <w:t>о</w:t>
      </w:r>
      <w:r w:rsidRPr="00226F9D">
        <w:rPr>
          <w:rFonts w:ascii="Times New Roman" w:eastAsia="Calibri" w:hAnsi="Times New Roman" w:cs="Times New Roman"/>
          <w:lang w:val="sr-Cyrl-RS"/>
        </w:rPr>
        <w:t xml:space="preserve"> ЈЛС кој</w:t>
      </w:r>
      <w:r w:rsidR="7B87AC4D" w:rsidRPr="00226F9D">
        <w:rPr>
          <w:rFonts w:ascii="Times New Roman" w:eastAsia="Calibri" w:hAnsi="Times New Roman" w:cs="Times New Roman"/>
          <w:lang w:val="sr-Cyrl-RS"/>
        </w:rPr>
        <w:t>е</w:t>
      </w:r>
      <w:r w:rsidRPr="00226F9D">
        <w:rPr>
          <w:rFonts w:ascii="Times New Roman" w:eastAsia="Calibri" w:hAnsi="Times New Roman" w:cs="Times New Roman"/>
          <w:lang w:val="sr-Cyrl-RS"/>
        </w:rPr>
        <w:t xml:space="preserve"> </w:t>
      </w:r>
      <w:r w:rsidR="7B87AC4D" w:rsidRPr="00226F9D">
        <w:rPr>
          <w:rFonts w:ascii="Times New Roman" w:eastAsia="Calibri" w:hAnsi="Times New Roman" w:cs="Times New Roman"/>
          <w:lang w:val="sr-Cyrl-RS"/>
        </w:rPr>
        <w:t>су</w:t>
      </w:r>
      <w:r w:rsidRPr="00226F9D">
        <w:rPr>
          <w:rFonts w:ascii="Times New Roman" w:eastAsia="Calibri" w:hAnsi="Times New Roman" w:cs="Times New Roman"/>
          <w:lang w:val="sr-Cyrl-RS"/>
        </w:rPr>
        <w:t xml:space="preserve"> успостави</w:t>
      </w:r>
      <w:r w:rsidR="7B87AC4D" w:rsidRPr="00226F9D">
        <w:rPr>
          <w:rFonts w:ascii="Times New Roman" w:eastAsia="Calibri" w:hAnsi="Times New Roman" w:cs="Times New Roman"/>
          <w:lang w:val="sr-Cyrl-RS"/>
        </w:rPr>
        <w:t>ле</w:t>
      </w:r>
      <w:r w:rsidRPr="00226F9D">
        <w:rPr>
          <w:rFonts w:ascii="Times New Roman" w:eastAsia="Calibri" w:hAnsi="Times New Roman" w:cs="Times New Roman"/>
          <w:lang w:val="sr-Cyrl-RS"/>
        </w:rPr>
        <w:t xml:space="preserve"> међуопштинску сарадњу у укупном броју ЈЛС значајно надмашу</w:t>
      </w:r>
      <w:r w:rsidR="7B87AC4D" w:rsidRPr="00226F9D">
        <w:rPr>
          <w:rFonts w:ascii="Times New Roman" w:eastAsia="Calibri" w:hAnsi="Times New Roman" w:cs="Times New Roman"/>
          <w:lang w:val="sr-Cyrl-RS"/>
        </w:rPr>
        <w:t>је</w:t>
      </w:r>
      <w:r w:rsidRPr="00226F9D">
        <w:rPr>
          <w:rFonts w:ascii="Times New Roman" w:eastAsia="Calibri" w:hAnsi="Times New Roman" w:cs="Times New Roman"/>
          <w:lang w:val="sr-Cyrl-RS"/>
        </w:rPr>
        <w:t xml:space="preserve"> циљн</w:t>
      </w:r>
      <w:r w:rsidR="454BDD8D" w:rsidRPr="00226F9D">
        <w:rPr>
          <w:rFonts w:ascii="Times New Roman" w:eastAsia="Calibri" w:hAnsi="Times New Roman" w:cs="Times New Roman"/>
          <w:lang w:val="sr-Cyrl-RS"/>
        </w:rPr>
        <w:t>у</w:t>
      </w:r>
      <w:r w:rsidRPr="00226F9D">
        <w:rPr>
          <w:rFonts w:ascii="Times New Roman" w:eastAsia="Calibri" w:hAnsi="Times New Roman" w:cs="Times New Roman"/>
          <w:lang w:val="sr-Cyrl-RS"/>
        </w:rPr>
        <w:t xml:space="preserve"> вредност. </w:t>
      </w:r>
      <w:r w:rsidR="35C86029" w:rsidRPr="00226F9D">
        <w:rPr>
          <w:rFonts w:ascii="Times New Roman" w:eastAsia="Calibri" w:hAnsi="Times New Roman" w:cs="Times New Roman"/>
          <w:lang w:val="sr-Cyrl-RS"/>
        </w:rPr>
        <w:t xml:space="preserve">Када је реч о показатељу </w:t>
      </w:r>
      <w:r w:rsidRPr="00226F9D">
        <w:rPr>
          <w:rFonts w:ascii="Times New Roman" w:eastAsia="Calibri" w:hAnsi="Times New Roman" w:cs="Times New Roman"/>
          <w:lang w:val="sr-Cyrl-RS"/>
        </w:rPr>
        <w:t xml:space="preserve">за капацитет ЈЛС за управљање људским ресурсима, треба имати у виду да </w:t>
      </w:r>
      <w:r w:rsidR="7208C703" w:rsidRPr="00226F9D">
        <w:rPr>
          <w:rFonts w:ascii="Times New Roman" w:eastAsia="Calibri" w:hAnsi="Times New Roman" w:cs="Times New Roman"/>
          <w:lang w:val="sr-Cyrl-RS"/>
        </w:rPr>
        <w:t>п</w:t>
      </w:r>
      <w:r w:rsidR="01008195" w:rsidRPr="00226F9D">
        <w:rPr>
          <w:rFonts w:ascii="Times New Roman" w:eastAsia="Calibri" w:hAnsi="Times New Roman" w:cs="Times New Roman"/>
          <w:lang w:val="sr-Cyrl-RS"/>
        </w:rPr>
        <w:t>р</w:t>
      </w:r>
      <w:r w:rsidR="7208C703" w:rsidRPr="00226F9D">
        <w:rPr>
          <w:rFonts w:ascii="Times New Roman" w:eastAsia="Calibri" w:hAnsi="Times New Roman" w:cs="Times New Roman"/>
          <w:lang w:val="sr-Cyrl-RS"/>
        </w:rPr>
        <w:t xml:space="preserve">етходна </w:t>
      </w:r>
      <w:r w:rsidRPr="00226F9D">
        <w:rPr>
          <w:rFonts w:ascii="Times New Roman" w:eastAsia="Calibri" w:hAnsi="Times New Roman" w:cs="Times New Roman"/>
          <w:lang w:val="sr-Cyrl-RS"/>
        </w:rPr>
        <w:t>мерењ</w:t>
      </w:r>
      <w:r w:rsidR="7208C703" w:rsidRPr="00226F9D">
        <w:rPr>
          <w:rFonts w:ascii="Times New Roman" w:eastAsia="Calibri" w:hAnsi="Times New Roman" w:cs="Times New Roman"/>
          <w:lang w:val="sr-Cyrl-RS"/>
        </w:rPr>
        <w:t>а</w:t>
      </w:r>
      <w:r w:rsidRPr="00226F9D">
        <w:rPr>
          <w:rFonts w:ascii="Times New Roman" w:eastAsia="Calibri" w:hAnsi="Times New Roman" w:cs="Times New Roman"/>
          <w:lang w:val="sr-Cyrl-RS"/>
        </w:rPr>
        <w:t xml:space="preserve"> </w:t>
      </w:r>
      <w:r w:rsidR="48A024BF" w:rsidRPr="00226F9D">
        <w:rPr>
          <w:rFonts w:ascii="Times New Roman" w:eastAsia="Calibri" w:hAnsi="Times New Roman" w:cs="Times New Roman"/>
          <w:lang w:val="sr-Cyrl-RS"/>
        </w:rPr>
        <w:t xml:space="preserve">о којима је извештавано </w:t>
      </w:r>
      <w:r w:rsidR="2B34EF83" w:rsidRPr="00226F9D">
        <w:rPr>
          <w:rFonts w:ascii="Times New Roman" w:eastAsia="Calibri" w:hAnsi="Times New Roman" w:cs="Times New Roman"/>
          <w:lang w:val="sr-Cyrl-RS"/>
        </w:rPr>
        <w:t>закључ</w:t>
      </w:r>
      <w:r w:rsidRPr="00226F9D">
        <w:rPr>
          <w:rFonts w:ascii="Times New Roman" w:eastAsia="Calibri" w:hAnsi="Times New Roman" w:cs="Times New Roman"/>
          <w:lang w:val="sr-Cyrl-RS"/>
        </w:rPr>
        <w:t xml:space="preserve">но </w:t>
      </w:r>
      <w:r w:rsidR="2B34EF83" w:rsidRPr="00226F9D">
        <w:rPr>
          <w:rFonts w:ascii="Times New Roman" w:eastAsia="Calibri" w:hAnsi="Times New Roman" w:cs="Times New Roman"/>
          <w:lang w:val="sr-Cyrl-RS"/>
        </w:rPr>
        <w:t>са</w:t>
      </w:r>
      <w:r w:rsidRPr="00226F9D">
        <w:rPr>
          <w:rFonts w:ascii="Times New Roman" w:eastAsia="Calibri" w:hAnsi="Times New Roman" w:cs="Times New Roman"/>
          <w:lang w:val="sr-Cyrl-RS"/>
        </w:rPr>
        <w:t xml:space="preserve"> 2021. годин</w:t>
      </w:r>
      <w:r w:rsidR="2B34EF83" w:rsidRPr="00226F9D">
        <w:rPr>
          <w:rFonts w:ascii="Times New Roman" w:eastAsia="Calibri" w:hAnsi="Times New Roman" w:cs="Times New Roman"/>
          <w:lang w:val="sr-Cyrl-RS"/>
        </w:rPr>
        <w:t>ом</w:t>
      </w:r>
      <w:r w:rsidRPr="00226F9D">
        <w:rPr>
          <w:rFonts w:ascii="Times New Roman" w:eastAsia="Calibri" w:hAnsi="Times New Roman" w:cs="Times New Roman"/>
          <w:lang w:val="sr-Cyrl-RS"/>
        </w:rPr>
        <w:t xml:space="preserve">, </w:t>
      </w:r>
      <w:r w:rsidR="7257C5BB" w:rsidRPr="00226F9D">
        <w:rPr>
          <w:rFonts w:ascii="Times New Roman" w:eastAsia="Calibri" w:hAnsi="Times New Roman" w:cs="Times New Roman"/>
          <w:lang w:val="sr-Cyrl-RS"/>
        </w:rPr>
        <w:t>ни</w:t>
      </w:r>
      <w:r w:rsidR="6CE92A78" w:rsidRPr="00226F9D">
        <w:rPr>
          <w:rFonts w:ascii="Times New Roman" w:eastAsia="Calibri" w:hAnsi="Times New Roman" w:cs="Times New Roman"/>
          <w:lang w:val="sr-Cyrl-RS"/>
        </w:rPr>
        <w:t>су</w:t>
      </w:r>
      <w:r w:rsidR="7257C5BB" w:rsidRPr="00226F9D">
        <w:rPr>
          <w:rFonts w:ascii="Times New Roman" w:eastAsia="Calibri" w:hAnsi="Times New Roman" w:cs="Times New Roman"/>
          <w:lang w:val="sr-Cyrl-RS"/>
        </w:rPr>
        <w:t xml:space="preserve"> обухват</w:t>
      </w:r>
      <w:r w:rsidR="6CE92A78" w:rsidRPr="00226F9D">
        <w:rPr>
          <w:rFonts w:ascii="Times New Roman" w:eastAsia="Calibri" w:hAnsi="Times New Roman" w:cs="Times New Roman"/>
          <w:lang w:val="sr-Cyrl-RS"/>
        </w:rPr>
        <w:t>ала</w:t>
      </w:r>
      <w:r w:rsidRPr="00226F9D">
        <w:rPr>
          <w:rFonts w:ascii="Times New Roman" w:eastAsia="Calibri" w:hAnsi="Times New Roman" w:cs="Times New Roman"/>
          <w:lang w:val="sr-Cyrl-RS"/>
        </w:rPr>
        <w:t xml:space="preserve"> измен</w:t>
      </w:r>
      <w:r w:rsidR="087F4A63" w:rsidRPr="00226F9D">
        <w:rPr>
          <w:rFonts w:ascii="Times New Roman" w:eastAsia="Calibri" w:hAnsi="Times New Roman" w:cs="Times New Roman"/>
          <w:lang w:val="sr-Cyrl-RS"/>
        </w:rPr>
        <w:t>е</w:t>
      </w:r>
      <w:r w:rsidRPr="00226F9D">
        <w:rPr>
          <w:rFonts w:ascii="Times New Roman" w:eastAsia="Calibri" w:hAnsi="Times New Roman" w:cs="Times New Roman"/>
          <w:lang w:val="sr-Cyrl-RS"/>
        </w:rPr>
        <w:t xml:space="preserve"> </w:t>
      </w:r>
      <w:r w:rsidR="46DB6B3D" w:rsidRPr="00226F9D">
        <w:rPr>
          <w:rFonts w:ascii="Times New Roman" w:eastAsia="Calibri" w:hAnsi="Times New Roman" w:cs="Times New Roman"/>
          <w:lang w:val="sr-Cyrl-RS"/>
        </w:rPr>
        <w:t>З</w:t>
      </w:r>
      <w:r w:rsidRPr="00226F9D">
        <w:rPr>
          <w:rFonts w:ascii="Times New Roman" w:eastAsia="Calibri" w:hAnsi="Times New Roman" w:cs="Times New Roman"/>
          <w:lang w:val="sr-Cyrl-RS"/>
        </w:rPr>
        <w:t>акона о запосленима у аутономно</w:t>
      </w:r>
      <w:r w:rsidR="1C40FE26" w:rsidRPr="00226F9D">
        <w:rPr>
          <w:rFonts w:ascii="Times New Roman" w:eastAsia="Calibri" w:hAnsi="Times New Roman" w:cs="Times New Roman"/>
          <w:lang w:val="sr-Cyrl-RS"/>
        </w:rPr>
        <w:t>мним</w:t>
      </w:r>
      <w:r w:rsidRPr="00226F9D">
        <w:rPr>
          <w:rFonts w:ascii="Times New Roman" w:eastAsia="Calibri" w:hAnsi="Times New Roman" w:cs="Times New Roman"/>
          <w:lang w:val="sr-Cyrl-RS"/>
        </w:rPr>
        <w:t xml:space="preserve"> покрајин</w:t>
      </w:r>
      <w:r w:rsidR="1C40FE26" w:rsidRPr="00226F9D">
        <w:rPr>
          <w:rFonts w:ascii="Times New Roman" w:eastAsia="Calibri" w:hAnsi="Times New Roman" w:cs="Times New Roman"/>
          <w:lang w:val="sr-Cyrl-RS"/>
        </w:rPr>
        <w:t>ама</w:t>
      </w:r>
      <w:r w:rsidRPr="00226F9D">
        <w:rPr>
          <w:rFonts w:ascii="Times New Roman" w:eastAsia="Calibri" w:hAnsi="Times New Roman" w:cs="Times New Roman"/>
          <w:lang w:val="sr-Cyrl-RS"/>
        </w:rPr>
        <w:t xml:space="preserve"> и ЈЛС</w:t>
      </w:r>
      <w:r w:rsidR="716A2A88" w:rsidRPr="00226F9D">
        <w:rPr>
          <w:rFonts w:ascii="Times New Roman" w:eastAsia="Calibri" w:hAnsi="Times New Roman" w:cs="Times New Roman"/>
          <w:lang w:val="sr-Cyrl-RS"/>
        </w:rPr>
        <w:t xml:space="preserve"> које су </w:t>
      </w:r>
      <w:r w:rsidR="6EAE0617" w:rsidRPr="00226F9D">
        <w:rPr>
          <w:rFonts w:ascii="Times New Roman" w:eastAsia="Calibri" w:hAnsi="Times New Roman" w:cs="Times New Roman"/>
          <w:lang w:val="sr-Cyrl-RS"/>
        </w:rPr>
        <w:t>уследиле</w:t>
      </w:r>
      <w:r w:rsidR="43FA07E3" w:rsidRPr="00226F9D">
        <w:rPr>
          <w:rFonts w:ascii="Times New Roman" w:eastAsia="Calibri" w:hAnsi="Times New Roman" w:cs="Times New Roman"/>
          <w:lang w:val="sr-Cyrl-RS"/>
        </w:rPr>
        <w:t xml:space="preserve"> и којима </w:t>
      </w:r>
      <w:r w:rsidR="61580952" w:rsidRPr="00226F9D">
        <w:rPr>
          <w:rFonts w:ascii="Times New Roman" w:eastAsia="Calibri" w:hAnsi="Times New Roman" w:cs="Times New Roman"/>
          <w:lang w:val="sr-Cyrl-RS"/>
        </w:rPr>
        <w:t>су у функцију УЉР уведене компетенције потребне за рад службеника</w:t>
      </w:r>
      <w:r w:rsidRPr="00226F9D">
        <w:rPr>
          <w:rFonts w:ascii="Times New Roman" w:eastAsia="Calibri" w:hAnsi="Times New Roman" w:cs="Times New Roman"/>
          <w:lang w:val="sr-Cyrl-RS"/>
        </w:rPr>
        <w:t>. Ново мерење</w:t>
      </w:r>
      <w:r w:rsidR="144DCF81" w:rsidRPr="00226F9D" w:rsidDel="5D764493">
        <w:rPr>
          <w:rFonts w:ascii="Times New Roman" w:eastAsia="Calibri" w:hAnsi="Times New Roman" w:cs="Times New Roman"/>
          <w:lang w:val="sr-Cyrl-RS"/>
        </w:rPr>
        <w:t xml:space="preserve"> </w:t>
      </w:r>
      <w:r w:rsidR="27D06EAB" w:rsidRPr="00226F9D">
        <w:rPr>
          <w:rFonts w:ascii="Times New Roman" w:eastAsia="Calibri" w:hAnsi="Times New Roman" w:cs="Times New Roman"/>
          <w:lang w:val="sr-Cyrl-RS"/>
        </w:rPr>
        <w:t>обављено за пресек стања у 2025. години</w:t>
      </w:r>
      <w:r w:rsidR="0820CFA9" w:rsidRPr="00226F9D">
        <w:rPr>
          <w:rFonts w:ascii="Times New Roman" w:eastAsia="Calibri" w:hAnsi="Times New Roman" w:cs="Times New Roman"/>
          <w:lang w:val="sr-Latn-RS"/>
        </w:rPr>
        <w:t xml:space="preserve">, </w:t>
      </w:r>
      <w:r w:rsidR="0820CFA9" w:rsidRPr="00226F9D">
        <w:rPr>
          <w:rFonts w:ascii="Times New Roman" w:eastAsia="Calibri" w:hAnsi="Times New Roman" w:cs="Times New Roman"/>
          <w:lang w:val="sr-Cyrl-RS"/>
        </w:rPr>
        <w:t>за чије потребе је индекс учинка система УЉР у ЈЛС ажуриран и унапређен у смислу обухвата компетенција</w:t>
      </w:r>
      <w:r w:rsidR="27D06EAB" w:rsidRPr="00226F9D">
        <w:rPr>
          <w:rFonts w:ascii="Times New Roman" w:eastAsia="Calibri" w:hAnsi="Times New Roman" w:cs="Times New Roman"/>
          <w:lang w:val="sr-Cyrl-RS"/>
        </w:rPr>
        <w:t>, резултирало је вредношћу од 56,7%</w:t>
      </w:r>
      <w:r w:rsidR="6EAE0617" w:rsidRPr="00226F9D">
        <w:rPr>
          <w:rFonts w:ascii="Times New Roman" w:eastAsia="Calibri" w:hAnsi="Times New Roman" w:cs="Times New Roman"/>
          <w:lang w:val="sr-Cyrl-RS"/>
        </w:rPr>
        <w:t xml:space="preserve"> (што се </w:t>
      </w:r>
      <w:r w:rsidR="3E10C193" w:rsidRPr="00226F9D">
        <w:rPr>
          <w:rFonts w:ascii="Times New Roman" w:eastAsia="Calibri" w:hAnsi="Times New Roman" w:cs="Times New Roman"/>
          <w:lang w:val="sr-Cyrl-RS"/>
        </w:rPr>
        <w:t xml:space="preserve">поставља </w:t>
      </w:r>
      <w:r w:rsidR="19B06A70" w:rsidRPr="00226F9D">
        <w:rPr>
          <w:rFonts w:ascii="Times New Roman" w:eastAsia="Calibri" w:hAnsi="Times New Roman" w:cs="Times New Roman"/>
          <w:lang w:val="sr-Cyrl-RS"/>
        </w:rPr>
        <w:t xml:space="preserve">надаље </w:t>
      </w:r>
      <w:r w:rsidR="3E10C193" w:rsidRPr="00226F9D">
        <w:rPr>
          <w:rFonts w:ascii="Times New Roman" w:eastAsia="Calibri" w:hAnsi="Times New Roman" w:cs="Times New Roman"/>
          <w:lang w:val="sr-Cyrl-RS"/>
        </w:rPr>
        <w:t>као базна вредност за нови програмски период</w:t>
      </w:r>
      <w:r w:rsidR="415E0E74" w:rsidRPr="00226F9D">
        <w:rPr>
          <w:rFonts w:ascii="Times New Roman" w:eastAsia="Calibri" w:hAnsi="Times New Roman" w:cs="Times New Roman"/>
          <w:lang w:val="sr-Cyrl-RS"/>
        </w:rPr>
        <w:t>)</w:t>
      </w:r>
      <w:r w:rsidR="00643777" w:rsidRPr="00226F9D">
        <w:rPr>
          <w:rStyle w:val="FootnoteReference"/>
          <w:rFonts w:ascii="Times New Roman" w:eastAsia="Calibri" w:hAnsi="Times New Roman" w:cs="Times New Roman"/>
          <w:lang w:val="sr-Cyrl-RS"/>
        </w:rPr>
        <w:footnoteReference w:id="51"/>
      </w:r>
      <w:r w:rsidR="27D06EAB" w:rsidRPr="00226F9D">
        <w:rPr>
          <w:rFonts w:ascii="Times New Roman" w:eastAsia="Calibri" w:hAnsi="Times New Roman" w:cs="Times New Roman"/>
          <w:lang w:val="sr-Cyrl-RS"/>
        </w:rPr>
        <w:t xml:space="preserve"> </w:t>
      </w:r>
      <w:r w:rsidR="16539EF2" w:rsidRPr="00226F9D">
        <w:rPr>
          <w:rFonts w:ascii="Times New Roman" w:eastAsia="Calibri" w:hAnsi="Times New Roman" w:cs="Times New Roman"/>
          <w:lang w:val="sr-Cyrl-RS"/>
        </w:rPr>
        <w:t>и потврђуј</w:t>
      </w:r>
      <w:r w:rsidR="6819F785" w:rsidRPr="00226F9D">
        <w:rPr>
          <w:rFonts w:ascii="Times New Roman" w:eastAsia="Calibri" w:hAnsi="Times New Roman" w:cs="Times New Roman"/>
          <w:lang w:val="sr-Cyrl-RS"/>
        </w:rPr>
        <w:t>е</w:t>
      </w:r>
      <w:r w:rsidR="16539EF2" w:rsidRPr="00226F9D">
        <w:rPr>
          <w:rFonts w:ascii="Times New Roman" w:eastAsia="Calibri" w:hAnsi="Times New Roman" w:cs="Times New Roman"/>
          <w:lang w:val="sr-Cyrl-RS"/>
        </w:rPr>
        <w:t xml:space="preserve"> закључак </w:t>
      </w:r>
      <w:r w:rsidR="643249D8" w:rsidRPr="00226F9D">
        <w:rPr>
          <w:rFonts w:ascii="Times New Roman" w:eastAsia="Calibri" w:hAnsi="Times New Roman" w:cs="Times New Roman"/>
          <w:lang w:val="sr-Cyrl-RS"/>
        </w:rPr>
        <w:t xml:space="preserve">о сразмерно спором и захтевном процесу </w:t>
      </w:r>
      <w:r w:rsidR="3FE0BD30" w:rsidRPr="00226F9D">
        <w:rPr>
          <w:rFonts w:ascii="Times New Roman" w:eastAsia="Calibri" w:hAnsi="Times New Roman" w:cs="Times New Roman"/>
          <w:lang w:val="sr-Cyrl-RS"/>
        </w:rPr>
        <w:lastRenderedPageBreak/>
        <w:t xml:space="preserve">унапређивања функције УЉР </w:t>
      </w:r>
      <w:r w:rsidR="302C2065" w:rsidRPr="00226F9D">
        <w:rPr>
          <w:rFonts w:ascii="Times New Roman" w:eastAsia="Calibri" w:hAnsi="Times New Roman" w:cs="Times New Roman"/>
          <w:lang w:val="sr-Cyrl-RS"/>
        </w:rPr>
        <w:t>у градовима и општинама</w:t>
      </w:r>
      <w:r w:rsidR="73501848" w:rsidRPr="00226F9D">
        <w:rPr>
          <w:rFonts w:ascii="Times New Roman" w:eastAsia="Calibri" w:hAnsi="Times New Roman" w:cs="Times New Roman"/>
          <w:lang w:val="sr-Cyrl-RS"/>
        </w:rPr>
        <w:t xml:space="preserve">, </w:t>
      </w:r>
      <w:r w:rsidR="630B9365" w:rsidRPr="00226F9D">
        <w:rPr>
          <w:rFonts w:ascii="Times New Roman" w:eastAsia="Calibri" w:hAnsi="Times New Roman" w:cs="Times New Roman"/>
          <w:lang w:val="sr-Cyrl-RS"/>
        </w:rPr>
        <w:t xml:space="preserve">и </w:t>
      </w:r>
      <w:r w:rsidR="5E06B8FE" w:rsidRPr="00226F9D">
        <w:rPr>
          <w:rFonts w:ascii="Times New Roman" w:eastAsia="Calibri" w:hAnsi="Times New Roman" w:cs="Times New Roman"/>
          <w:lang w:val="sr-Cyrl-RS"/>
        </w:rPr>
        <w:t>нужном наставку циљане подршке</w:t>
      </w:r>
      <w:r w:rsidR="144DB4F8" w:rsidRPr="00226F9D">
        <w:rPr>
          <w:rFonts w:ascii="Times New Roman" w:eastAsia="Calibri" w:hAnsi="Times New Roman" w:cs="Times New Roman"/>
          <w:lang w:val="sr-Cyrl-RS"/>
        </w:rPr>
        <w:t xml:space="preserve">, нарочито у пуној интеграцији компетенција у све </w:t>
      </w:r>
      <w:r w:rsidR="7F24325D" w:rsidRPr="00226F9D">
        <w:rPr>
          <w:rFonts w:ascii="Times New Roman" w:eastAsia="Calibri" w:hAnsi="Times New Roman" w:cs="Times New Roman"/>
          <w:lang w:val="sr-Cyrl-RS"/>
        </w:rPr>
        <w:t>процесе управљања људским ресурсима</w:t>
      </w:r>
      <w:r w:rsidR="6B5BBE69" w:rsidRPr="00226F9D">
        <w:rPr>
          <w:rFonts w:ascii="Times New Roman" w:eastAsia="Calibri" w:hAnsi="Times New Roman" w:cs="Times New Roman"/>
          <w:lang w:val="sr-Cyrl-RS"/>
        </w:rPr>
        <w:t>.</w:t>
      </w:r>
    </w:p>
    <w:p w14:paraId="4B314615" w14:textId="4F0DF389" w:rsidR="00562E44" w:rsidRPr="00226F9D" w:rsidRDefault="006F790A" w:rsidP="00090884">
      <w:pPr>
        <w:spacing w:after="0" w:line="240" w:lineRule="auto"/>
        <w:jc w:val="both"/>
        <w:rPr>
          <w:rStyle w:val="y2iqfc"/>
          <w:rFonts w:ascii="Times New Roman" w:hAnsi="Times New Roman" w:cs="Times New Roman"/>
          <w:color w:val="1F1F1F"/>
          <w:lang w:val="sr-Latn-RS"/>
        </w:rPr>
      </w:pPr>
      <w:r w:rsidRPr="00226F9D">
        <w:rPr>
          <w:rFonts w:ascii="Times New Roman" w:hAnsi="Times New Roman" w:cs="Times New Roman"/>
          <w:lang w:val="sr-Cyrl-RS"/>
        </w:rPr>
        <w:t xml:space="preserve">Унапређење функције управљања људским ресурсима (УЉР), као мера, претпостављало је два приоритета: пуна имплементација система плата и надокнада и увођење система компетенција за рад службеника ЈЛС. </w:t>
      </w:r>
      <w:r w:rsidRPr="00226F9D">
        <w:rPr>
          <w:rStyle w:val="y2iqfc"/>
          <w:rFonts w:ascii="Times New Roman" w:hAnsi="Times New Roman" w:cs="Times New Roman"/>
          <w:color w:val="1F1F1F"/>
          <w:lang w:val="sr-Cyrl-RS"/>
        </w:rPr>
        <w:t>С тим у вези, кроз заједнички пројекат ЕУ и Савета Европе, МДУЛС и СКГО - „Управљање људским ресурсима у локалној самоуправи – фаза 2“ директну подршку у развоју функције управљања људским ресурсима добило је 50 пилот општина и градова са више од 2000 запослених који су прошли различите курсеве и обуке. Оцена учинка управљања људским ресурсима у тим ЈЛС и градовима након имплементације подршке износила је 73,9%, што представља повећање од око 27,5% у односу на контролну групу од 20 ЈЛС, где је постигнути скор у учинку управљања људским ресурсима износио 53,6 %. Такође, кроз овај пројекат пружена је и подршка унапређењу законодавног оквира у области управљања људским ресурсима, од чега је најважније што је започето фазно увођење система компетенција за локалне службенике у 2022. години, најпре кроз одређивање компетенција за радна места у ЈЛС. Други приоритет који није остварен и што у дужем временском периоду угрожава одрживост система управљања људским ресурсима јесте непотпуно регулисан систем плата и накнада у ЈЛС. Стављање ван снаге</w:t>
      </w:r>
      <w:r w:rsidR="00842514" w:rsidRPr="00226F9D">
        <w:rPr>
          <w:rStyle w:val="y2iqfc"/>
          <w:rFonts w:ascii="Times New Roman" w:hAnsi="Times New Roman" w:cs="Times New Roman"/>
          <w:color w:val="1F1F1F"/>
          <w:lang w:val="sr-Cyrl-RS"/>
        </w:rPr>
        <w:t xml:space="preserve"> (почетком 2025. године) </w:t>
      </w:r>
      <w:r w:rsidRPr="00226F9D">
        <w:rPr>
          <w:rStyle w:val="y2iqfc"/>
          <w:rFonts w:ascii="Times New Roman" w:hAnsi="Times New Roman" w:cs="Times New Roman"/>
          <w:color w:val="1F1F1F"/>
          <w:lang w:val="sr-Cyrl-RS"/>
        </w:rPr>
        <w:t>системског закона у области плата у јавном сектору и појединачног закона о платама у ЈЛС</w:t>
      </w:r>
      <w:r w:rsidR="00DF5ED2" w:rsidRPr="00226F9D">
        <w:rPr>
          <w:rStyle w:val="y2iqfc"/>
          <w:rFonts w:ascii="Times New Roman" w:hAnsi="Times New Roman" w:cs="Times New Roman"/>
          <w:color w:val="1F1F1F"/>
          <w:lang w:val="sr-Cyrl-RS"/>
        </w:rPr>
        <w:t>,</w:t>
      </w:r>
      <w:r w:rsidRPr="00226F9D">
        <w:rPr>
          <w:rStyle w:val="y2iqfc"/>
          <w:rFonts w:ascii="Times New Roman" w:hAnsi="Times New Roman" w:cs="Times New Roman"/>
          <w:color w:val="1F1F1F"/>
          <w:lang w:val="sr-Cyrl-RS"/>
        </w:rPr>
        <w:t xml:space="preserve"> одложило је регулисање ове виталне области и оставило отвореним питања попут платних разреда и напредовања, каталога радних места, и друго. Последице укидања ових прописа су вишеструке: враћање на фрагментиран систем плата на нивоу јавне управе, отежано управљање буџетом у области масе зарада и одлагање преко потребних реформ</w:t>
      </w:r>
      <w:r w:rsidR="00FE46F2" w:rsidRPr="00226F9D">
        <w:rPr>
          <w:rStyle w:val="y2iqfc"/>
          <w:rFonts w:ascii="Times New Roman" w:hAnsi="Times New Roman" w:cs="Times New Roman"/>
          <w:color w:val="1F1F1F"/>
          <w:lang w:val="sr-Cyrl-RS"/>
        </w:rPr>
        <w:t>и</w:t>
      </w:r>
      <w:r w:rsidRPr="00226F9D">
        <w:rPr>
          <w:rStyle w:val="y2iqfc"/>
          <w:rFonts w:ascii="Times New Roman" w:hAnsi="Times New Roman" w:cs="Times New Roman"/>
          <w:color w:val="1F1F1F"/>
          <w:lang w:val="sr-Cyrl-RS"/>
        </w:rPr>
        <w:t xml:space="preserve"> у овој области која је требало да донесе уједначен и одржив систем зарада. Неопходно је што пре ући у процес конципирања система плата како се не би даље угрожавало постигнуто у области УЉР, а и како би се обезбедила одрживост система.</w:t>
      </w:r>
    </w:p>
    <w:p w14:paraId="08ED7519" w14:textId="77777777" w:rsidR="00562E44" w:rsidRPr="00226F9D" w:rsidRDefault="00562E44" w:rsidP="00090884">
      <w:pPr>
        <w:spacing w:after="0" w:line="240" w:lineRule="auto"/>
        <w:jc w:val="both"/>
        <w:rPr>
          <w:rStyle w:val="y2iqfc"/>
          <w:rFonts w:ascii="Times New Roman" w:hAnsi="Times New Roman" w:cs="Times New Roman"/>
          <w:color w:val="1F1F1F"/>
          <w:lang w:val="sr-Latn-RS"/>
        </w:rPr>
      </w:pPr>
    </w:p>
    <w:p w14:paraId="02DDDA90" w14:textId="0CB883DC" w:rsidR="00226716" w:rsidRPr="00226F9D" w:rsidRDefault="006F790A" w:rsidP="00090884">
      <w:pPr>
        <w:spacing w:after="0" w:line="240" w:lineRule="auto"/>
        <w:jc w:val="both"/>
        <w:rPr>
          <w:rStyle w:val="y2iqfc"/>
          <w:rFonts w:ascii="Times New Roman" w:hAnsi="Times New Roman" w:cs="Times New Roman"/>
          <w:color w:val="1F1F1F"/>
          <w:lang w:val="sr-Latn-RS"/>
        </w:rPr>
      </w:pPr>
      <w:r w:rsidRPr="00226F9D">
        <w:rPr>
          <w:rStyle w:val="y2iqfc"/>
          <w:rFonts w:ascii="Times New Roman" w:hAnsi="Times New Roman" w:cs="Times New Roman"/>
          <w:color w:val="1F1F1F"/>
          <w:lang w:val="sr-Cyrl-RS"/>
        </w:rPr>
        <w:t xml:space="preserve">Даља интеграција система компетенција кроз селекцију кандидата на бази компетенција у 2023. и 2024. години и јачање капацитета локалних службеника за овај вид селекције подржано је кроз „Партнерство за добру локалну самоуправу” који </w:t>
      </w:r>
      <w:r w:rsidR="00EB2A40" w:rsidRPr="00226F9D">
        <w:rPr>
          <w:rStyle w:val="y2iqfc"/>
          <w:rFonts w:ascii="Times New Roman" w:hAnsi="Times New Roman" w:cs="Times New Roman"/>
          <w:color w:val="1F1F1F"/>
          <w:lang w:val="sr-Cyrl-RS"/>
        </w:rPr>
        <w:t>подржава</w:t>
      </w:r>
      <w:r w:rsidRPr="00226F9D">
        <w:rPr>
          <w:rStyle w:val="y2iqfc"/>
          <w:rFonts w:ascii="Times New Roman" w:hAnsi="Times New Roman" w:cs="Times New Roman"/>
          <w:color w:val="1F1F1F"/>
          <w:lang w:val="sr-Cyrl-RS"/>
        </w:rPr>
        <w:t xml:space="preserve"> Влада Швајцарске, а спроводи СКГО</w:t>
      </w:r>
      <w:r w:rsidR="006C2B28" w:rsidRPr="00226F9D">
        <w:rPr>
          <w:rStyle w:val="y2iqfc"/>
          <w:rFonts w:ascii="Times New Roman" w:hAnsi="Times New Roman" w:cs="Times New Roman"/>
          <w:color w:val="1F1F1F"/>
          <w:lang w:val="sr-Cyrl-RS"/>
        </w:rPr>
        <w:t>. СКГО</w:t>
      </w:r>
      <w:r w:rsidRPr="00226F9D">
        <w:rPr>
          <w:rStyle w:val="y2iqfc"/>
          <w:rFonts w:ascii="Times New Roman" w:hAnsi="Times New Roman" w:cs="Times New Roman"/>
          <w:color w:val="1F1F1F"/>
          <w:lang w:val="sr-Cyrl-RS"/>
        </w:rPr>
        <w:t xml:space="preserve"> је у овом делу активности сарађивала блиско са Министарством државне управе и локалне самоуправе. Иако су службеници у иницијалном периоду примене нове Уредбе о спровођењу интерног и јавног конкурса за попуњавање радних места у органима АП и ЈЛС из 2024. године, тј. у примени новог начина селекције кандидата</w:t>
      </w:r>
      <w:r w:rsidR="009125AB" w:rsidRPr="00226F9D">
        <w:rPr>
          <w:rStyle w:val="y2iqfc"/>
          <w:rFonts w:ascii="Times New Roman" w:hAnsi="Times New Roman" w:cs="Times New Roman"/>
          <w:color w:val="1F1F1F"/>
          <w:lang w:val="sr-Latn-RS"/>
        </w:rPr>
        <w:t xml:space="preserve"> -</w:t>
      </w:r>
      <w:r w:rsidRPr="00226F9D">
        <w:rPr>
          <w:rStyle w:val="y2iqfc"/>
          <w:rFonts w:ascii="Times New Roman" w:hAnsi="Times New Roman" w:cs="Times New Roman"/>
          <w:color w:val="1F1F1F"/>
          <w:lang w:val="sr-Cyrl-RS"/>
        </w:rPr>
        <w:t xml:space="preserve"> добили одговарајућу подршку (приручник и други инструктивни материјали, обуке и слично), овај комплексни и вишефазни поступак спровођења конкурса у ЈЛС захтева континуирано усавршавање и праксу. СКГО је на крају 2024. године спровела анкету међу службеницима ЈЛС о квалитету подршке која је пружена</w:t>
      </w:r>
      <w:r w:rsidRPr="00226F9D">
        <w:rPr>
          <w:rStyle w:val="y2iqfc"/>
          <w:rFonts w:ascii="Times New Roman" w:hAnsi="Times New Roman" w:cs="Times New Roman"/>
          <w:color w:val="1F1F1F"/>
          <w:lang w:val="sr-Latn-RS"/>
        </w:rPr>
        <w:t xml:space="preserve"> </w:t>
      </w:r>
      <w:r w:rsidRPr="00226F9D">
        <w:rPr>
          <w:rStyle w:val="y2iqfc"/>
          <w:rFonts w:ascii="Times New Roman" w:hAnsi="Times New Roman" w:cs="Times New Roman"/>
          <w:color w:val="1F1F1F"/>
          <w:lang w:val="sr-Cyrl-RS"/>
        </w:rPr>
        <w:t>за селекцију на бази компетенција током 2024. године и интересантан податак је, да се око 2/3 испитаника од оних који су прошли обуку за проверу понашајних компетенција изјаснило да су у конкурсним поступцима ту проверу заиста и радили. Овај податак говори да су потребне додатне обуке и можда неке специјализоване обуке у даљем практиковању ове методе. У назначеном периоду значајна је била и подршка Службе за управљање кадровима Владе РС, која се укључила у обуку службеника ЈЛС и пренела им своје вишегодишње искуство у области провере компетенција у раду са органима државне управе.</w:t>
      </w:r>
    </w:p>
    <w:p w14:paraId="4838CA12" w14:textId="77777777" w:rsidR="00226716" w:rsidRPr="00226F9D" w:rsidRDefault="00226716" w:rsidP="00090884">
      <w:pPr>
        <w:spacing w:after="0" w:line="240" w:lineRule="auto"/>
        <w:jc w:val="both"/>
        <w:rPr>
          <w:rStyle w:val="y2iqfc"/>
          <w:rFonts w:ascii="Times New Roman" w:hAnsi="Times New Roman" w:cs="Times New Roman"/>
          <w:color w:val="1F1F1F"/>
          <w:lang w:val="sr-Latn-RS"/>
        </w:rPr>
      </w:pPr>
    </w:p>
    <w:p w14:paraId="2DDB6B8E" w14:textId="2A7DEED2" w:rsidR="00253562" w:rsidRPr="00226F9D" w:rsidRDefault="006F790A" w:rsidP="00090884">
      <w:pPr>
        <w:spacing w:after="0" w:line="240" w:lineRule="auto"/>
        <w:jc w:val="both"/>
        <w:rPr>
          <w:rStyle w:val="y2iqfc"/>
          <w:rFonts w:ascii="Times New Roman" w:hAnsi="Times New Roman" w:cs="Times New Roman"/>
          <w:color w:val="1F1F1F"/>
          <w:lang w:val="sr-Latn-RS"/>
        </w:rPr>
      </w:pPr>
      <w:r w:rsidRPr="00226F9D">
        <w:rPr>
          <w:rStyle w:val="y2iqfc"/>
          <w:rFonts w:ascii="Times New Roman" w:hAnsi="Times New Roman" w:cs="Times New Roman"/>
          <w:color w:val="1F1F1F"/>
          <w:lang w:val="sr-Cyrl-RS"/>
        </w:rPr>
        <w:t>Свеобухватна подршка даљим процесима којим ће се унапређивати област управљања људским ресурсима наставља се кроз започету пројектну сарадњу МДУЛС</w:t>
      </w:r>
      <w:r w:rsidR="00EB4AD8" w:rsidRPr="00226F9D">
        <w:rPr>
          <w:rStyle w:val="y2iqfc"/>
          <w:rFonts w:ascii="Times New Roman" w:hAnsi="Times New Roman" w:cs="Times New Roman"/>
          <w:color w:val="1F1F1F"/>
          <w:lang w:val="sr-Cyrl-RS"/>
        </w:rPr>
        <w:t>,</w:t>
      </w:r>
      <w:r w:rsidRPr="00226F9D">
        <w:rPr>
          <w:rStyle w:val="y2iqfc"/>
          <w:rFonts w:ascii="Times New Roman" w:hAnsi="Times New Roman" w:cs="Times New Roman"/>
          <w:color w:val="1F1F1F"/>
          <w:lang w:val="sr-Cyrl-RS"/>
        </w:rPr>
        <w:t xml:space="preserve"> СКГО и Савета Европе, тј. кроз трећу </w:t>
      </w:r>
      <w:r w:rsidRPr="00226F9D">
        <w:rPr>
          <w:rStyle w:val="y2iqfc"/>
          <w:rFonts w:ascii="Times New Roman" w:hAnsi="Times New Roman" w:cs="Times New Roman"/>
          <w:color w:val="1F1F1F"/>
          <w:lang w:val="sr-Latn-RS"/>
        </w:rPr>
        <w:t xml:space="preserve"> </w:t>
      </w:r>
      <w:r w:rsidRPr="00226F9D">
        <w:rPr>
          <w:rStyle w:val="y2iqfc"/>
          <w:rFonts w:ascii="Times New Roman" w:hAnsi="Times New Roman" w:cs="Times New Roman"/>
          <w:color w:val="1F1F1F"/>
          <w:lang w:val="sr-Cyrl-RS"/>
        </w:rPr>
        <w:t>фазу пројекта Управљање људским ресурсима у локалној самоуправи, који финансира ЕУ. Кроз пројекат који непосредно реализује СКГО између осталог ће се проширити обухват директне техничке и стручне подршке на 7</w:t>
      </w:r>
      <w:r w:rsidR="00612DFC" w:rsidRPr="00226F9D">
        <w:rPr>
          <w:rStyle w:val="y2iqfc"/>
          <w:rFonts w:ascii="Times New Roman" w:hAnsi="Times New Roman" w:cs="Times New Roman"/>
          <w:color w:val="1F1F1F"/>
          <w:lang w:val="sr-Latn-RS"/>
        </w:rPr>
        <w:t>7</w:t>
      </w:r>
      <w:r w:rsidRPr="00226F9D">
        <w:rPr>
          <w:rStyle w:val="y2iqfc"/>
          <w:rFonts w:ascii="Times New Roman" w:hAnsi="Times New Roman" w:cs="Times New Roman"/>
          <w:color w:val="1F1F1F"/>
          <w:lang w:val="sr-Cyrl-RS"/>
        </w:rPr>
        <w:t xml:space="preserve"> ЈЛС у којима ће се радити на унапређењу капацитета за управљање људским ресурсима засновано на компетенцијама и </w:t>
      </w:r>
      <w:r w:rsidRPr="00226F9D">
        <w:rPr>
          <w:rStyle w:val="y2iqfc"/>
          <w:rFonts w:ascii="Times New Roman" w:hAnsi="Times New Roman" w:cs="Times New Roman"/>
          <w:color w:val="1F1F1F"/>
          <w:lang w:val="sr-Cyrl-RS"/>
        </w:rPr>
        <w:lastRenderedPageBreak/>
        <w:t>стручном усавршавању, док ће пројекат Савета Европе пружити подршку у процесу креирања политика у области УЉР.</w:t>
      </w:r>
    </w:p>
    <w:p w14:paraId="50AD7E0A" w14:textId="77777777" w:rsidR="00253562" w:rsidRPr="00226F9D" w:rsidRDefault="00253562" w:rsidP="00090884">
      <w:pPr>
        <w:spacing w:after="0" w:line="240" w:lineRule="auto"/>
        <w:jc w:val="both"/>
        <w:rPr>
          <w:rStyle w:val="y2iqfc"/>
          <w:rFonts w:ascii="Times New Roman" w:hAnsi="Times New Roman" w:cs="Times New Roman"/>
          <w:color w:val="1F1F1F"/>
          <w:lang w:val="sr-Latn-RS"/>
        </w:rPr>
      </w:pPr>
    </w:p>
    <w:p w14:paraId="5C405BB6" w14:textId="1303276C" w:rsidR="009B4204" w:rsidRPr="00226F9D" w:rsidRDefault="2DD388DA" w:rsidP="00090884">
      <w:pPr>
        <w:spacing w:after="0" w:line="240" w:lineRule="auto"/>
        <w:jc w:val="both"/>
        <w:rPr>
          <w:rStyle w:val="y2iqfc"/>
          <w:rFonts w:ascii="Times New Roman" w:hAnsi="Times New Roman" w:cs="Times New Roman"/>
          <w:lang w:val="sr-Cyrl-RS"/>
        </w:rPr>
      </w:pPr>
      <w:r w:rsidRPr="00226F9D">
        <w:rPr>
          <w:rStyle w:val="y2iqfc"/>
          <w:rFonts w:ascii="Times New Roman" w:hAnsi="Times New Roman" w:cs="Times New Roman"/>
          <w:color w:val="1F1F1F"/>
          <w:lang w:val="sr-Cyrl-RS"/>
        </w:rPr>
        <w:t xml:space="preserve">У погледу стручног усавршавања и развоја </w:t>
      </w:r>
      <w:r w:rsidR="59D76A2E" w:rsidRPr="00226F9D">
        <w:rPr>
          <w:rStyle w:val="y2iqfc"/>
          <w:rFonts w:ascii="Times New Roman" w:hAnsi="Times New Roman" w:cs="Times New Roman"/>
          <w:color w:val="1F1F1F"/>
          <w:lang w:val="sr-Cyrl-RS"/>
        </w:rPr>
        <w:t>локалних</w:t>
      </w:r>
      <w:r w:rsidRPr="00226F9D">
        <w:rPr>
          <w:rStyle w:val="y2iqfc"/>
          <w:rFonts w:ascii="Times New Roman" w:hAnsi="Times New Roman" w:cs="Times New Roman"/>
          <w:color w:val="1F1F1F"/>
          <w:lang w:val="sr-Cyrl-RS"/>
        </w:rPr>
        <w:t xml:space="preserve"> службеника, током последњих година је остварен </w:t>
      </w:r>
      <w:r w:rsidR="59D76A2E" w:rsidRPr="00226F9D">
        <w:rPr>
          <w:rStyle w:val="y2iqfc"/>
          <w:rFonts w:ascii="Times New Roman" w:hAnsi="Times New Roman" w:cs="Times New Roman"/>
          <w:color w:val="1F1F1F"/>
          <w:lang w:val="sr-Cyrl-RS"/>
        </w:rPr>
        <w:t>одређени</w:t>
      </w:r>
      <w:r w:rsidRPr="00226F9D">
        <w:rPr>
          <w:rStyle w:val="y2iqfc"/>
          <w:rFonts w:ascii="Times New Roman" w:hAnsi="Times New Roman" w:cs="Times New Roman"/>
          <w:color w:val="1F1F1F"/>
          <w:lang w:val="sr-Cyrl-RS"/>
        </w:rPr>
        <w:t xml:space="preserve"> напредак у </w:t>
      </w:r>
      <w:r w:rsidR="38A25E28" w:rsidRPr="00226F9D">
        <w:rPr>
          <w:rStyle w:val="y2iqfc"/>
          <w:rFonts w:ascii="Times New Roman" w:hAnsi="Times New Roman" w:cs="Times New Roman"/>
          <w:color w:val="1F1F1F"/>
          <w:lang w:val="sr-Cyrl-RS"/>
        </w:rPr>
        <w:t xml:space="preserve">појединим </w:t>
      </w:r>
      <w:r w:rsidRPr="00226F9D">
        <w:rPr>
          <w:rStyle w:val="y2iqfc"/>
          <w:rFonts w:ascii="Times New Roman" w:hAnsi="Times New Roman" w:cs="Times New Roman"/>
          <w:color w:val="1F1F1F"/>
          <w:lang w:val="sr-Cyrl-RS"/>
        </w:rPr>
        <w:t>сегментима система стручног усавршавања у јавној управи. НАЈУ редовно израђује и објављује Годишњи општи програм обуке како за запослене у ЈЛС, тако и за руководиоце ЈЛС.</w:t>
      </w:r>
      <w:r w:rsidRPr="00226F9D">
        <w:rPr>
          <w:rStyle w:val="y2iqfc"/>
          <w:rFonts w:ascii="Times New Roman" w:hAnsi="Times New Roman" w:cs="Times New Roman"/>
          <w:lang w:val="sr-Cyrl-RS"/>
        </w:rPr>
        <w:t xml:space="preserve"> </w:t>
      </w:r>
      <w:r w:rsidRPr="00226F9D">
        <w:rPr>
          <w:rStyle w:val="y2iqfc"/>
          <w:rFonts w:ascii="Times New Roman" w:hAnsi="Times New Roman" w:cs="Times New Roman"/>
          <w:color w:val="1F1F1F"/>
          <w:lang w:val="sr-Cyrl-RS"/>
        </w:rPr>
        <w:t>НАЈУ платформа за онлајн учење је унапређена додатним функционалностима за реализацију различитих облика електронског учења као што су самостални и интерактивни онлајн тренинзи, вебинари, гејмификација и комбиновано учење. Тиме је обезбеђено право на једнак приступ квалитетном стручном усавршавању за све запослене у јавној управи. У 2024. години је Секторски програм континуираног стручног усавршавања запослених у ЈЛС обухватао 72 програма обуке</w:t>
      </w:r>
      <w:r w:rsidRPr="00226F9D" w:rsidDel="00740138">
        <w:rPr>
          <w:rStyle w:val="y2iqfc"/>
          <w:rFonts w:ascii="Times New Roman" w:hAnsi="Times New Roman" w:cs="Times New Roman"/>
          <w:color w:val="1F1F1F"/>
          <w:lang w:val="sr-Cyrl-RS"/>
        </w:rPr>
        <w:t xml:space="preserve"> </w:t>
      </w:r>
      <w:r w:rsidRPr="00226F9D">
        <w:rPr>
          <w:rStyle w:val="y2iqfc"/>
          <w:rFonts w:ascii="Times New Roman" w:hAnsi="Times New Roman" w:cs="Times New Roman"/>
          <w:color w:val="1F1F1F"/>
          <w:lang w:val="sr-Cyrl-RS"/>
        </w:rPr>
        <w:t>у оквиру кога је обуке похађало 1479 полазника, док је Посебан програм стручног усавршавања запослених у ЈЛС похађало 76 полазника.</w:t>
      </w:r>
      <w:r w:rsidR="009B4204" w:rsidRPr="00226F9D">
        <w:rPr>
          <w:rStyle w:val="y2iqfc"/>
          <w:rFonts w:ascii="Times New Roman" w:hAnsi="Times New Roman" w:cs="Times New Roman"/>
          <w:color w:val="1F1F1F"/>
          <w:vertAlign w:val="superscript"/>
          <w:lang w:val="sr-Cyrl-RS"/>
        </w:rPr>
        <w:footnoteReference w:id="52"/>
      </w:r>
      <w:r w:rsidRPr="00226F9D">
        <w:rPr>
          <w:rStyle w:val="y2iqfc"/>
          <w:rFonts w:ascii="Times New Roman" w:hAnsi="Times New Roman" w:cs="Times New Roman"/>
          <w:color w:val="1F1F1F"/>
          <w:lang w:val="sr-Cyrl-RS"/>
        </w:rPr>
        <w:t xml:space="preserve"> Када је реч о Општем програму обуке за запослене у ЈЛС и Програму обуке руководилаца у ЈЛС, интерес за обуке се из године у годину смањује, док су капацитети и даље једна од најслабијих карика у систему.</w:t>
      </w:r>
      <w:r w:rsidR="40D10E1F" w:rsidRPr="00226F9D">
        <w:rPr>
          <w:rStyle w:val="y2iqfc"/>
          <w:rFonts w:ascii="Times New Roman" w:hAnsi="Times New Roman" w:cs="Times New Roman"/>
          <w:color w:val="1F1F1F"/>
          <w:lang w:val="sr-Cyrl-RS"/>
        </w:rPr>
        <w:t xml:space="preserve"> </w:t>
      </w:r>
    </w:p>
    <w:p w14:paraId="0062C14A" w14:textId="714B403A" w:rsidR="004F377F" w:rsidRPr="00226F9D" w:rsidRDefault="004F377F" w:rsidP="00090884">
      <w:pPr>
        <w:spacing w:after="0" w:line="240" w:lineRule="auto"/>
        <w:jc w:val="both"/>
        <w:rPr>
          <w:rFonts w:ascii="Times New Roman" w:hAnsi="Times New Roman" w:cs="Times New Roman"/>
          <w:sz w:val="22"/>
          <w:szCs w:val="22"/>
          <w:lang w:val="sr-Cyrl-RS"/>
        </w:rPr>
      </w:pPr>
    </w:p>
    <w:p w14:paraId="70C9574A" w14:textId="7B0C0F5B" w:rsidR="006F790A" w:rsidRPr="00226F9D" w:rsidRDefault="006F790A" w:rsidP="00090884">
      <w:pPr>
        <w:spacing w:after="0" w:line="240" w:lineRule="auto"/>
        <w:jc w:val="both"/>
        <w:rPr>
          <w:rFonts w:ascii="Times New Roman" w:hAnsi="Times New Roman" w:cs="Times New Roman"/>
          <w:sz w:val="22"/>
          <w:szCs w:val="22"/>
          <w:lang w:val="sr-Cyrl-RS"/>
        </w:rPr>
      </w:pPr>
      <w:r w:rsidRPr="00226F9D">
        <w:rPr>
          <w:rFonts w:ascii="Times New Roman" w:hAnsi="Times New Roman" w:cs="Times New Roman"/>
          <w:lang w:val="sr-Cyrl-RS"/>
        </w:rPr>
        <w:t>Уочљиво</w:t>
      </w:r>
      <w:r w:rsidRPr="00226F9D">
        <w:rPr>
          <w:rFonts w:ascii="Times New Roman" w:hAnsi="Times New Roman" w:cs="Times New Roman"/>
          <w:lang w:val="sr-Latn-RS"/>
        </w:rPr>
        <w:t xml:space="preserve"> </w:t>
      </w:r>
      <w:r w:rsidRPr="00226F9D">
        <w:rPr>
          <w:rFonts w:ascii="Times New Roman" w:hAnsi="Times New Roman" w:cs="Times New Roman"/>
          <w:lang w:val="sr-Cyrl-RS"/>
        </w:rPr>
        <w:t>је даље и</w:t>
      </w:r>
      <w:r w:rsidRPr="00226F9D">
        <w:rPr>
          <w:rFonts w:ascii="Times New Roman" w:hAnsi="Times New Roman" w:cs="Times New Roman"/>
          <w:lang w:val="sr-Latn-RS"/>
        </w:rPr>
        <w:t xml:space="preserve"> </w:t>
      </w:r>
      <w:r w:rsidRPr="00226F9D">
        <w:rPr>
          <w:rFonts w:ascii="Times New Roman" w:hAnsi="Times New Roman" w:cs="Times New Roman"/>
          <w:lang w:val="sr-Cyrl-RS"/>
        </w:rPr>
        <w:t>да се у претходном периоду</w:t>
      </w:r>
      <w:r w:rsidRPr="00226F9D">
        <w:rPr>
          <w:rFonts w:ascii="Times New Roman" w:hAnsi="Times New Roman" w:cs="Times New Roman"/>
          <w:lang w:val="sr-Latn-RS"/>
        </w:rPr>
        <w:t xml:space="preserve"> </w:t>
      </w:r>
      <w:r w:rsidRPr="00226F9D">
        <w:rPr>
          <w:rFonts w:ascii="Times New Roman" w:hAnsi="Times New Roman" w:cs="Times New Roman"/>
          <w:lang w:val="sr-Cyrl-RS"/>
        </w:rPr>
        <w:t>смањује број донетих и акредитованих посебних програма стручног усавршавања</w:t>
      </w:r>
      <w:r w:rsidRPr="00226F9D">
        <w:rPr>
          <w:rFonts w:ascii="Times New Roman" w:hAnsi="Times New Roman" w:cs="Times New Roman"/>
          <w:lang w:val="sr-Latn-RS"/>
        </w:rPr>
        <w:t xml:space="preserve"> </w:t>
      </w:r>
      <w:r w:rsidRPr="00226F9D">
        <w:rPr>
          <w:rFonts w:ascii="Times New Roman" w:hAnsi="Times New Roman" w:cs="Times New Roman"/>
          <w:lang w:val="sr-Cyrl-RS"/>
        </w:rPr>
        <w:t>у</w:t>
      </w:r>
      <w:r w:rsidRPr="00226F9D">
        <w:rPr>
          <w:rFonts w:ascii="Times New Roman" w:hAnsi="Times New Roman" w:cs="Times New Roman"/>
          <w:lang w:val="sr-Latn-RS"/>
        </w:rPr>
        <w:t xml:space="preserve"> </w:t>
      </w:r>
      <w:r w:rsidRPr="00226F9D">
        <w:rPr>
          <w:rFonts w:ascii="Times New Roman" w:hAnsi="Times New Roman" w:cs="Times New Roman"/>
          <w:lang w:val="sr-Cyrl-RS"/>
        </w:rPr>
        <w:t>ЈЛС (ППСУ)</w:t>
      </w:r>
      <w:r w:rsidRPr="00226F9D">
        <w:rPr>
          <w:rFonts w:ascii="Times New Roman" w:hAnsi="Times New Roman" w:cs="Times New Roman"/>
          <w:lang w:val="sr-Latn-RS"/>
        </w:rPr>
        <w:t xml:space="preserve">. </w:t>
      </w:r>
      <w:r w:rsidRPr="00226F9D">
        <w:rPr>
          <w:rFonts w:ascii="Times New Roman" w:hAnsi="Times New Roman" w:cs="Times New Roman"/>
        </w:rPr>
        <w:t>У</w:t>
      </w:r>
      <w:r w:rsidRPr="00226F9D">
        <w:rPr>
          <w:rFonts w:ascii="Times New Roman" w:hAnsi="Times New Roman" w:cs="Times New Roman"/>
          <w:lang w:val="sr-Latn-RS"/>
        </w:rPr>
        <w:t xml:space="preserve"> 2020. </w:t>
      </w:r>
      <w:r w:rsidRPr="00226F9D">
        <w:rPr>
          <w:rFonts w:ascii="Times New Roman" w:hAnsi="Times New Roman" w:cs="Times New Roman"/>
        </w:rPr>
        <w:t>години</w:t>
      </w:r>
      <w:r w:rsidRPr="00226F9D">
        <w:rPr>
          <w:rFonts w:ascii="Times New Roman" w:hAnsi="Times New Roman" w:cs="Times New Roman"/>
          <w:lang w:val="sr-Latn-RS"/>
        </w:rPr>
        <w:t xml:space="preserve"> </w:t>
      </w:r>
      <w:r w:rsidRPr="00226F9D">
        <w:rPr>
          <w:rFonts w:ascii="Times New Roman" w:hAnsi="Times New Roman" w:cs="Times New Roman"/>
        </w:rPr>
        <w:t>акредитовано</w:t>
      </w:r>
      <w:r w:rsidRPr="00226F9D">
        <w:rPr>
          <w:rFonts w:ascii="Times New Roman" w:hAnsi="Times New Roman" w:cs="Times New Roman"/>
          <w:lang w:val="sr-Latn-RS"/>
        </w:rPr>
        <w:t xml:space="preserve"> </w:t>
      </w:r>
      <w:r w:rsidRPr="00226F9D">
        <w:rPr>
          <w:rFonts w:ascii="Times New Roman" w:hAnsi="Times New Roman" w:cs="Times New Roman"/>
          <w:lang w:val="sr-Cyrl-RS"/>
        </w:rPr>
        <w:t xml:space="preserve">је </w:t>
      </w:r>
      <w:r w:rsidRPr="00226F9D">
        <w:rPr>
          <w:rFonts w:ascii="Times New Roman" w:hAnsi="Times New Roman" w:cs="Times New Roman"/>
        </w:rPr>
        <w:t>рекордних</w:t>
      </w:r>
      <w:r w:rsidRPr="00226F9D">
        <w:rPr>
          <w:rFonts w:ascii="Times New Roman" w:hAnsi="Times New Roman" w:cs="Times New Roman"/>
          <w:lang w:val="sr-Latn-RS"/>
        </w:rPr>
        <w:t xml:space="preserve"> 90 </w:t>
      </w:r>
      <w:r w:rsidRPr="00226F9D">
        <w:rPr>
          <w:rFonts w:ascii="Times New Roman" w:hAnsi="Times New Roman" w:cs="Times New Roman"/>
          <w:lang w:val="sr-Cyrl-RS"/>
        </w:rPr>
        <w:t>ППСУ</w:t>
      </w:r>
      <w:r w:rsidRPr="00226F9D">
        <w:rPr>
          <w:rFonts w:ascii="Times New Roman" w:hAnsi="Times New Roman" w:cs="Times New Roman"/>
          <w:lang w:val="sr-Latn-RS"/>
        </w:rPr>
        <w:t xml:space="preserve"> </w:t>
      </w:r>
      <w:r w:rsidRPr="00226F9D">
        <w:rPr>
          <w:rFonts w:ascii="Times New Roman" w:hAnsi="Times New Roman" w:cs="Times New Roman"/>
          <w:lang w:val="sr-Cyrl-RS"/>
        </w:rPr>
        <w:t xml:space="preserve">у ЈЛС за </w:t>
      </w:r>
      <w:r w:rsidRPr="00226F9D">
        <w:rPr>
          <w:rFonts w:ascii="Times New Roman" w:hAnsi="Times New Roman" w:cs="Times New Roman"/>
          <w:lang w:val="sr-Latn-RS"/>
        </w:rPr>
        <w:t xml:space="preserve">2021. </w:t>
      </w:r>
      <w:r w:rsidRPr="00226F9D">
        <w:rPr>
          <w:rFonts w:ascii="Times New Roman" w:hAnsi="Times New Roman" w:cs="Times New Roman"/>
        </w:rPr>
        <w:t>годину</w:t>
      </w:r>
      <w:r w:rsidRPr="00226F9D">
        <w:rPr>
          <w:rFonts w:ascii="Times New Roman" w:hAnsi="Times New Roman" w:cs="Times New Roman"/>
          <w:lang w:val="sr-Latn-RS"/>
        </w:rPr>
        <w:t xml:space="preserve"> (</w:t>
      </w:r>
      <w:r w:rsidRPr="00226F9D">
        <w:rPr>
          <w:rFonts w:ascii="Times New Roman" w:hAnsi="Times New Roman" w:cs="Times New Roman"/>
        </w:rPr>
        <w:t>развијено</w:t>
      </w:r>
      <w:r w:rsidRPr="00226F9D">
        <w:rPr>
          <w:rFonts w:ascii="Times New Roman" w:hAnsi="Times New Roman" w:cs="Times New Roman"/>
          <w:lang w:val="sr-Latn-RS"/>
        </w:rPr>
        <w:t xml:space="preserve"> </w:t>
      </w:r>
      <w:r w:rsidRPr="00226F9D">
        <w:rPr>
          <w:rFonts w:ascii="Times New Roman" w:hAnsi="Times New Roman" w:cs="Times New Roman"/>
          <w:lang w:val="sr-Cyrl-RS"/>
        </w:rPr>
        <w:t xml:space="preserve">уз </w:t>
      </w:r>
      <w:r w:rsidRPr="00226F9D">
        <w:rPr>
          <w:rFonts w:ascii="Times New Roman" w:hAnsi="Times New Roman" w:cs="Times New Roman"/>
        </w:rPr>
        <w:t>директну</w:t>
      </w:r>
      <w:r w:rsidRPr="00226F9D">
        <w:rPr>
          <w:rFonts w:ascii="Times New Roman" w:hAnsi="Times New Roman" w:cs="Times New Roman"/>
          <w:lang w:val="sr-Latn-RS"/>
        </w:rPr>
        <w:t xml:space="preserve"> </w:t>
      </w:r>
      <w:r w:rsidRPr="00226F9D">
        <w:rPr>
          <w:rFonts w:ascii="Times New Roman" w:hAnsi="Times New Roman" w:cs="Times New Roman"/>
          <w:lang w:val="sr-Cyrl-RS"/>
        </w:rPr>
        <w:t xml:space="preserve">пројектну </w:t>
      </w:r>
      <w:r w:rsidRPr="00226F9D">
        <w:rPr>
          <w:rFonts w:ascii="Times New Roman" w:hAnsi="Times New Roman" w:cs="Times New Roman"/>
        </w:rPr>
        <w:t>подршку</w:t>
      </w:r>
      <w:r w:rsidRPr="00226F9D">
        <w:rPr>
          <w:rFonts w:ascii="Times New Roman" w:hAnsi="Times New Roman" w:cs="Times New Roman"/>
          <w:lang w:val="sr-Cyrl-RS"/>
        </w:rPr>
        <w:t xml:space="preserve"> Програма Управљање људским ресурсима у локалној самоуправи – фаза 2</w:t>
      </w:r>
      <w:r w:rsidRPr="00226F9D">
        <w:rPr>
          <w:rFonts w:ascii="Times New Roman" w:hAnsi="Times New Roman" w:cs="Times New Roman"/>
          <w:lang w:val="sr-Latn-RS"/>
        </w:rPr>
        <w:t xml:space="preserve">), </w:t>
      </w:r>
      <w:r w:rsidRPr="00226F9D">
        <w:rPr>
          <w:rFonts w:ascii="Times New Roman" w:hAnsi="Times New Roman" w:cs="Times New Roman"/>
          <w:lang w:val="sr-Cyrl-RS"/>
        </w:rPr>
        <w:t xml:space="preserve">док је, на пример у 2022. години, када није било директне пројектне подршке, НАЈУ акредитовала само </w:t>
      </w:r>
      <w:r w:rsidRPr="00226F9D">
        <w:rPr>
          <w:rFonts w:ascii="Times New Roman" w:hAnsi="Times New Roman" w:cs="Times New Roman"/>
          <w:lang w:val="sr-Latn-RS"/>
        </w:rPr>
        <w:t xml:space="preserve">21 </w:t>
      </w:r>
      <w:r w:rsidRPr="00226F9D">
        <w:rPr>
          <w:rFonts w:ascii="Times New Roman" w:hAnsi="Times New Roman" w:cs="Times New Roman"/>
          <w:lang w:val="sr-Cyrl-RS"/>
        </w:rPr>
        <w:t>ППСУ у ЈЛС. Сличан тренд се наставио и на даље.</w:t>
      </w:r>
    </w:p>
    <w:p w14:paraId="7726A259" w14:textId="77777777" w:rsidR="006F790A" w:rsidRPr="00226F9D" w:rsidRDefault="006F790A" w:rsidP="006B59F4">
      <w:pPr>
        <w:spacing w:after="0" w:line="240" w:lineRule="auto"/>
        <w:jc w:val="both"/>
        <w:rPr>
          <w:rFonts w:ascii="Times New Roman" w:hAnsi="Times New Roman" w:cs="Times New Roman"/>
          <w:lang w:val="sr-Cyrl-RS"/>
        </w:rPr>
      </w:pPr>
    </w:p>
    <w:p w14:paraId="2D1303DC" w14:textId="093B4D09" w:rsidR="000C148A" w:rsidRPr="00226F9D" w:rsidRDefault="5D764493" w:rsidP="00671844">
      <w:pPr>
        <w:spacing w:after="0" w:line="240" w:lineRule="auto"/>
        <w:jc w:val="both"/>
        <w:rPr>
          <w:rFonts w:ascii="Times New Roman" w:hAnsi="Times New Roman" w:cs="Times New Roman"/>
          <w:lang w:val="sr-Cyrl-RS"/>
        </w:rPr>
      </w:pPr>
      <w:r w:rsidRPr="00226F9D">
        <w:rPr>
          <w:rFonts w:ascii="Times New Roman" w:eastAsia="Calibri" w:hAnsi="Times New Roman" w:cs="Times New Roman"/>
          <w:lang w:val="sr-Cyrl-RS"/>
        </w:rPr>
        <w:t>Осим система управљања људским ресурсима, П</w:t>
      </w:r>
      <w:r w:rsidR="4F5E2B8C" w:rsidRPr="00226F9D">
        <w:rPr>
          <w:rFonts w:ascii="Times New Roman" w:eastAsia="Calibri" w:hAnsi="Times New Roman" w:cs="Times New Roman"/>
          <w:lang w:val="sr-Cyrl-RS"/>
        </w:rPr>
        <w:t>РСЛС</w:t>
      </w:r>
      <w:r w:rsidR="7ADB9127"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2021</w:t>
      </w:r>
      <w:r w:rsidR="4F5E2B8C" w:rsidRPr="00226F9D">
        <w:rPr>
          <w:rFonts w:ascii="Times New Roman" w:eastAsia="Calibri" w:hAnsi="Times New Roman" w:cs="Times New Roman"/>
          <w:lang w:val="sr-Cyrl-RS"/>
        </w:rPr>
        <w:t>-</w:t>
      </w:r>
      <w:r w:rsidRPr="00226F9D">
        <w:rPr>
          <w:rFonts w:ascii="Times New Roman" w:eastAsia="Calibri" w:hAnsi="Times New Roman" w:cs="Times New Roman"/>
          <w:lang w:val="sr-Cyrl-RS"/>
        </w:rPr>
        <w:t xml:space="preserve">2025. године </w:t>
      </w:r>
      <w:r w:rsidR="403E094B" w:rsidRPr="00226F9D">
        <w:rPr>
          <w:rFonts w:ascii="Times New Roman" w:eastAsia="Calibri" w:hAnsi="Times New Roman" w:cs="Times New Roman"/>
          <w:lang w:val="sr-Cyrl-RS"/>
        </w:rPr>
        <w:t xml:space="preserve">се </w:t>
      </w:r>
      <w:r w:rsidRPr="00226F9D">
        <w:rPr>
          <w:rFonts w:ascii="Times New Roman" w:eastAsia="Calibri" w:hAnsi="Times New Roman" w:cs="Times New Roman"/>
          <w:lang w:val="sr-Cyrl-RS"/>
        </w:rPr>
        <w:t>бавио посебно и унапређењем организације, функционалном трансформацијом локалне самоуправе и уједначавањем</w:t>
      </w:r>
      <w:r w:rsidR="7ADB9127" w:rsidRPr="00226F9D">
        <w:rPr>
          <w:rFonts w:ascii="Times New Roman" w:eastAsia="Calibri" w:hAnsi="Times New Roman" w:cs="Times New Roman"/>
          <w:lang w:val="sr-Cyrl-RS"/>
        </w:rPr>
        <w:t xml:space="preserve"> организационих облика које оснивају ЈЛС за спровођење својих надлежности и пословa</w:t>
      </w:r>
      <w:r w:rsidRPr="00226F9D">
        <w:rPr>
          <w:rFonts w:ascii="Times New Roman" w:eastAsia="Calibri" w:hAnsi="Times New Roman" w:cs="Times New Roman"/>
          <w:lang w:val="sr-Cyrl-RS"/>
        </w:rPr>
        <w:t>. Међутим, очекивани</w:t>
      </w:r>
      <w:r w:rsidR="7ADB9127" w:rsidRPr="00226F9D">
        <w:rPr>
          <w:rFonts w:ascii="Times New Roman" w:eastAsia="Calibri" w:hAnsi="Times New Roman" w:cs="Times New Roman"/>
          <w:lang w:val="sr-Cyrl-RS"/>
        </w:rPr>
        <w:t xml:space="preserve"> просечан однос основних и пратећих функција у локалној управи није успостављен, док је предуслов за усаглашавање организационих форми ЈЛС са основном типологијом организационих форми које могу да оснивају ЈЛС - измена Закона о локалној самоуправи.</w:t>
      </w:r>
      <w:r w:rsidR="616C715D" w:rsidRPr="00226F9D">
        <w:rPr>
          <w:rFonts w:ascii="Times New Roman" w:eastAsia="Calibri" w:hAnsi="Times New Roman" w:cs="Times New Roman"/>
          <w:lang w:val="sr-Cyrl-RS"/>
        </w:rPr>
        <w:t xml:space="preserve"> </w:t>
      </w:r>
      <w:r w:rsidR="000C148A" w:rsidRPr="00226F9D">
        <w:rPr>
          <w:rFonts w:ascii="Times New Roman" w:eastAsia="Times New Roman" w:hAnsi="Times New Roman" w:cs="Times New Roman"/>
          <w:color w:val="000000"/>
          <w:lang w:val="sr-Cyrl-RS" w:eastAsia="en-GB"/>
        </w:rPr>
        <w:t xml:space="preserve">У погледу управљања људским ресурсима сугерише се континуирано стручно усавршавање и доквалификација службеника, ново запошљавање због непопуњених радних места и одлива кадрова, те унапређење квалификационе структуре запослених. </w:t>
      </w:r>
      <w:r w:rsidR="000C148A" w:rsidRPr="00226F9D">
        <w:rPr>
          <w:rFonts w:ascii="Times New Roman" w:hAnsi="Times New Roman" w:cs="Times New Roman"/>
          <w:lang w:val="sr-Cyrl-RS"/>
        </w:rPr>
        <w:t>Може се констатовати и потреба усклађивања правилника о систематизацији радних места са реалним стањем, сагледаним потребама из планова развоја, средњорочних и кадровских планова, као и предложеног СКГО модела.</w:t>
      </w:r>
    </w:p>
    <w:p w14:paraId="3850AE3D" w14:textId="77777777" w:rsidR="009E56AB" w:rsidRPr="00226F9D" w:rsidRDefault="009E56AB" w:rsidP="00090884">
      <w:pPr>
        <w:spacing w:after="0" w:line="240" w:lineRule="auto"/>
        <w:jc w:val="both"/>
        <w:rPr>
          <w:rFonts w:ascii="Times New Roman" w:hAnsi="Times New Roman" w:cs="Times New Roman"/>
          <w:lang w:val="sr-Cyrl-RS"/>
        </w:rPr>
      </w:pPr>
    </w:p>
    <w:p w14:paraId="5DF540AA" w14:textId="78DA7A90" w:rsidR="006F790A" w:rsidRPr="00226F9D" w:rsidRDefault="006F790A" w:rsidP="00090884">
      <w:pPr>
        <w:spacing w:after="0" w:line="240" w:lineRule="auto"/>
        <w:jc w:val="both"/>
        <w:rPr>
          <w:rStyle w:val="y2iqfc"/>
          <w:rFonts w:ascii="Times New Roman" w:hAnsi="Times New Roman" w:cs="Times New Roman"/>
          <w:lang w:val="sr-Latn-RS"/>
        </w:rPr>
      </w:pPr>
      <w:r w:rsidRPr="00226F9D">
        <w:rPr>
          <w:rFonts w:ascii="Times New Roman" w:hAnsi="Times New Roman" w:cs="Times New Roman"/>
          <w:lang w:val="sr-Cyrl-RS"/>
        </w:rPr>
        <w:t>И у овом делу је значајно још једном поменути да је у периоду у коме је деловао ПР</w:t>
      </w:r>
      <w:r w:rsidR="00DF458A" w:rsidRPr="00226F9D">
        <w:rPr>
          <w:rFonts w:ascii="Times New Roman" w:hAnsi="Times New Roman" w:cs="Times New Roman"/>
          <w:lang w:val="sr-Cyrl-RS"/>
        </w:rPr>
        <w:t>С</w:t>
      </w:r>
      <w:r w:rsidRPr="00226F9D">
        <w:rPr>
          <w:rFonts w:ascii="Times New Roman" w:hAnsi="Times New Roman" w:cs="Times New Roman"/>
          <w:lang w:val="sr-Cyrl-RS"/>
        </w:rPr>
        <w:t>ЛС 2021-2025.</w:t>
      </w:r>
      <w:r w:rsidR="00727B9E" w:rsidRPr="00226F9D">
        <w:rPr>
          <w:rFonts w:ascii="Times New Roman" w:hAnsi="Times New Roman" w:cs="Times New Roman"/>
          <w:lang w:val="sr-Cyrl-RS"/>
        </w:rPr>
        <w:t>,</w:t>
      </w:r>
      <w:r w:rsidRPr="00226F9D">
        <w:rPr>
          <w:rFonts w:ascii="Times New Roman" w:hAnsi="Times New Roman" w:cs="Times New Roman"/>
          <w:lang w:val="sr-Cyrl-RS"/>
        </w:rPr>
        <w:t xml:space="preserve"> </w:t>
      </w:r>
      <w:r w:rsidR="00F45687" w:rsidRPr="00226F9D">
        <w:rPr>
          <w:rFonts w:ascii="Times New Roman" w:hAnsi="Times New Roman" w:cs="Times New Roman"/>
          <w:lang w:val="sr-Cyrl-RS"/>
        </w:rPr>
        <w:t>иако је урађена прва радна верзија измена и допуна Закона о локалној самоуправи</w:t>
      </w:r>
      <w:r w:rsidR="00727B9E" w:rsidRPr="00226F9D">
        <w:rPr>
          <w:rFonts w:ascii="Times New Roman" w:hAnsi="Times New Roman" w:cs="Times New Roman"/>
          <w:lang w:val="sr-Cyrl-RS"/>
        </w:rPr>
        <w:t xml:space="preserve"> -</w:t>
      </w:r>
      <w:r w:rsidR="00F45687" w:rsidRPr="00226F9D">
        <w:rPr>
          <w:rFonts w:ascii="Times New Roman" w:hAnsi="Times New Roman" w:cs="Times New Roman"/>
          <w:lang w:val="sr-Cyrl-RS"/>
        </w:rPr>
        <w:t xml:space="preserve"> </w:t>
      </w:r>
      <w:r w:rsidRPr="00226F9D">
        <w:rPr>
          <w:rFonts w:ascii="Times New Roman" w:hAnsi="Times New Roman" w:cs="Times New Roman"/>
          <w:lang w:val="sr-Cyrl-RS"/>
        </w:rPr>
        <w:t>изостало</w:t>
      </w:r>
      <w:r w:rsidR="00F45687" w:rsidRPr="00226F9D">
        <w:rPr>
          <w:rFonts w:ascii="Times New Roman" w:hAnsi="Times New Roman" w:cs="Times New Roman"/>
          <w:lang w:val="sr-Cyrl-RS"/>
        </w:rPr>
        <w:t xml:space="preserve"> </w:t>
      </w:r>
      <w:r w:rsidRPr="00226F9D">
        <w:rPr>
          <w:rFonts w:ascii="Times New Roman" w:hAnsi="Times New Roman" w:cs="Times New Roman"/>
          <w:lang w:val="sr-Cyrl-RS"/>
        </w:rPr>
        <w:t>планирано доношење</w:t>
      </w:r>
      <w:r w:rsidR="00F45687" w:rsidRPr="00226F9D">
        <w:rPr>
          <w:rFonts w:ascii="Times New Roman" w:hAnsi="Times New Roman" w:cs="Times New Roman"/>
          <w:lang w:val="sr-Cyrl-RS"/>
        </w:rPr>
        <w:t xml:space="preserve"> ових</w:t>
      </w:r>
      <w:r w:rsidRPr="00226F9D">
        <w:rPr>
          <w:rFonts w:ascii="Times New Roman" w:hAnsi="Times New Roman" w:cs="Times New Roman"/>
          <w:lang w:val="sr-Cyrl-RS"/>
        </w:rPr>
        <w:t xml:space="preserve"> измена и допуна</w:t>
      </w:r>
      <w:r w:rsidR="003B3978">
        <w:rPr>
          <w:rFonts w:ascii="Times New Roman" w:hAnsi="Times New Roman" w:cs="Times New Roman"/>
          <w:lang w:val="sr-Cyrl-RS"/>
        </w:rPr>
        <w:t>,</w:t>
      </w:r>
      <w:r w:rsidRPr="00226F9D">
        <w:rPr>
          <w:rFonts w:ascii="Times New Roman" w:hAnsi="Times New Roman" w:cs="Times New Roman"/>
          <w:lang w:val="sr-Cyrl-RS"/>
        </w:rPr>
        <w:t xml:space="preserve"> као и подзаконског акта којим би се уредили организациони облици према природи послова које обављају </w:t>
      </w:r>
      <w:r w:rsidR="008F372B" w:rsidRPr="00226F9D">
        <w:rPr>
          <w:rFonts w:ascii="Times New Roman" w:hAnsi="Times New Roman" w:cs="Times New Roman"/>
          <w:lang w:val="sr-Cyrl-RS"/>
        </w:rPr>
        <w:t>ЈЛС</w:t>
      </w:r>
      <w:r w:rsidRPr="00226F9D">
        <w:rPr>
          <w:rFonts w:ascii="Times New Roman" w:hAnsi="Times New Roman" w:cs="Times New Roman"/>
          <w:lang w:val="sr-Cyrl-RS"/>
        </w:rPr>
        <w:t>, као и основна типологија организационих форми које оснива ЈЛС. Такође, изостала је и друга нормативна претпоставка за организационо уједначавање установа и организација које оснивају ЈЛС у виду уједначавања секторских прописа у појединим областима.</w:t>
      </w:r>
    </w:p>
    <w:p w14:paraId="24BEA61B" w14:textId="77777777" w:rsidR="006F790A" w:rsidRPr="00226F9D" w:rsidRDefault="006F790A" w:rsidP="00090884">
      <w:pPr>
        <w:spacing w:after="0" w:line="240" w:lineRule="auto"/>
        <w:jc w:val="both"/>
        <w:rPr>
          <w:rFonts w:ascii="Times New Roman" w:hAnsi="Times New Roman" w:cs="Times New Roman"/>
          <w:color w:val="1F1F1F"/>
          <w:lang w:val="sr-Cyrl-RS"/>
        </w:rPr>
      </w:pPr>
    </w:p>
    <w:p w14:paraId="1ADE6360" w14:textId="77777777" w:rsidR="00B23E16" w:rsidRPr="00226F9D" w:rsidRDefault="5D764493" w:rsidP="006B59F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У погледу сопствених послова, Устав и ЗЛС при њиховом одређивању примењуј</w:t>
      </w:r>
      <w:r w:rsidR="690C56D1" w:rsidRPr="00226F9D">
        <w:rPr>
          <w:rFonts w:ascii="Times New Roman" w:hAnsi="Times New Roman" w:cs="Times New Roman"/>
          <w:lang w:val="sr-Cyrl-RS"/>
        </w:rPr>
        <w:t>у</w:t>
      </w:r>
      <w:r w:rsidRPr="00226F9D">
        <w:rPr>
          <w:rFonts w:ascii="Times New Roman" w:hAnsi="Times New Roman" w:cs="Times New Roman"/>
          <w:lang w:val="sr-Cyrl-RS"/>
        </w:rPr>
        <w:t xml:space="preserve"> начело монотипности, односно све општине, градови и Град Београд, имају у својој надлежности идентичне послове. Овај приступ не одражава разлике које између ЈЛС постоје (географске и демографске карактеристике, економски, техничко-технолошки потенцијал, људски ресурси). Изазови се огледају у томе да се у појединим ЈЛС не обављају одређени послови, да неки </w:t>
      </w:r>
      <w:r w:rsidRPr="00226F9D">
        <w:rPr>
          <w:rFonts w:ascii="Times New Roman" w:hAnsi="Times New Roman" w:cs="Times New Roman"/>
          <w:lang w:val="sr-Cyrl-RS"/>
        </w:rPr>
        <w:lastRenderedPageBreak/>
        <w:t>послови нису примерени конкретној ЈЛС, да она није у могућности или има тешкоће да их обавља или да је њихово обављање нерационално.</w:t>
      </w:r>
      <w:r w:rsidR="006F790A" w:rsidRPr="00226F9D">
        <w:rPr>
          <w:rStyle w:val="FootnoteReference"/>
          <w:rFonts w:ascii="Times New Roman" w:hAnsi="Times New Roman" w:cs="Times New Roman"/>
          <w:lang w:val="sr-Cyrl-RS"/>
        </w:rPr>
        <w:footnoteReference w:id="53"/>
      </w:r>
      <w:r w:rsidRPr="00226F9D">
        <w:rPr>
          <w:rFonts w:ascii="Times New Roman" w:hAnsi="Times New Roman" w:cs="Times New Roman"/>
          <w:lang w:val="sr-Cyrl-RS"/>
        </w:rPr>
        <w:t xml:space="preserve"> </w:t>
      </w:r>
    </w:p>
    <w:p w14:paraId="6DE11B87" w14:textId="77777777" w:rsidR="00B23E16" w:rsidRPr="00226F9D" w:rsidRDefault="00B23E16" w:rsidP="006B59F4">
      <w:pPr>
        <w:spacing w:after="0" w:line="240" w:lineRule="auto"/>
        <w:jc w:val="both"/>
        <w:rPr>
          <w:rFonts w:ascii="Times New Roman" w:hAnsi="Times New Roman" w:cs="Times New Roman"/>
          <w:lang w:val="sr-Cyrl-RS"/>
        </w:rPr>
      </w:pPr>
    </w:p>
    <w:p w14:paraId="40F72650" w14:textId="6DE035DB" w:rsidR="006F790A" w:rsidRPr="00226F9D" w:rsidRDefault="006F790A" w:rsidP="006B59F4">
      <w:pPr>
        <w:spacing w:after="0" w:line="240" w:lineRule="auto"/>
        <w:jc w:val="both"/>
        <w:rPr>
          <w:rFonts w:ascii="Times New Roman" w:eastAsia="Times New Roman" w:hAnsi="Times New Roman" w:cs="Times New Roman"/>
          <w:color w:val="000000"/>
          <w:lang w:val="sr-Cyrl-RS" w:eastAsia="en-GB"/>
        </w:rPr>
      </w:pPr>
      <w:r w:rsidRPr="00226F9D">
        <w:rPr>
          <w:rFonts w:ascii="Times New Roman" w:eastAsia="Times New Roman" w:hAnsi="Times New Roman" w:cs="Times New Roman"/>
          <w:color w:val="000000"/>
          <w:lang w:val="sr-Cyrl-RS" w:eastAsia="en-GB"/>
        </w:rPr>
        <w:t xml:space="preserve">Подстицање међуопштинске сарадње (МОС) у обављању основних и пратећих функција локалне самоуправе један је од начина да се адресира проблем недовољних и неодговарајућих капацитета. Њена сврха је да се удруживањем ресурса (организационих, људских, финансијских, инфраструктурних) две или више ЈЛС унапреди квалитет и ефикасност </w:t>
      </w:r>
      <w:r w:rsidR="00136A11" w:rsidRPr="00226F9D">
        <w:rPr>
          <w:rFonts w:ascii="Times New Roman" w:eastAsia="Times New Roman" w:hAnsi="Times New Roman" w:cs="Times New Roman"/>
          <w:color w:val="000000"/>
          <w:lang w:val="sr-Cyrl-RS" w:eastAsia="en-GB"/>
        </w:rPr>
        <w:t xml:space="preserve">обављања </w:t>
      </w:r>
      <w:r w:rsidRPr="00226F9D">
        <w:rPr>
          <w:rFonts w:ascii="Times New Roman" w:eastAsia="Times New Roman" w:hAnsi="Times New Roman" w:cs="Times New Roman"/>
          <w:color w:val="000000"/>
          <w:lang w:val="sr-Cyrl-RS" w:eastAsia="en-GB"/>
        </w:rPr>
        <w:t>послова локалне самоуправе, али и уштеде средстава за пружање јавних услуга. Код мањих ЈЛС ова потреба произлази из скромности ресурса којима располажу и великог оптерећења релативно широким обимом надлежности који је веома сличан оном код великих ЈЛС, а код већих се она заснива на могућности унапређења квалитета и економичности постизањем ефеката економије обима. Важно је истаћи да МОС нипошто није исто што и успостављање новог нивоа власти на територији коју обухвата, јер се конкретна међуопштинска партнерства успостављају као одговор на различите потребе и не морају сва имати исте чланице, нити су нужно регионално ограничене. Да би МОС била успешна, неопходно је јасно дефинисати њен предмет, субјекте и поступке за успостављање и функционисање (што је прописано допунама ЗЛС 2018. године), као и очекивана унапређења у вези са заједничким обављањем одређеног посла.</w:t>
      </w:r>
    </w:p>
    <w:p w14:paraId="68944E1D" w14:textId="77777777" w:rsidR="001B731B" w:rsidRPr="00226F9D" w:rsidRDefault="001B731B" w:rsidP="006B59F4">
      <w:pPr>
        <w:spacing w:after="0" w:line="240" w:lineRule="auto"/>
        <w:jc w:val="both"/>
        <w:rPr>
          <w:rFonts w:ascii="Times New Roman" w:eastAsia="Times New Roman" w:hAnsi="Times New Roman" w:cs="Times New Roman"/>
          <w:color w:val="000000"/>
          <w:lang w:val="sr-Cyrl-RS" w:eastAsia="en-GB"/>
        </w:rPr>
      </w:pPr>
    </w:p>
    <w:p w14:paraId="72F207AB" w14:textId="77777777" w:rsidR="006F790A" w:rsidRPr="00226F9D" w:rsidRDefault="5D764493" w:rsidP="006B59F4">
      <w:pPr>
        <w:spacing w:after="0" w:line="240" w:lineRule="auto"/>
        <w:jc w:val="both"/>
        <w:rPr>
          <w:rFonts w:ascii="Times New Roman" w:eastAsia="Times New Roman" w:hAnsi="Times New Roman" w:cs="Times New Roman"/>
          <w:color w:val="000000"/>
          <w:lang w:val="sr-Cyrl-RS" w:eastAsia="en-GB"/>
        </w:rPr>
      </w:pPr>
      <w:r w:rsidRPr="00226F9D">
        <w:rPr>
          <w:rFonts w:ascii="Times New Roman" w:eastAsia="Times New Roman" w:hAnsi="Times New Roman" w:cs="Times New Roman"/>
          <w:color w:val="000000"/>
          <w:lang w:val="sr-Cyrl-RS" w:eastAsia="en-GB"/>
        </w:rPr>
        <w:t>И концептуално и у међународној пракси постоје различити облици МОС, као и различите врсте односа и подршке централних и/или регионалних власти према МОС. Правни оквир за МОС у Србији обухвата велики број прописа, укључујући Закон о локалној самоуправи, Закон о државној управи, као и неке секторске законе.</w:t>
      </w:r>
      <w:r w:rsidR="006F790A" w:rsidRPr="00226F9D">
        <w:rPr>
          <w:rStyle w:val="FootnoteReference"/>
          <w:rFonts w:ascii="Times New Roman" w:eastAsia="Times New Roman" w:hAnsi="Times New Roman" w:cs="Times New Roman"/>
          <w:color w:val="000000"/>
          <w:lang w:val="sr-Cyrl-RS" w:eastAsia="en-GB"/>
        </w:rPr>
        <w:footnoteReference w:id="54"/>
      </w:r>
      <w:r w:rsidRPr="00226F9D">
        <w:rPr>
          <w:rFonts w:ascii="Times New Roman" w:eastAsia="Times New Roman" w:hAnsi="Times New Roman" w:cs="Times New Roman"/>
          <w:color w:val="000000"/>
          <w:lang w:val="sr-Cyrl-RS" w:eastAsia="en-GB"/>
        </w:rPr>
        <w:t xml:space="preserve"> Треба разликовати МОС у спровођењу изворних и поверених послова ЛС, јер је код потоњих наглашена надзорна улога државних органа. То је у складу са ЕПЛС, која предвиђа да виши нивои власти могу надзирати целисходност обављања поверених послова. ЕПЛС предвиђа право на сарадњу ЈЛС и на оснивање конзорцијума за обављање послова од заједничког интереса.</w:t>
      </w:r>
    </w:p>
    <w:p w14:paraId="4A1D29C0" w14:textId="77777777" w:rsidR="006F790A" w:rsidRPr="00226F9D" w:rsidRDefault="006F790A" w:rsidP="006B59F4">
      <w:pPr>
        <w:spacing w:after="0" w:line="240" w:lineRule="auto"/>
        <w:jc w:val="both"/>
        <w:rPr>
          <w:rFonts w:ascii="Times New Roman" w:eastAsia="Times New Roman" w:hAnsi="Times New Roman" w:cs="Times New Roman"/>
          <w:color w:val="000000"/>
          <w:lang w:val="sr-Cyrl-RS" w:eastAsia="en-GB"/>
        </w:rPr>
      </w:pPr>
    </w:p>
    <w:p w14:paraId="18815D08" w14:textId="2782EAD1" w:rsidR="00D46FB3" w:rsidRPr="00226F9D" w:rsidRDefault="5D764493" w:rsidP="006B59F4">
      <w:pPr>
        <w:spacing w:after="0" w:line="240" w:lineRule="auto"/>
        <w:jc w:val="both"/>
        <w:rPr>
          <w:rFonts w:ascii="Times New Roman" w:eastAsia="Times New Roman" w:hAnsi="Times New Roman" w:cs="Times New Roman"/>
          <w:color w:val="000000"/>
          <w:lang w:val="sr-Cyrl-RS" w:eastAsia="en-GB"/>
        </w:rPr>
      </w:pPr>
      <w:r w:rsidRPr="00226F9D">
        <w:rPr>
          <w:rFonts w:ascii="Times New Roman" w:eastAsia="Calibri" w:hAnsi="Times New Roman" w:cs="Times New Roman"/>
          <w:lang w:val="sr-Cyrl-RS"/>
        </w:rPr>
        <w:t>Кроз пројекат „Локална самоуправа за 21. век”</w:t>
      </w:r>
      <w:r w:rsidR="00FE7554"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 xml:space="preserve">који је спроводило МДУЛС, </w:t>
      </w:r>
      <w:r w:rsidR="5EBF1D86" w:rsidRPr="00226F9D">
        <w:rPr>
          <w:rFonts w:ascii="Times New Roman" w:eastAsia="Calibri" w:hAnsi="Times New Roman" w:cs="Times New Roman"/>
          <w:lang w:val="sr-Cyrl-RS"/>
        </w:rPr>
        <w:t xml:space="preserve"> финансијски је </w:t>
      </w:r>
      <w:r w:rsidR="5EBF1D86" w:rsidRPr="00226F9D">
        <w:rPr>
          <w:rFonts w:ascii="Times New Roman" w:hAnsi="Times New Roman" w:cs="Times New Roman"/>
          <w:shd w:val="clear" w:color="auto" w:fill="FFFFFF"/>
          <w:lang w:val="sr-Cyrl-RS"/>
        </w:rPr>
        <w:t>подржано</w:t>
      </w:r>
      <w:r w:rsidR="5EBF1D86" w:rsidRPr="00226F9D">
        <w:rPr>
          <w:rFonts w:ascii="Times New Roman" w:eastAsia="Calibri" w:hAnsi="Times New Roman" w:cs="Times New Roman"/>
          <w:lang w:val="sr-Cyrl-RS"/>
        </w:rPr>
        <w:t xml:space="preserve"> </w:t>
      </w:r>
      <w:r w:rsidR="5EBF1D86" w:rsidRPr="00226F9D">
        <w:rPr>
          <w:rFonts w:ascii="Times New Roman" w:hAnsi="Times New Roman" w:cs="Times New Roman"/>
          <w:shd w:val="clear" w:color="auto" w:fill="FFFFFF"/>
          <w:lang w:val="sr-Cyrl-RS"/>
        </w:rPr>
        <w:t xml:space="preserve">12 међуопштинских пројеката, чиме је тестирано успостављање државних подстицаја за МОС, што је посебно значајно јер је 2024. године </w:t>
      </w:r>
      <w:r w:rsidR="5EBF1D86" w:rsidRPr="00226F9D">
        <w:rPr>
          <w:rFonts w:ascii="Times New Roman" w:eastAsia="Times New Roman" w:hAnsi="Times New Roman" w:cs="Times New Roman"/>
          <w:color w:val="000000"/>
          <w:lang w:val="sr-Cyrl-RS" w:eastAsia="en-GB"/>
        </w:rPr>
        <w:t>измењен Правилник o начину и критеријумима расподеле средстава за финансирање програма подршке развоју и функционисању система ЛС,</w:t>
      </w:r>
      <w:r w:rsidR="00D46FB3" w:rsidRPr="00226F9D">
        <w:rPr>
          <w:rStyle w:val="FootnoteReference"/>
          <w:rFonts w:ascii="Times New Roman" w:eastAsia="Times New Roman" w:hAnsi="Times New Roman" w:cs="Times New Roman"/>
          <w:color w:val="000000"/>
          <w:lang w:val="sr-Cyrl-RS" w:eastAsia="en-GB"/>
        </w:rPr>
        <w:footnoteReference w:id="55"/>
      </w:r>
      <w:r w:rsidR="5EBF1D86" w:rsidRPr="00226F9D">
        <w:rPr>
          <w:rFonts w:ascii="Times New Roman" w:eastAsia="Times New Roman" w:hAnsi="Times New Roman" w:cs="Times New Roman"/>
          <w:color w:val="000000"/>
          <w:lang w:val="sr-Cyrl-RS" w:eastAsia="en-GB"/>
        </w:rPr>
        <w:t xml:space="preserve"> у коме су сада препознати и међуопштински пројекти</w:t>
      </w:r>
      <w:r w:rsidR="5EBF1D86" w:rsidRPr="00226F9D">
        <w:rPr>
          <w:rFonts w:ascii="Times New Roman" w:hAnsi="Times New Roman" w:cs="Times New Roman"/>
          <w:shd w:val="clear" w:color="auto" w:fill="FFFFFF"/>
          <w:lang w:val="sr-Cyrl-RS"/>
        </w:rPr>
        <w:t xml:space="preserve">. </w:t>
      </w:r>
      <w:r w:rsidRPr="00226F9D">
        <w:rPr>
          <w:rFonts w:ascii="Times New Roman" w:hAnsi="Times New Roman" w:cs="Times New Roman"/>
          <w:shd w:val="clear" w:color="auto" w:fill="FFFFFF"/>
          <w:lang w:val="sr-Cyrl-RS"/>
        </w:rPr>
        <w:t>Изузетно је важно што је МДУЛС обезбедило</w:t>
      </w:r>
      <w:r w:rsidR="5EBF1D86" w:rsidRPr="00226F9D">
        <w:rPr>
          <w:rFonts w:ascii="Times New Roman" w:hAnsi="Times New Roman" w:cs="Times New Roman"/>
          <w:shd w:val="clear" w:color="auto" w:fill="FFFFFF"/>
          <w:lang w:val="sr-Cyrl-RS"/>
        </w:rPr>
        <w:t xml:space="preserve"> одрживост овог механизма и </w:t>
      </w:r>
      <w:r w:rsidRPr="00226F9D">
        <w:rPr>
          <w:rFonts w:ascii="Times New Roman" w:hAnsi="Times New Roman" w:cs="Times New Roman"/>
          <w:shd w:val="clear" w:color="auto" w:fill="FFFFFF"/>
          <w:lang w:val="sr-Cyrl-RS"/>
        </w:rPr>
        <w:t xml:space="preserve">да ће </w:t>
      </w:r>
      <w:r w:rsidR="5EBF1D86" w:rsidRPr="00226F9D">
        <w:rPr>
          <w:rFonts w:ascii="Times New Roman" w:hAnsi="Times New Roman" w:cs="Times New Roman"/>
          <w:shd w:val="clear" w:color="auto" w:fill="FFFFFF"/>
          <w:lang w:val="sr-Cyrl-RS"/>
        </w:rPr>
        <w:t xml:space="preserve">кроз Буџетски фонд наставити да стимулише удруживање градова и општина, док се од </w:t>
      </w:r>
      <w:r w:rsidRPr="00226F9D">
        <w:rPr>
          <w:rFonts w:ascii="Times New Roman" w:hAnsi="Times New Roman" w:cs="Times New Roman"/>
          <w:shd w:val="clear" w:color="auto" w:fill="FFFFFF"/>
          <w:lang w:val="sr-Cyrl-RS"/>
        </w:rPr>
        <w:t xml:space="preserve">даљих </w:t>
      </w:r>
      <w:r w:rsidR="5EBF1D86" w:rsidRPr="00226F9D">
        <w:rPr>
          <w:rFonts w:ascii="Times New Roman" w:hAnsi="Times New Roman" w:cs="Times New Roman"/>
          <w:shd w:val="clear" w:color="auto" w:fill="FFFFFF"/>
          <w:lang w:val="sr-Cyrl-RS"/>
        </w:rPr>
        <w:t>измена З</w:t>
      </w:r>
      <w:r w:rsidR="17D0AC32" w:rsidRPr="00226F9D">
        <w:rPr>
          <w:rFonts w:ascii="Times New Roman" w:hAnsi="Times New Roman" w:cs="Times New Roman"/>
          <w:shd w:val="clear" w:color="auto" w:fill="FFFFFF"/>
          <w:lang w:val="sr-Cyrl-RS"/>
        </w:rPr>
        <w:t xml:space="preserve">ЛС </w:t>
      </w:r>
      <w:r w:rsidR="5EBF1D86" w:rsidRPr="00226F9D">
        <w:rPr>
          <w:rFonts w:ascii="Times New Roman" w:hAnsi="Times New Roman" w:cs="Times New Roman"/>
          <w:shd w:val="clear" w:color="auto" w:fill="FFFFFF"/>
          <w:lang w:val="sr-Cyrl-RS"/>
        </w:rPr>
        <w:t>очекује унапређење основног и секторског правног оквира у циљу развоја МОС.</w:t>
      </w:r>
      <w:r w:rsidR="5EBF1D86" w:rsidRPr="00226F9D">
        <w:rPr>
          <w:rFonts w:ascii="Times New Roman" w:eastAsia="Times New Roman" w:hAnsi="Times New Roman" w:cs="Times New Roman"/>
          <w:color w:val="000000"/>
          <w:lang w:val="sr-Cyrl-RS" w:eastAsia="en-GB"/>
        </w:rPr>
        <w:t xml:space="preserve"> Ов</w:t>
      </w:r>
      <w:r w:rsidR="7402E6C6" w:rsidRPr="00226F9D">
        <w:rPr>
          <w:rFonts w:ascii="Times New Roman" w:eastAsia="Times New Roman" w:hAnsi="Times New Roman" w:cs="Times New Roman"/>
          <w:color w:val="000000"/>
          <w:lang w:val="sr-Cyrl-RS" w:eastAsia="en-GB"/>
        </w:rPr>
        <w:t>а</w:t>
      </w:r>
      <w:r w:rsidR="5EBF1D86" w:rsidRPr="00226F9D">
        <w:rPr>
          <w:rFonts w:ascii="Times New Roman" w:eastAsia="Times New Roman" w:hAnsi="Times New Roman" w:cs="Times New Roman"/>
          <w:color w:val="000000"/>
          <w:lang w:val="sr-Cyrl-RS" w:eastAsia="en-GB"/>
        </w:rPr>
        <w:t>ј</w:t>
      </w:r>
      <w:r w:rsidR="7402E6C6" w:rsidRPr="00226F9D">
        <w:rPr>
          <w:rFonts w:ascii="Times New Roman" w:eastAsia="Times New Roman" w:hAnsi="Times New Roman" w:cs="Times New Roman"/>
          <w:color w:val="000000"/>
          <w:lang w:val="sr-Cyrl-RS" w:eastAsia="en-GB"/>
        </w:rPr>
        <w:t xml:space="preserve"> процес</w:t>
      </w:r>
      <w:r w:rsidR="5EBF1D86" w:rsidRPr="00226F9D">
        <w:rPr>
          <w:rFonts w:ascii="Times New Roman" w:eastAsia="Times New Roman" w:hAnsi="Times New Roman" w:cs="Times New Roman"/>
          <w:color w:val="000000"/>
          <w:lang w:val="sr-Cyrl-RS" w:eastAsia="en-GB"/>
        </w:rPr>
        <w:t xml:space="preserve"> подржан</w:t>
      </w:r>
      <w:r w:rsidR="7402E6C6" w:rsidRPr="00226F9D">
        <w:rPr>
          <w:rFonts w:ascii="Times New Roman" w:eastAsia="Times New Roman" w:hAnsi="Times New Roman" w:cs="Times New Roman"/>
          <w:color w:val="000000"/>
          <w:lang w:val="sr-Cyrl-RS" w:eastAsia="en-GB"/>
        </w:rPr>
        <w:t xml:space="preserve"> је</w:t>
      </w:r>
      <w:r w:rsidR="5EBF1D86" w:rsidRPr="00226F9D">
        <w:rPr>
          <w:rFonts w:ascii="Times New Roman" w:eastAsia="Times New Roman" w:hAnsi="Times New Roman" w:cs="Times New Roman"/>
          <w:color w:val="000000"/>
          <w:lang w:val="sr-Cyrl-RS" w:eastAsia="en-GB"/>
        </w:rPr>
        <w:t xml:space="preserve"> </w:t>
      </w:r>
      <w:r w:rsidR="7402E6C6" w:rsidRPr="00226F9D">
        <w:rPr>
          <w:rFonts w:ascii="Times New Roman" w:eastAsia="Times New Roman" w:hAnsi="Times New Roman" w:cs="Times New Roman"/>
          <w:color w:val="000000"/>
          <w:lang w:val="sr-Cyrl-RS" w:eastAsia="en-GB"/>
        </w:rPr>
        <w:t xml:space="preserve">налазима </w:t>
      </w:r>
      <w:r w:rsidR="5EBF1D86" w:rsidRPr="00226F9D">
        <w:rPr>
          <w:rFonts w:ascii="Times New Roman" w:eastAsia="Times New Roman" w:hAnsi="Times New Roman" w:cs="Times New Roman"/>
          <w:color w:val="000000"/>
          <w:lang w:val="sr-Cyrl-RS" w:eastAsia="en-GB"/>
        </w:rPr>
        <w:t>анализ</w:t>
      </w:r>
      <w:r w:rsidR="7402E6C6" w:rsidRPr="00226F9D">
        <w:rPr>
          <w:rFonts w:ascii="Times New Roman" w:eastAsia="Times New Roman" w:hAnsi="Times New Roman" w:cs="Times New Roman"/>
          <w:color w:val="000000"/>
          <w:lang w:val="sr-Cyrl-RS" w:eastAsia="en-GB"/>
        </w:rPr>
        <w:t>е</w:t>
      </w:r>
      <w:r w:rsidR="5EBF1D86" w:rsidRPr="00226F9D">
        <w:rPr>
          <w:rFonts w:ascii="Times New Roman" w:eastAsia="Times New Roman" w:hAnsi="Times New Roman" w:cs="Times New Roman"/>
          <w:color w:val="000000"/>
          <w:lang w:val="sr-Cyrl-RS" w:eastAsia="en-GB"/>
        </w:rPr>
        <w:t xml:space="preserve"> потреба за успостављање</w:t>
      </w:r>
      <w:r w:rsidR="5EBF1D86" w:rsidRPr="00226F9D">
        <w:rPr>
          <w:rFonts w:ascii="Times New Roman" w:eastAsia="Times New Roman" w:hAnsi="Times New Roman" w:cs="Times New Roman"/>
          <w:color w:val="000000" w:themeColor="text1"/>
          <w:lang w:val="sr-Cyrl-RS" w:eastAsia="en-GB"/>
        </w:rPr>
        <w:t>м</w:t>
      </w:r>
      <w:r w:rsidR="5EBF1D86" w:rsidRPr="00226F9D">
        <w:rPr>
          <w:rFonts w:ascii="Times New Roman" w:eastAsia="Times New Roman" w:hAnsi="Times New Roman" w:cs="Times New Roman"/>
          <w:color w:val="000000"/>
          <w:lang w:val="sr-Cyrl-RS" w:eastAsia="en-GB"/>
        </w:rPr>
        <w:t xml:space="preserve"> јединственог националног фонда за финансирање МОС, </w:t>
      </w:r>
      <w:r w:rsidR="3281D002" w:rsidRPr="00226F9D">
        <w:rPr>
          <w:rFonts w:ascii="Times New Roman" w:eastAsia="Times New Roman" w:hAnsi="Times New Roman" w:cs="Times New Roman"/>
          <w:color w:val="000000"/>
          <w:lang w:val="sr-Cyrl-RS" w:eastAsia="en-GB"/>
        </w:rPr>
        <w:t>која је израђена у оквиру</w:t>
      </w:r>
      <w:r w:rsidR="149668F5" w:rsidRPr="00226F9D">
        <w:rPr>
          <w:rFonts w:ascii="Times New Roman" w:eastAsia="Times New Roman" w:hAnsi="Times New Roman" w:cs="Times New Roman"/>
          <w:color w:val="000000"/>
          <w:lang w:val="sr-Cyrl-RS" w:eastAsia="en-GB"/>
        </w:rPr>
        <w:t xml:space="preserve"> ПРСЛС 2021-2025</w:t>
      </w:r>
      <w:r w:rsidR="5EBF1D86" w:rsidRPr="00226F9D">
        <w:rPr>
          <w:rFonts w:ascii="Times New Roman" w:eastAsia="Times New Roman" w:hAnsi="Times New Roman" w:cs="Times New Roman"/>
          <w:color w:val="000000"/>
          <w:lang w:val="sr-Cyrl-RS" w:eastAsia="en-GB"/>
        </w:rPr>
        <w:t>.</w:t>
      </w:r>
    </w:p>
    <w:p w14:paraId="35DAA8A4" w14:textId="77777777" w:rsidR="00D46FB3" w:rsidRPr="00226F9D" w:rsidRDefault="00D46FB3" w:rsidP="006B59F4">
      <w:pPr>
        <w:spacing w:after="0" w:line="240" w:lineRule="auto"/>
        <w:jc w:val="both"/>
        <w:rPr>
          <w:rFonts w:ascii="Times New Roman" w:hAnsi="Times New Roman" w:cs="Times New Roman"/>
          <w:lang w:val="sr-Cyrl-RS"/>
        </w:rPr>
      </w:pPr>
    </w:p>
    <w:p w14:paraId="0EA84A27" w14:textId="451E583C" w:rsidR="007C7806" w:rsidRPr="00226F9D" w:rsidRDefault="08752BF8" w:rsidP="006B59F4">
      <w:pPr>
        <w:spacing w:after="0" w:line="240" w:lineRule="auto"/>
        <w:jc w:val="both"/>
        <w:rPr>
          <w:rFonts w:ascii="Times New Roman" w:hAnsi="Times New Roman" w:cs="Times New Roman"/>
          <w:lang w:val="sr-Cyrl-RS"/>
        </w:rPr>
      </w:pPr>
      <w:r w:rsidRPr="00226F9D">
        <w:rPr>
          <w:rFonts w:ascii="Times New Roman" w:eastAsia="Times New Roman" w:hAnsi="Times New Roman" w:cs="Times New Roman"/>
          <w:lang w:val="sr-Cyrl-RS"/>
        </w:rPr>
        <w:t xml:space="preserve">МОС </w:t>
      </w:r>
      <w:r w:rsidR="0A9BA0F9" w:rsidRPr="00226F9D">
        <w:rPr>
          <w:rFonts w:ascii="Times New Roman" w:eastAsia="Times New Roman" w:hAnsi="Times New Roman" w:cs="Times New Roman"/>
          <w:lang w:val="sr-Cyrl-RS"/>
        </w:rPr>
        <w:t xml:space="preserve">је један од кључева даљег развоја локалних услуга. Наставак њеног развоја представља важан корак ка унапређењу квалитета и доступности локалних услуга. Активности спроведене у оквиру </w:t>
      </w:r>
      <w:r w:rsidR="325E1EB8" w:rsidRPr="00226F9D">
        <w:rPr>
          <w:rFonts w:ascii="Times New Roman" w:eastAsia="Times New Roman" w:hAnsi="Times New Roman" w:cs="Times New Roman"/>
          <w:lang w:val="sr-Cyrl-RS"/>
        </w:rPr>
        <w:t>П</w:t>
      </w:r>
      <w:r w:rsidR="0A9BA0F9" w:rsidRPr="00226F9D">
        <w:rPr>
          <w:rFonts w:ascii="Times New Roman" w:eastAsia="Times New Roman" w:hAnsi="Times New Roman" w:cs="Times New Roman"/>
          <w:lang w:val="sr-Cyrl-RS"/>
        </w:rPr>
        <w:t xml:space="preserve">рограма значајно су допринеле </w:t>
      </w:r>
      <w:r w:rsidR="50ABDD62" w:rsidRPr="00226F9D">
        <w:rPr>
          <w:rFonts w:ascii="Times New Roman" w:eastAsia="Times New Roman" w:hAnsi="Times New Roman" w:cs="Times New Roman"/>
          <w:lang w:val="sr-Cyrl-RS"/>
        </w:rPr>
        <w:t xml:space="preserve">њеном </w:t>
      </w:r>
      <w:r w:rsidR="0A9BA0F9" w:rsidRPr="00226F9D">
        <w:rPr>
          <w:rFonts w:ascii="Times New Roman" w:eastAsia="Times New Roman" w:hAnsi="Times New Roman" w:cs="Times New Roman"/>
          <w:lang w:val="sr-Cyrl-RS"/>
        </w:rPr>
        <w:t xml:space="preserve">јачању у Србији. Значајан раст броја ЈЛС које улазе у </w:t>
      </w:r>
      <w:r w:rsidR="50ABDD62" w:rsidRPr="00226F9D">
        <w:rPr>
          <w:rFonts w:ascii="Times New Roman" w:eastAsia="Times New Roman" w:hAnsi="Times New Roman" w:cs="Times New Roman"/>
          <w:lang w:val="sr-Cyrl-RS"/>
        </w:rPr>
        <w:t xml:space="preserve">МОС </w:t>
      </w:r>
      <w:r w:rsidR="0A9BA0F9" w:rsidRPr="00226F9D">
        <w:rPr>
          <w:rFonts w:ascii="Times New Roman" w:eastAsia="Times New Roman" w:hAnsi="Times New Roman" w:cs="Times New Roman"/>
          <w:lang w:val="sr-Cyrl-RS"/>
        </w:rPr>
        <w:t>је евидентан, те подаци показују да је закључно са 202</w:t>
      </w:r>
      <w:r w:rsidR="2325ECB3" w:rsidRPr="00226F9D">
        <w:rPr>
          <w:rFonts w:ascii="Times New Roman" w:eastAsia="Times New Roman" w:hAnsi="Times New Roman" w:cs="Times New Roman"/>
          <w:lang w:val="sr-Cyrl-RS"/>
        </w:rPr>
        <w:t>5</w:t>
      </w:r>
      <w:r w:rsidR="0A9BA0F9" w:rsidRPr="00226F9D">
        <w:rPr>
          <w:rFonts w:ascii="Times New Roman" w:eastAsia="Times New Roman" w:hAnsi="Times New Roman" w:cs="Times New Roman"/>
          <w:lang w:val="sr-Cyrl-RS"/>
        </w:rPr>
        <w:t xml:space="preserve">. годином </w:t>
      </w:r>
      <w:r w:rsidR="2325ECB3" w:rsidRPr="00226F9D">
        <w:rPr>
          <w:rFonts w:ascii="Times New Roman" w:eastAsia="Times New Roman" w:hAnsi="Times New Roman" w:cs="Times New Roman"/>
          <w:lang w:val="sr-Cyrl-RS"/>
        </w:rPr>
        <w:t xml:space="preserve">90 </w:t>
      </w:r>
      <w:r w:rsidR="0A9BA0F9" w:rsidRPr="00226F9D">
        <w:rPr>
          <w:rFonts w:ascii="Times New Roman" w:eastAsia="Times New Roman" w:hAnsi="Times New Roman" w:cs="Times New Roman"/>
          <w:lang w:val="sr-Cyrl-RS"/>
        </w:rPr>
        <w:t>ЈЛС успоставило МОС, што представља 6</w:t>
      </w:r>
      <w:r w:rsidR="2325ECB3" w:rsidRPr="00226F9D">
        <w:rPr>
          <w:rFonts w:ascii="Times New Roman" w:eastAsia="Times New Roman" w:hAnsi="Times New Roman" w:cs="Times New Roman"/>
          <w:lang w:val="sr-Cyrl-RS"/>
        </w:rPr>
        <w:t>2</w:t>
      </w:r>
      <w:r w:rsidR="0A9BA0F9" w:rsidRPr="00226F9D">
        <w:rPr>
          <w:rFonts w:ascii="Times New Roman" w:eastAsia="Times New Roman" w:hAnsi="Times New Roman" w:cs="Times New Roman"/>
          <w:lang w:val="sr-Cyrl-RS"/>
        </w:rPr>
        <w:t xml:space="preserve">% ЈЛС у Србији. Позитивни резултати су препознати и </w:t>
      </w:r>
      <w:r w:rsidR="0A9BA0F9" w:rsidRPr="00226F9D">
        <w:rPr>
          <w:rFonts w:ascii="Times New Roman" w:eastAsia="Times New Roman" w:hAnsi="Times New Roman" w:cs="Times New Roman"/>
          <w:lang w:val="sr-Cyrl-RS"/>
        </w:rPr>
        <w:lastRenderedPageBreak/>
        <w:t>у извештајима СИГМА-е, која је високо оценила досадашње напоре и задовољство корисника услуга настал</w:t>
      </w:r>
      <w:r w:rsidR="1E6BA6E9" w:rsidRPr="00226F9D">
        <w:rPr>
          <w:rFonts w:ascii="Times New Roman" w:eastAsia="Times New Roman" w:hAnsi="Times New Roman" w:cs="Times New Roman"/>
          <w:lang w:val="sr-Cyrl-RS"/>
        </w:rPr>
        <w:t>е</w:t>
      </w:r>
      <w:r w:rsidR="0A9BA0F9" w:rsidRPr="00226F9D">
        <w:rPr>
          <w:rFonts w:ascii="Times New Roman" w:eastAsia="Times New Roman" w:hAnsi="Times New Roman" w:cs="Times New Roman"/>
          <w:lang w:val="sr-Cyrl-RS"/>
        </w:rPr>
        <w:t xml:space="preserve"> као резултат ових сарадњи.</w:t>
      </w:r>
      <w:r w:rsidR="00C6471B" w:rsidRPr="00226F9D">
        <w:rPr>
          <w:rStyle w:val="FootnoteReference"/>
          <w:rFonts w:ascii="Times New Roman" w:eastAsia="Times New Roman" w:hAnsi="Times New Roman" w:cs="Times New Roman"/>
          <w:lang w:val="sr-Cyrl-RS"/>
        </w:rPr>
        <w:footnoteReference w:id="56"/>
      </w:r>
    </w:p>
    <w:p w14:paraId="4BB6FD73" w14:textId="77777777" w:rsidR="0049382D" w:rsidRPr="00226F9D" w:rsidRDefault="0049382D" w:rsidP="006B59F4">
      <w:pPr>
        <w:spacing w:after="0" w:line="240" w:lineRule="auto"/>
        <w:jc w:val="both"/>
        <w:rPr>
          <w:rFonts w:ascii="Times New Roman" w:eastAsia="Times New Roman" w:hAnsi="Times New Roman" w:cs="Times New Roman"/>
          <w:color w:val="000000"/>
          <w:lang w:val="sr-Cyrl-RS" w:eastAsia="en-GB"/>
        </w:rPr>
      </w:pPr>
    </w:p>
    <w:p w14:paraId="087250BB" w14:textId="600088E4" w:rsidR="00772E48" w:rsidRPr="00226F9D" w:rsidRDefault="00C62F0B" w:rsidP="006B59F4">
      <w:pPr>
        <w:spacing w:after="0" w:line="240" w:lineRule="auto"/>
        <w:jc w:val="both"/>
        <w:rPr>
          <w:rFonts w:ascii="Times New Roman" w:eastAsia="Times New Roman" w:hAnsi="Times New Roman" w:cs="Times New Roman"/>
          <w:color w:val="000000"/>
          <w:lang w:val="sr-Cyrl-RS" w:eastAsia="en-GB"/>
        </w:rPr>
      </w:pPr>
      <w:r w:rsidRPr="00226F9D">
        <w:rPr>
          <w:rFonts w:ascii="Times New Roman" w:eastAsia="Times New Roman" w:hAnsi="Times New Roman" w:cs="Times New Roman"/>
          <w:lang w:val="sr-Cyrl-RS"/>
        </w:rPr>
        <w:t xml:space="preserve">Даљи развој и интензивирање МОС подразумева </w:t>
      </w:r>
      <w:r w:rsidR="00351313" w:rsidRPr="00226F9D">
        <w:rPr>
          <w:rFonts w:ascii="Times New Roman" w:eastAsia="Times New Roman" w:hAnsi="Times New Roman" w:cs="Times New Roman"/>
          <w:lang w:val="sr-Cyrl-RS"/>
        </w:rPr>
        <w:t xml:space="preserve">даљу реформу системског закона о локалној самоуправи </w:t>
      </w:r>
      <w:r w:rsidR="00C91FEF" w:rsidRPr="00226F9D">
        <w:rPr>
          <w:rFonts w:ascii="Times New Roman" w:eastAsia="Times New Roman" w:hAnsi="Times New Roman" w:cs="Times New Roman"/>
          <w:lang w:val="sr-Cyrl-RS"/>
        </w:rPr>
        <w:t xml:space="preserve">и </w:t>
      </w:r>
      <w:r w:rsidR="00351313" w:rsidRPr="00226F9D">
        <w:rPr>
          <w:rFonts w:ascii="Times New Roman" w:eastAsia="Times New Roman" w:hAnsi="Times New Roman" w:cs="Times New Roman"/>
          <w:color w:val="000000"/>
          <w:lang w:val="sr-Cyrl-RS" w:eastAsia="en-GB"/>
        </w:rPr>
        <w:t>измене и допуне појединачних одредби у низу секторских прописа, које тренутно отежавају остваривање потенцијала за МОС у различитим областима у надлежности  локалне самоуправе</w:t>
      </w:r>
      <w:r w:rsidR="00351313" w:rsidRPr="00226F9D">
        <w:rPr>
          <w:rFonts w:ascii="Times New Roman" w:eastAsia="Times New Roman" w:hAnsi="Times New Roman" w:cs="Times New Roman"/>
          <w:lang w:val="sr-Cyrl-RS"/>
        </w:rPr>
        <w:t xml:space="preserve">, </w:t>
      </w:r>
      <w:r w:rsidRPr="00226F9D">
        <w:rPr>
          <w:rFonts w:ascii="Times New Roman" w:eastAsia="Times New Roman" w:hAnsi="Times New Roman" w:cs="Times New Roman"/>
          <w:lang w:val="sr-Cyrl-RS"/>
        </w:rPr>
        <w:t xml:space="preserve">како би се омогућио флексибилнији приступ заједничком решавању проблема, ефикасније коришћење ресурса и унапређење квалитета јавних услуга. </w:t>
      </w:r>
      <w:r w:rsidR="00772E48" w:rsidRPr="00226F9D">
        <w:rPr>
          <w:rFonts w:ascii="Times New Roman" w:eastAsia="Times New Roman" w:hAnsi="Times New Roman" w:cs="Times New Roman"/>
          <w:lang w:val="sr-Cyrl-RS"/>
        </w:rPr>
        <w:t>Потребно је наставити финансијску подршку пројектима МОС у спровођењу услуг</w:t>
      </w:r>
      <w:r w:rsidR="0023790E" w:rsidRPr="00226F9D">
        <w:rPr>
          <w:rFonts w:ascii="Times New Roman" w:eastAsia="Times New Roman" w:hAnsi="Times New Roman" w:cs="Times New Roman"/>
          <w:lang w:val="sr-Cyrl-RS"/>
        </w:rPr>
        <w:t>а</w:t>
      </w:r>
      <w:r w:rsidR="003C35ED" w:rsidRPr="00226F9D">
        <w:rPr>
          <w:rFonts w:ascii="Times New Roman" w:eastAsia="Times New Roman" w:hAnsi="Times New Roman" w:cs="Times New Roman"/>
          <w:lang w:val="sr-Cyrl-RS"/>
        </w:rPr>
        <w:t>,</w:t>
      </w:r>
      <w:r w:rsidR="0023790E" w:rsidRPr="00226F9D">
        <w:rPr>
          <w:rFonts w:ascii="Times New Roman" w:eastAsia="Times New Roman" w:hAnsi="Times New Roman" w:cs="Times New Roman"/>
          <w:lang w:val="sr-Cyrl-RS"/>
        </w:rPr>
        <w:t xml:space="preserve"> односно ширити подстицаје за квалитетније и економичније </w:t>
      </w:r>
      <w:r w:rsidR="0023790E" w:rsidRPr="00226F9D">
        <w:rPr>
          <w:rFonts w:ascii="Times New Roman" w:eastAsia="Times New Roman" w:hAnsi="Times New Roman" w:cs="Times New Roman"/>
          <w:color w:val="000000"/>
          <w:lang w:val="sr-Cyrl-RS" w:eastAsia="en-GB"/>
        </w:rPr>
        <w:t>обављање послова локалне самоуправе кроз МОС</w:t>
      </w:r>
      <w:r w:rsidR="0023790E" w:rsidRPr="00226F9D">
        <w:rPr>
          <w:rFonts w:ascii="Times New Roman" w:eastAsia="Times New Roman" w:hAnsi="Times New Roman" w:cs="Times New Roman"/>
          <w:lang w:val="sr-Cyrl-RS"/>
        </w:rPr>
        <w:t>. Н</w:t>
      </w:r>
      <w:r w:rsidR="00351313" w:rsidRPr="00226F9D">
        <w:rPr>
          <w:rFonts w:ascii="Times New Roman" w:eastAsia="Times New Roman" w:hAnsi="Times New Roman" w:cs="Times New Roman"/>
          <w:lang w:val="sr-Cyrl-RS"/>
        </w:rPr>
        <w:t>еопходно</w:t>
      </w:r>
      <w:r w:rsidR="00772E48" w:rsidRPr="00226F9D">
        <w:rPr>
          <w:rFonts w:ascii="Times New Roman" w:eastAsia="Times New Roman" w:hAnsi="Times New Roman" w:cs="Times New Roman"/>
          <w:lang w:val="sr-Cyrl-RS"/>
        </w:rPr>
        <w:t xml:space="preserve"> је наставити подршку у виду израде модела међуопштинских споразума и других пратећих локалних аката, припрем</w:t>
      </w:r>
      <w:r w:rsidR="00FB6652" w:rsidRPr="00226F9D">
        <w:rPr>
          <w:rFonts w:ascii="Times New Roman" w:eastAsia="Times New Roman" w:hAnsi="Times New Roman" w:cs="Times New Roman"/>
          <w:lang w:val="sr-Cyrl-RS"/>
        </w:rPr>
        <w:t>у</w:t>
      </w:r>
      <w:r w:rsidR="00772E48" w:rsidRPr="00226F9D">
        <w:rPr>
          <w:rFonts w:ascii="Times New Roman" w:eastAsia="Times New Roman" w:hAnsi="Times New Roman" w:cs="Times New Roman"/>
          <w:lang w:val="sr-Cyrl-RS"/>
        </w:rPr>
        <w:t xml:space="preserve"> смерница и упутства за закључивање и спровођење МОС, саветодавну подршку и др. </w:t>
      </w:r>
      <w:r w:rsidR="00351313" w:rsidRPr="00226F9D">
        <w:rPr>
          <w:rFonts w:ascii="Times New Roman" w:eastAsia="Times New Roman" w:hAnsi="Times New Roman" w:cs="Times New Roman"/>
          <w:lang w:val="sr-Cyrl-RS"/>
        </w:rPr>
        <w:t>Коначно,</w:t>
      </w:r>
      <w:r w:rsidR="00351313" w:rsidRPr="00226F9D">
        <w:rPr>
          <w:rFonts w:ascii="Times New Roman" w:eastAsia="Times New Roman" w:hAnsi="Times New Roman" w:cs="Times New Roman"/>
          <w:color w:val="000000"/>
          <w:lang w:val="sr-Cyrl-RS" w:eastAsia="en-GB"/>
        </w:rPr>
        <w:t xml:space="preserve"> важно је и увођење система ефикасног надзора централних власти над међуопштинским обављањем послова из поверених надлежности локалне самоуправе.</w:t>
      </w:r>
    </w:p>
    <w:p w14:paraId="2CF56E37" w14:textId="77777777" w:rsidR="00381471" w:rsidRPr="00226F9D" w:rsidRDefault="00381471" w:rsidP="006B59F4">
      <w:pPr>
        <w:spacing w:after="0" w:line="240" w:lineRule="auto"/>
        <w:jc w:val="both"/>
        <w:rPr>
          <w:rFonts w:ascii="Times New Roman" w:eastAsia="Times New Roman" w:hAnsi="Times New Roman" w:cs="Times New Roman"/>
          <w:color w:val="000000"/>
          <w:lang w:val="sr-Cyrl-RS" w:eastAsia="en-GB"/>
        </w:rPr>
      </w:pPr>
    </w:p>
    <w:p w14:paraId="1B3EBCEA" w14:textId="1FA411FB" w:rsidR="00E63ECC" w:rsidRPr="00226F9D" w:rsidRDefault="29B6C0B4" w:rsidP="00E63ECC">
      <w:pPr>
        <w:spacing w:after="0" w:line="240" w:lineRule="auto"/>
        <w:jc w:val="both"/>
        <w:rPr>
          <w:rFonts w:ascii="Times New Roman" w:eastAsia="Times New Roman" w:hAnsi="Times New Roman" w:cs="Times New Roman"/>
          <w:lang w:val="sr-Latn-RS" w:eastAsia="en-GB"/>
        </w:rPr>
      </w:pPr>
      <w:r w:rsidRPr="00226F9D">
        <w:rPr>
          <w:rFonts w:ascii="Times New Roman" w:eastAsia="Times New Roman" w:hAnsi="Times New Roman" w:cs="Times New Roman"/>
          <w:lang w:val="sr-Cyrl-RS" w:eastAsia="en-GB"/>
        </w:rPr>
        <w:t>У</w:t>
      </w:r>
      <w:r w:rsidR="4AC7170F" w:rsidRPr="00226F9D">
        <w:rPr>
          <w:rFonts w:ascii="Times New Roman" w:eastAsia="Times New Roman" w:hAnsi="Times New Roman" w:cs="Times New Roman"/>
          <w:lang w:val="sr-Cyrl-RS" w:eastAsia="en-GB"/>
        </w:rPr>
        <w:t xml:space="preserve"> обухвату </w:t>
      </w:r>
      <w:r w:rsidR="769AEBDB" w:rsidRPr="00226F9D">
        <w:rPr>
          <w:rFonts w:ascii="Times New Roman" w:eastAsia="Times New Roman" w:hAnsi="Times New Roman" w:cs="Times New Roman"/>
          <w:lang w:val="sr-Cyrl-RS" w:eastAsia="en-GB"/>
        </w:rPr>
        <w:t>трећег посебног циља ПРСЛС 2021-2025</w:t>
      </w:r>
      <w:r w:rsidR="3101D45C" w:rsidRPr="00226F9D">
        <w:rPr>
          <w:rFonts w:ascii="Times New Roman" w:eastAsia="Times New Roman" w:hAnsi="Times New Roman" w:cs="Times New Roman"/>
          <w:lang w:val="sr-Cyrl-RS" w:eastAsia="en-GB"/>
        </w:rPr>
        <w:t>, значајно место (</w:t>
      </w:r>
      <w:r w:rsidR="2DAAAE22" w:rsidRPr="00226F9D">
        <w:rPr>
          <w:rFonts w:ascii="Times New Roman" w:eastAsia="Times New Roman" w:hAnsi="Times New Roman" w:cs="Times New Roman"/>
          <w:lang w:val="sr-Cyrl-RS" w:eastAsia="en-GB"/>
        </w:rPr>
        <w:t xml:space="preserve">са посвећеном </w:t>
      </w:r>
      <w:r w:rsidR="3101D45C" w:rsidRPr="00226F9D">
        <w:rPr>
          <w:rFonts w:ascii="Times New Roman" w:eastAsia="Times New Roman" w:hAnsi="Times New Roman" w:cs="Times New Roman"/>
          <w:lang w:val="sr-Cyrl-RS" w:eastAsia="en-GB"/>
        </w:rPr>
        <w:t>посебн</w:t>
      </w:r>
      <w:r w:rsidR="2DAAAE22" w:rsidRPr="00226F9D">
        <w:rPr>
          <w:rFonts w:ascii="Times New Roman" w:eastAsia="Times New Roman" w:hAnsi="Times New Roman" w:cs="Times New Roman"/>
          <w:lang w:val="sr-Cyrl-RS" w:eastAsia="en-GB"/>
        </w:rPr>
        <w:t>ом</w:t>
      </w:r>
      <w:r w:rsidR="3101D45C" w:rsidRPr="00226F9D">
        <w:rPr>
          <w:rFonts w:ascii="Times New Roman" w:eastAsia="Times New Roman" w:hAnsi="Times New Roman" w:cs="Times New Roman"/>
          <w:lang w:val="sr-Cyrl-RS" w:eastAsia="en-GB"/>
        </w:rPr>
        <w:t xml:space="preserve"> мер</w:t>
      </w:r>
      <w:r w:rsidR="2DAAAE22" w:rsidRPr="00226F9D">
        <w:rPr>
          <w:rFonts w:ascii="Times New Roman" w:eastAsia="Times New Roman" w:hAnsi="Times New Roman" w:cs="Times New Roman"/>
          <w:lang w:val="sr-Cyrl-RS" w:eastAsia="en-GB"/>
        </w:rPr>
        <w:t>ом</w:t>
      </w:r>
      <w:r w:rsidR="3101D45C" w:rsidRPr="00226F9D">
        <w:rPr>
          <w:rFonts w:ascii="Times New Roman" w:eastAsia="Times New Roman" w:hAnsi="Times New Roman" w:cs="Times New Roman"/>
          <w:lang w:val="sr-Cyrl-RS" w:eastAsia="en-GB"/>
        </w:rPr>
        <w:t xml:space="preserve">) </w:t>
      </w:r>
      <w:r w:rsidR="433DB0D0" w:rsidRPr="00226F9D">
        <w:rPr>
          <w:rFonts w:ascii="Times New Roman" w:eastAsia="Times New Roman" w:hAnsi="Times New Roman" w:cs="Times New Roman"/>
          <w:lang w:val="sr-Cyrl-RS" w:eastAsia="en-GB"/>
        </w:rPr>
        <w:t>имало је и у</w:t>
      </w:r>
      <w:r w:rsidRPr="00226F9D">
        <w:rPr>
          <w:rFonts w:ascii="Times New Roman" w:eastAsia="Times New Roman" w:hAnsi="Times New Roman" w:cs="Times New Roman"/>
          <w:lang w:val="sr-Cyrl-RS" w:eastAsia="en-GB"/>
        </w:rPr>
        <w:t>напређење развојног планирања на локалном нивоу</w:t>
      </w:r>
      <w:r w:rsidR="2DAAAE22" w:rsidRPr="00226F9D">
        <w:rPr>
          <w:rFonts w:ascii="Times New Roman" w:eastAsia="Times New Roman" w:hAnsi="Times New Roman" w:cs="Times New Roman"/>
          <w:lang w:val="sr-Cyrl-RS" w:eastAsia="en-GB"/>
        </w:rPr>
        <w:t>.</w:t>
      </w:r>
      <w:r w:rsidR="0D781A49" w:rsidRPr="00226F9D">
        <w:rPr>
          <w:rFonts w:ascii="Times New Roman" w:eastAsia="Times New Roman" w:hAnsi="Times New Roman" w:cs="Times New Roman"/>
          <w:lang w:val="sr-Cyrl-RS" w:eastAsia="en-GB"/>
        </w:rPr>
        <w:t xml:space="preserve"> Објективн</w:t>
      </w:r>
      <w:r w:rsidR="63944393" w:rsidRPr="00226F9D">
        <w:rPr>
          <w:rFonts w:ascii="Times New Roman" w:eastAsia="Times New Roman" w:hAnsi="Times New Roman" w:cs="Times New Roman"/>
          <w:lang w:val="sr-Cyrl-RS" w:eastAsia="en-GB"/>
        </w:rPr>
        <w:t xml:space="preserve">а је оцена да </w:t>
      </w:r>
      <w:r w:rsidR="0494A1C0" w:rsidRPr="00226F9D">
        <w:rPr>
          <w:rFonts w:ascii="Times New Roman" w:eastAsia="Times New Roman" w:hAnsi="Times New Roman" w:cs="Times New Roman"/>
          <w:lang w:val="sr-Cyrl-RS" w:eastAsia="en-GB"/>
        </w:rPr>
        <w:t>се</w:t>
      </w:r>
      <w:r w:rsidR="79295399" w:rsidRPr="00226F9D">
        <w:rPr>
          <w:rFonts w:ascii="Times New Roman" w:eastAsia="Times New Roman" w:hAnsi="Times New Roman" w:cs="Times New Roman"/>
          <w:lang w:val="sr-Cyrl-RS" w:eastAsia="en-GB"/>
        </w:rPr>
        <w:t xml:space="preserve"> реализација Програма у претходном периоду</w:t>
      </w:r>
      <w:r w:rsidR="0494A1C0" w:rsidRPr="00226F9D">
        <w:rPr>
          <w:rFonts w:ascii="Times New Roman" w:eastAsia="Times New Roman" w:hAnsi="Times New Roman" w:cs="Times New Roman"/>
          <w:lang w:val="sr-Cyrl-RS" w:eastAsia="en-GB"/>
        </w:rPr>
        <w:t xml:space="preserve"> показала </w:t>
      </w:r>
      <w:r w:rsidR="3763BCD9" w:rsidRPr="00226F9D">
        <w:rPr>
          <w:rFonts w:ascii="Times New Roman" w:eastAsia="Times New Roman" w:hAnsi="Times New Roman" w:cs="Times New Roman"/>
          <w:lang w:val="sr-Cyrl-RS" w:eastAsia="en-GB"/>
        </w:rPr>
        <w:t xml:space="preserve">изразито релевантном </w:t>
      </w:r>
      <w:r w:rsidR="12E6C109" w:rsidRPr="00226F9D">
        <w:rPr>
          <w:rFonts w:ascii="Times New Roman" w:eastAsia="Times New Roman" w:hAnsi="Times New Roman" w:cs="Times New Roman"/>
          <w:lang w:val="sr-Cyrl-RS" w:eastAsia="en-GB"/>
        </w:rPr>
        <w:t>кроз активности које су представљале дир</w:t>
      </w:r>
      <w:r w:rsidR="2AD5D93B" w:rsidRPr="00226F9D">
        <w:rPr>
          <w:rFonts w:ascii="Times New Roman" w:eastAsia="Times New Roman" w:hAnsi="Times New Roman" w:cs="Times New Roman"/>
          <w:lang w:val="sr-Cyrl-RS" w:eastAsia="en-GB"/>
        </w:rPr>
        <w:t>ек</w:t>
      </w:r>
      <w:r w:rsidR="12E6C109" w:rsidRPr="00226F9D">
        <w:rPr>
          <w:rFonts w:ascii="Times New Roman" w:eastAsia="Times New Roman" w:hAnsi="Times New Roman" w:cs="Times New Roman"/>
          <w:lang w:val="sr-Cyrl-RS" w:eastAsia="en-GB"/>
        </w:rPr>
        <w:t>т</w:t>
      </w:r>
      <w:r w:rsidR="2AD5D93B" w:rsidRPr="00226F9D">
        <w:rPr>
          <w:rFonts w:ascii="Times New Roman" w:eastAsia="Times New Roman" w:hAnsi="Times New Roman" w:cs="Times New Roman"/>
          <w:lang w:val="sr-Cyrl-RS" w:eastAsia="en-GB"/>
        </w:rPr>
        <w:t>н</w:t>
      </w:r>
      <w:r w:rsidR="12E6C109" w:rsidRPr="00226F9D">
        <w:rPr>
          <w:rFonts w:ascii="Times New Roman" w:eastAsia="Times New Roman" w:hAnsi="Times New Roman" w:cs="Times New Roman"/>
          <w:lang w:val="sr-Cyrl-RS" w:eastAsia="en-GB"/>
        </w:rPr>
        <w:t>у операционализацију примене</w:t>
      </w:r>
      <w:r w:rsidR="2AD5D93B" w:rsidRPr="00226F9D">
        <w:rPr>
          <w:rFonts w:ascii="Times New Roman" w:eastAsia="Times New Roman" w:hAnsi="Times New Roman" w:cs="Times New Roman"/>
          <w:lang w:val="sr-Cyrl-RS" w:eastAsia="en-GB"/>
        </w:rPr>
        <w:t xml:space="preserve"> Закона о планском систему и пратећих Уредби </w:t>
      </w:r>
      <w:r w:rsidR="282540D8" w:rsidRPr="00226F9D">
        <w:rPr>
          <w:rFonts w:ascii="Times New Roman" w:eastAsia="Times New Roman" w:hAnsi="Times New Roman" w:cs="Times New Roman"/>
          <w:lang w:val="sr-Cyrl-RS" w:eastAsia="en-GB"/>
        </w:rPr>
        <w:t>на локалном нивоу</w:t>
      </w:r>
      <w:r w:rsidR="00797A9B">
        <w:rPr>
          <w:rFonts w:ascii="Times New Roman" w:eastAsia="Times New Roman" w:hAnsi="Times New Roman" w:cs="Times New Roman"/>
          <w:lang w:val="sr-Cyrl-RS" w:eastAsia="en-GB"/>
        </w:rPr>
        <w:t>, и примерени</w:t>
      </w:r>
      <w:r w:rsidR="498BBF72" w:rsidRPr="00226F9D">
        <w:rPr>
          <w:rFonts w:ascii="Times New Roman" w:eastAsia="Times New Roman" w:hAnsi="Times New Roman" w:cs="Times New Roman"/>
          <w:lang w:val="sr-Cyrl-RS" w:eastAsia="en-GB"/>
        </w:rPr>
        <w:t xml:space="preserve">м потребама </w:t>
      </w:r>
      <w:r w:rsidR="768A6D00" w:rsidRPr="00226F9D">
        <w:rPr>
          <w:rFonts w:ascii="Times New Roman" w:eastAsia="Times New Roman" w:hAnsi="Times New Roman" w:cs="Times New Roman"/>
          <w:lang w:val="sr-Cyrl-RS" w:eastAsia="en-GB"/>
        </w:rPr>
        <w:t>градова и општина</w:t>
      </w:r>
      <w:r w:rsidR="282540D8" w:rsidRPr="00226F9D">
        <w:rPr>
          <w:rFonts w:ascii="Times New Roman" w:eastAsia="Times New Roman" w:hAnsi="Times New Roman" w:cs="Times New Roman"/>
          <w:lang w:val="sr-Cyrl-RS" w:eastAsia="en-GB"/>
        </w:rPr>
        <w:t xml:space="preserve">. </w:t>
      </w:r>
      <w:r w:rsidR="5A2DEEC7" w:rsidRPr="00226F9D">
        <w:rPr>
          <w:rFonts w:ascii="Times New Roman" w:eastAsia="Times New Roman" w:hAnsi="Times New Roman" w:cs="Times New Roman"/>
          <w:lang w:val="sr-Cyrl-RS" w:eastAsia="en-GB"/>
        </w:rPr>
        <w:t>Са становишта временског оквира</w:t>
      </w:r>
      <w:r w:rsidR="768A6D00" w:rsidRPr="00226F9D">
        <w:rPr>
          <w:rFonts w:ascii="Times New Roman" w:eastAsia="Times New Roman" w:hAnsi="Times New Roman" w:cs="Times New Roman"/>
          <w:lang w:val="sr-Cyrl-RS" w:eastAsia="en-GB"/>
        </w:rPr>
        <w:t xml:space="preserve">, </w:t>
      </w:r>
      <w:r w:rsidR="07456CBE" w:rsidRPr="00226F9D">
        <w:rPr>
          <w:rFonts w:ascii="Times New Roman" w:eastAsia="Times New Roman" w:hAnsi="Times New Roman" w:cs="Times New Roman"/>
          <w:lang w:val="sr-Cyrl-RS" w:eastAsia="en-GB"/>
        </w:rPr>
        <w:t>након стабилизације правн</w:t>
      </w:r>
      <w:r w:rsidR="473723E0" w:rsidRPr="00226F9D">
        <w:rPr>
          <w:rFonts w:ascii="Times New Roman" w:eastAsia="Times New Roman" w:hAnsi="Times New Roman" w:cs="Times New Roman"/>
          <w:lang w:val="sr-Cyrl-RS" w:eastAsia="en-GB"/>
        </w:rPr>
        <w:t>е</w:t>
      </w:r>
      <w:r w:rsidR="07456CBE" w:rsidRPr="00226F9D">
        <w:rPr>
          <w:rFonts w:ascii="Times New Roman" w:eastAsia="Times New Roman" w:hAnsi="Times New Roman" w:cs="Times New Roman"/>
          <w:lang w:val="sr-Cyrl-RS" w:eastAsia="en-GB"/>
        </w:rPr>
        <w:t xml:space="preserve"> и методолошк</w:t>
      </w:r>
      <w:r w:rsidR="473723E0" w:rsidRPr="00226F9D">
        <w:rPr>
          <w:rFonts w:ascii="Times New Roman" w:eastAsia="Times New Roman" w:hAnsi="Times New Roman" w:cs="Times New Roman"/>
          <w:lang w:val="sr-Cyrl-RS" w:eastAsia="en-GB"/>
        </w:rPr>
        <w:t>е</w:t>
      </w:r>
      <w:r w:rsidR="07456CBE" w:rsidRPr="00226F9D">
        <w:rPr>
          <w:rFonts w:ascii="Times New Roman" w:eastAsia="Times New Roman" w:hAnsi="Times New Roman" w:cs="Times New Roman"/>
          <w:lang w:val="sr-Cyrl-RS" w:eastAsia="en-GB"/>
        </w:rPr>
        <w:t xml:space="preserve"> </w:t>
      </w:r>
      <w:r w:rsidR="473723E0" w:rsidRPr="00226F9D">
        <w:rPr>
          <w:rFonts w:ascii="Times New Roman" w:eastAsia="Times New Roman" w:hAnsi="Times New Roman" w:cs="Times New Roman"/>
          <w:lang w:val="sr-Cyrl-RS" w:eastAsia="en-GB"/>
        </w:rPr>
        <w:t>поставке</w:t>
      </w:r>
      <w:r w:rsidR="73313136" w:rsidRPr="00226F9D">
        <w:rPr>
          <w:rFonts w:ascii="Times New Roman" w:eastAsia="Times New Roman" w:hAnsi="Times New Roman" w:cs="Times New Roman"/>
          <w:lang w:val="sr-Cyrl-RS" w:eastAsia="en-GB"/>
        </w:rPr>
        <w:t xml:space="preserve"> </w:t>
      </w:r>
      <w:r w:rsidR="3E0FE34D" w:rsidRPr="00226F9D">
        <w:rPr>
          <w:rFonts w:ascii="Times New Roman" w:eastAsia="Times New Roman" w:hAnsi="Times New Roman" w:cs="Times New Roman"/>
          <w:lang w:val="sr-Cyrl-RS" w:eastAsia="en-GB"/>
        </w:rPr>
        <w:t xml:space="preserve">(са смерницама посебно </w:t>
      </w:r>
      <w:r w:rsidR="7579BDD3" w:rsidRPr="00226F9D">
        <w:rPr>
          <w:rFonts w:ascii="Times New Roman" w:eastAsia="Times New Roman" w:hAnsi="Times New Roman" w:cs="Times New Roman"/>
          <w:lang w:val="sr-Cyrl-RS" w:eastAsia="en-GB"/>
        </w:rPr>
        <w:t>адаптираним за градове и општине), управо је претходн</w:t>
      </w:r>
      <w:r w:rsidR="76D2C630" w:rsidRPr="00226F9D">
        <w:rPr>
          <w:rFonts w:ascii="Times New Roman" w:eastAsia="Times New Roman" w:hAnsi="Times New Roman" w:cs="Times New Roman"/>
          <w:lang w:val="sr-Cyrl-RS" w:eastAsia="en-GB"/>
        </w:rPr>
        <w:t>и</w:t>
      </w:r>
      <w:r w:rsidR="7579BDD3" w:rsidRPr="00226F9D">
        <w:rPr>
          <w:rFonts w:ascii="Times New Roman" w:eastAsia="Times New Roman" w:hAnsi="Times New Roman" w:cs="Times New Roman"/>
          <w:lang w:val="sr-Cyrl-RS" w:eastAsia="en-GB"/>
        </w:rPr>
        <w:t xml:space="preserve"> петогодишњ</w:t>
      </w:r>
      <w:r w:rsidR="76D2C630" w:rsidRPr="00226F9D">
        <w:rPr>
          <w:rFonts w:ascii="Times New Roman" w:eastAsia="Times New Roman" w:hAnsi="Times New Roman" w:cs="Times New Roman"/>
          <w:lang w:val="sr-Cyrl-RS" w:eastAsia="en-GB"/>
        </w:rPr>
        <w:t xml:space="preserve">и период био кључан </w:t>
      </w:r>
      <w:r w:rsidR="08D910E9" w:rsidRPr="00226F9D">
        <w:rPr>
          <w:rFonts w:ascii="Times New Roman" w:eastAsia="Times New Roman" w:hAnsi="Times New Roman" w:cs="Times New Roman"/>
          <w:lang w:val="sr-Cyrl-RS" w:eastAsia="en-GB"/>
        </w:rPr>
        <w:t xml:space="preserve">за </w:t>
      </w:r>
      <w:r w:rsidR="7494431F" w:rsidRPr="00226F9D">
        <w:rPr>
          <w:rFonts w:ascii="Times New Roman" w:eastAsia="Times New Roman" w:hAnsi="Times New Roman" w:cs="Times New Roman"/>
          <w:lang w:val="sr-Cyrl-RS" w:eastAsia="en-GB"/>
        </w:rPr>
        <w:t xml:space="preserve">активно и </w:t>
      </w:r>
      <w:r w:rsidR="08D910E9" w:rsidRPr="00226F9D">
        <w:rPr>
          <w:rFonts w:ascii="Times New Roman" w:eastAsia="Times New Roman" w:hAnsi="Times New Roman" w:cs="Times New Roman"/>
          <w:lang w:val="sr-Cyrl-RS" w:eastAsia="en-GB"/>
        </w:rPr>
        <w:t>ефективно</w:t>
      </w:r>
      <w:r w:rsidR="7494431F" w:rsidRPr="00226F9D">
        <w:rPr>
          <w:rFonts w:ascii="Times New Roman" w:eastAsia="Times New Roman" w:hAnsi="Times New Roman" w:cs="Times New Roman"/>
          <w:lang w:val="sr-Cyrl-RS" w:eastAsia="en-GB"/>
        </w:rPr>
        <w:t xml:space="preserve"> усвајање знања и вештина</w:t>
      </w:r>
      <w:r w:rsidR="2C9E01ED" w:rsidRPr="00226F9D">
        <w:rPr>
          <w:rFonts w:ascii="Times New Roman" w:eastAsia="Times New Roman" w:hAnsi="Times New Roman" w:cs="Times New Roman"/>
          <w:lang w:val="sr-Cyrl-RS" w:eastAsia="en-GB"/>
        </w:rPr>
        <w:t xml:space="preserve"> неопходних локалним самоуправама </w:t>
      </w:r>
      <w:r w:rsidR="03C0CC9B" w:rsidRPr="00226F9D">
        <w:rPr>
          <w:rFonts w:ascii="Times New Roman" w:eastAsia="Times New Roman" w:hAnsi="Times New Roman" w:cs="Times New Roman"/>
          <w:lang w:val="sr-Cyrl-RS" w:eastAsia="en-GB"/>
        </w:rPr>
        <w:t xml:space="preserve">за израду кровних планских докумената </w:t>
      </w:r>
      <w:r w:rsidR="4E0716A9" w:rsidRPr="00226F9D">
        <w:rPr>
          <w:rFonts w:ascii="Times New Roman" w:eastAsia="Times New Roman" w:hAnsi="Times New Roman" w:cs="Times New Roman"/>
          <w:lang w:val="sr-Cyrl-RS" w:eastAsia="en-GB"/>
        </w:rPr>
        <w:t>и за тестирање пратећих координ</w:t>
      </w:r>
      <w:r w:rsidR="498D87A0" w:rsidRPr="00226F9D">
        <w:rPr>
          <w:rFonts w:ascii="Times New Roman" w:eastAsia="Times New Roman" w:hAnsi="Times New Roman" w:cs="Times New Roman"/>
          <w:lang w:val="sr-Cyrl-RS" w:eastAsia="en-GB"/>
        </w:rPr>
        <w:t>а</w:t>
      </w:r>
      <w:r w:rsidR="4E0716A9" w:rsidRPr="00226F9D">
        <w:rPr>
          <w:rFonts w:ascii="Times New Roman" w:eastAsia="Times New Roman" w:hAnsi="Times New Roman" w:cs="Times New Roman"/>
          <w:lang w:val="sr-Cyrl-RS" w:eastAsia="en-GB"/>
        </w:rPr>
        <w:t xml:space="preserve">ционих </w:t>
      </w:r>
      <w:r w:rsidR="498D87A0" w:rsidRPr="00226F9D">
        <w:rPr>
          <w:rFonts w:ascii="Times New Roman" w:eastAsia="Times New Roman" w:hAnsi="Times New Roman" w:cs="Times New Roman"/>
          <w:lang w:val="sr-Cyrl-RS" w:eastAsia="en-GB"/>
        </w:rPr>
        <w:t>процеса</w:t>
      </w:r>
      <w:r w:rsidR="721DA25B" w:rsidRPr="00226F9D">
        <w:rPr>
          <w:rFonts w:ascii="Times New Roman" w:eastAsia="Times New Roman" w:hAnsi="Times New Roman" w:cs="Times New Roman"/>
          <w:lang w:val="sr-Cyrl-RS" w:eastAsia="en-GB"/>
        </w:rPr>
        <w:t xml:space="preserve"> за њихову примену</w:t>
      </w:r>
      <w:r w:rsidR="70998485" w:rsidRPr="00226F9D">
        <w:rPr>
          <w:rFonts w:ascii="Times New Roman" w:eastAsia="Times New Roman" w:hAnsi="Times New Roman" w:cs="Times New Roman"/>
          <w:lang w:val="sr-Cyrl-RS" w:eastAsia="en-GB"/>
        </w:rPr>
        <w:t xml:space="preserve">. </w:t>
      </w:r>
      <w:r w:rsidR="2A319044" w:rsidRPr="00226F9D">
        <w:rPr>
          <w:rFonts w:ascii="Times New Roman" w:eastAsia="Times New Roman" w:hAnsi="Times New Roman" w:cs="Times New Roman"/>
          <w:lang w:val="sr-Cyrl-RS" w:eastAsia="en-GB"/>
        </w:rPr>
        <w:t>А</w:t>
      </w:r>
      <w:r w:rsidR="0BD8B16E" w:rsidRPr="00226F9D">
        <w:rPr>
          <w:rFonts w:ascii="Times New Roman" w:eastAsia="Times New Roman" w:hAnsi="Times New Roman" w:cs="Times New Roman"/>
          <w:lang w:val="sr-Cyrl-RS" w:eastAsia="en-GB"/>
        </w:rPr>
        <w:t>кциони планови уз П</w:t>
      </w:r>
      <w:r w:rsidR="28A51562" w:rsidRPr="00226F9D">
        <w:rPr>
          <w:rFonts w:ascii="Times New Roman" w:eastAsia="Times New Roman" w:hAnsi="Times New Roman" w:cs="Times New Roman"/>
          <w:lang w:val="sr-Cyrl-RS" w:eastAsia="en-GB"/>
        </w:rPr>
        <w:t>РСЛС 2021-2025</w:t>
      </w:r>
      <w:r w:rsidR="498D87A0" w:rsidRPr="00226F9D">
        <w:rPr>
          <w:rFonts w:ascii="Times New Roman" w:eastAsia="Times New Roman" w:hAnsi="Times New Roman" w:cs="Times New Roman"/>
          <w:lang w:val="sr-Cyrl-RS" w:eastAsia="en-GB"/>
        </w:rPr>
        <w:t xml:space="preserve"> </w:t>
      </w:r>
      <w:r w:rsidR="48874406" w:rsidRPr="00226F9D">
        <w:rPr>
          <w:rFonts w:ascii="Times New Roman" w:eastAsia="Times New Roman" w:hAnsi="Times New Roman" w:cs="Times New Roman"/>
          <w:lang w:val="sr-Cyrl-RS" w:eastAsia="en-GB"/>
        </w:rPr>
        <w:t>у овом аспекту, дали су квалитетан оквир и платформу и за коор</w:t>
      </w:r>
      <w:r w:rsidR="2A319044" w:rsidRPr="00226F9D">
        <w:rPr>
          <w:rFonts w:ascii="Times New Roman" w:eastAsia="Times New Roman" w:hAnsi="Times New Roman" w:cs="Times New Roman"/>
          <w:lang w:val="sr-Cyrl-RS" w:eastAsia="en-GB"/>
        </w:rPr>
        <w:t>динацију и синхронизацију</w:t>
      </w:r>
      <w:r w:rsidR="1F4F2E7B" w:rsidRPr="00226F9D">
        <w:rPr>
          <w:rFonts w:ascii="Times New Roman" w:eastAsia="Times New Roman" w:hAnsi="Times New Roman" w:cs="Times New Roman"/>
          <w:lang w:val="sr-Cyrl-RS" w:eastAsia="en-GB"/>
        </w:rPr>
        <w:t xml:space="preserve"> интервенција</w:t>
      </w:r>
      <w:r w:rsidR="4DFBA95C" w:rsidRPr="00226F9D">
        <w:rPr>
          <w:rFonts w:ascii="Times New Roman" w:eastAsia="Times New Roman" w:hAnsi="Times New Roman" w:cs="Times New Roman"/>
          <w:lang w:val="sr-Cyrl-RS" w:eastAsia="en-GB"/>
        </w:rPr>
        <w:t>/пројеката</w:t>
      </w:r>
      <w:r w:rsidR="1F4F2E7B" w:rsidRPr="00226F9D">
        <w:rPr>
          <w:rFonts w:ascii="Times New Roman" w:eastAsia="Times New Roman" w:hAnsi="Times New Roman" w:cs="Times New Roman"/>
          <w:lang w:val="sr-Cyrl-RS" w:eastAsia="en-GB"/>
        </w:rPr>
        <w:t xml:space="preserve"> развојне подршке</w:t>
      </w:r>
      <w:r w:rsidR="7BEE526F" w:rsidRPr="00226F9D">
        <w:rPr>
          <w:rFonts w:ascii="Times New Roman" w:eastAsia="Times New Roman" w:hAnsi="Times New Roman" w:cs="Times New Roman"/>
          <w:lang w:val="sr-Cyrl-RS" w:eastAsia="en-GB"/>
        </w:rPr>
        <w:t>, који су у комбинацији са напорима и ресурсима самих ЛС</w:t>
      </w:r>
      <w:r w:rsidR="18ECFEB2" w:rsidRPr="00226F9D">
        <w:rPr>
          <w:rFonts w:ascii="Times New Roman" w:eastAsia="Times New Roman" w:hAnsi="Times New Roman" w:cs="Times New Roman"/>
          <w:lang w:val="sr-Cyrl-RS" w:eastAsia="en-GB"/>
        </w:rPr>
        <w:t xml:space="preserve">, </w:t>
      </w:r>
      <w:r w:rsidR="359FE58B" w:rsidRPr="00226F9D">
        <w:rPr>
          <w:rFonts w:ascii="Times New Roman" w:eastAsia="Times New Roman" w:hAnsi="Times New Roman" w:cs="Times New Roman"/>
          <w:lang w:val="sr-Cyrl-RS" w:eastAsia="en-GB"/>
        </w:rPr>
        <w:t xml:space="preserve">остварили </w:t>
      </w:r>
      <w:r w:rsidR="14CBF396" w:rsidRPr="00226F9D">
        <w:rPr>
          <w:rFonts w:ascii="Times New Roman" w:eastAsia="Times New Roman" w:hAnsi="Times New Roman" w:cs="Times New Roman"/>
          <w:lang w:val="sr-Cyrl-RS" w:eastAsia="en-GB"/>
        </w:rPr>
        <w:t xml:space="preserve">позитиван реформски </w:t>
      </w:r>
      <w:r w:rsidR="18ECFEB2" w:rsidRPr="00226F9D">
        <w:rPr>
          <w:rFonts w:ascii="Times New Roman" w:eastAsia="Times New Roman" w:hAnsi="Times New Roman" w:cs="Times New Roman"/>
          <w:lang w:val="sr-Cyrl-RS" w:eastAsia="en-GB"/>
        </w:rPr>
        <w:t>резу</w:t>
      </w:r>
      <w:r w:rsidR="14CBF396" w:rsidRPr="00226F9D">
        <w:rPr>
          <w:rFonts w:ascii="Times New Roman" w:eastAsia="Times New Roman" w:hAnsi="Times New Roman" w:cs="Times New Roman"/>
          <w:lang w:val="sr-Cyrl-RS" w:eastAsia="en-GB"/>
        </w:rPr>
        <w:t>лтат.</w:t>
      </w:r>
      <w:r w:rsidR="533EFFBB" w:rsidRPr="00226F9D">
        <w:rPr>
          <w:rFonts w:ascii="Times New Roman" w:eastAsia="Times New Roman" w:hAnsi="Times New Roman" w:cs="Times New Roman"/>
          <w:lang w:val="sr-Cyrl-RS" w:eastAsia="en-GB"/>
        </w:rPr>
        <w:t xml:space="preserve"> </w:t>
      </w:r>
      <w:r w:rsidR="559B2843" w:rsidRPr="00226F9D">
        <w:rPr>
          <w:rFonts w:ascii="Times New Roman" w:eastAsia="Times New Roman" w:hAnsi="Times New Roman" w:cs="Times New Roman"/>
          <w:lang w:val="sr-Cyrl-RS" w:eastAsia="en-GB"/>
        </w:rPr>
        <w:t>Закључно са 202</w:t>
      </w:r>
      <w:r w:rsidR="147A420D" w:rsidRPr="00226F9D">
        <w:rPr>
          <w:rFonts w:ascii="Times New Roman" w:eastAsia="Times New Roman" w:hAnsi="Times New Roman" w:cs="Times New Roman"/>
          <w:lang w:val="sr-Cyrl-RS" w:eastAsia="en-GB"/>
        </w:rPr>
        <w:t>5</w:t>
      </w:r>
      <w:r w:rsidR="559B2843" w:rsidRPr="00226F9D">
        <w:rPr>
          <w:rFonts w:ascii="Times New Roman" w:eastAsia="Times New Roman" w:hAnsi="Times New Roman" w:cs="Times New Roman"/>
          <w:lang w:val="sr-Cyrl-RS" w:eastAsia="en-GB"/>
        </w:rPr>
        <w:t>. годином</w:t>
      </w:r>
      <w:r w:rsidR="2A75F0C1" w:rsidRPr="00226F9D">
        <w:rPr>
          <w:rFonts w:ascii="Times New Roman" w:eastAsia="Times New Roman" w:hAnsi="Times New Roman" w:cs="Times New Roman"/>
          <w:lang w:val="sr-Cyrl-RS" w:eastAsia="en-GB"/>
        </w:rPr>
        <w:t>, п</w:t>
      </w:r>
      <w:r w:rsidR="66E8FC32" w:rsidRPr="00226F9D">
        <w:rPr>
          <w:rFonts w:ascii="Times New Roman" w:eastAsia="Times New Roman" w:hAnsi="Times New Roman" w:cs="Times New Roman"/>
          <w:lang w:val="sr-Cyrl-RS" w:eastAsia="en-GB"/>
        </w:rPr>
        <w:t>окривеност ЈЛС важећим плановима развоја</w:t>
      </w:r>
      <w:r w:rsidR="6A3E214D" w:rsidRPr="00226F9D">
        <w:rPr>
          <w:rFonts w:ascii="Times New Roman" w:eastAsia="Times New Roman" w:hAnsi="Times New Roman" w:cs="Times New Roman"/>
          <w:lang w:val="sr-Cyrl-RS" w:eastAsia="en-GB"/>
        </w:rPr>
        <w:t xml:space="preserve"> - од</w:t>
      </w:r>
      <w:r w:rsidR="66E8FC32" w:rsidRPr="00226F9D" w:rsidDel="3D70611F">
        <w:rPr>
          <w:rFonts w:ascii="Times New Roman" w:eastAsia="Times New Roman" w:hAnsi="Times New Roman" w:cs="Times New Roman"/>
          <w:lang w:val="sr-Cyrl-RS" w:eastAsia="en-GB"/>
        </w:rPr>
        <w:t xml:space="preserve"> </w:t>
      </w:r>
      <w:r w:rsidR="147A420D" w:rsidRPr="00226F9D">
        <w:rPr>
          <w:rFonts w:ascii="Times New Roman" w:eastAsia="Times New Roman" w:hAnsi="Times New Roman" w:cs="Times New Roman"/>
          <w:lang w:val="sr-Cyrl-RS" w:eastAsia="en-GB"/>
        </w:rPr>
        <w:t>83,50</w:t>
      </w:r>
      <w:r w:rsidR="66E8FC32" w:rsidRPr="00226F9D" w:rsidDel="3D70611F">
        <w:rPr>
          <w:rFonts w:ascii="Times New Roman" w:eastAsia="Times New Roman" w:hAnsi="Times New Roman" w:cs="Times New Roman"/>
          <w:lang w:val="sr-Cyrl-RS" w:eastAsia="en-GB"/>
        </w:rPr>
        <w:t>% (</w:t>
      </w:r>
      <w:r w:rsidR="147A420D" w:rsidRPr="00226F9D">
        <w:rPr>
          <w:rFonts w:ascii="Times New Roman" w:eastAsia="Times New Roman" w:hAnsi="Times New Roman" w:cs="Times New Roman"/>
          <w:lang w:val="sr-Cyrl-RS" w:eastAsia="en-GB"/>
        </w:rPr>
        <w:t xml:space="preserve">121 </w:t>
      </w:r>
      <w:r w:rsidR="66E8FC32" w:rsidRPr="00226F9D">
        <w:rPr>
          <w:rFonts w:ascii="Times New Roman" w:eastAsia="Times New Roman" w:hAnsi="Times New Roman" w:cs="Times New Roman"/>
          <w:lang w:val="sr-Cyrl-RS" w:eastAsia="en-GB"/>
        </w:rPr>
        <w:t>од 145 ЈЛС)</w:t>
      </w:r>
      <w:r w:rsidR="7134F65F" w:rsidRPr="00226F9D">
        <w:rPr>
          <w:rFonts w:ascii="Times New Roman" w:eastAsia="Times New Roman" w:hAnsi="Times New Roman" w:cs="Times New Roman"/>
          <w:lang w:val="sr-Cyrl-RS" w:eastAsia="en-GB"/>
        </w:rPr>
        <w:t xml:space="preserve"> - </w:t>
      </w:r>
      <w:r w:rsidR="66E8FC32" w:rsidRPr="00226F9D">
        <w:rPr>
          <w:rFonts w:ascii="Times New Roman" w:eastAsia="Times New Roman" w:hAnsi="Times New Roman" w:cs="Times New Roman"/>
          <w:lang w:val="sr-Cyrl-RS" w:eastAsia="en-GB"/>
        </w:rPr>
        <w:t>напреднија је од циљане вредности</w:t>
      </w:r>
      <w:r w:rsidR="6749C51C" w:rsidRPr="00226F9D">
        <w:rPr>
          <w:rFonts w:ascii="Times New Roman" w:eastAsia="Times New Roman" w:hAnsi="Times New Roman" w:cs="Times New Roman"/>
          <w:lang w:val="sr-Cyrl-RS" w:eastAsia="en-GB"/>
        </w:rPr>
        <w:t xml:space="preserve">, </w:t>
      </w:r>
      <w:r w:rsidR="63356041" w:rsidRPr="00226F9D">
        <w:rPr>
          <w:rFonts w:ascii="Times New Roman" w:eastAsia="Times New Roman" w:hAnsi="Times New Roman" w:cs="Times New Roman"/>
          <w:lang w:val="sr-Cyrl-RS" w:eastAsia="en-GB"/>
        </w:rPr>
        <w:t>тј.</w:t>
      </w:r>
      <w:r w:rsidR="6749C51C" w:rsidRPr="00226F9D">
        <w:rPr>
          <w:rFonts w:ascii="Times New Roman" w:eastAsia="Times New Roman" w:hAnsi="Times New Roman" w:cs="Times New Roman"/>
          <w:lang w:val="sr-Cyrl-RS" w:eastAsia="en-GB"/>
        </w:rPr>
        <w:t xml:space="preserve"> превазиђен</w:t>
      </w:r>
      <w:r w:rsidR="4B055744" w:rsidRPr="00226F9D">
        <w:rPr>
          <w:rFonts w:ascii="Times New Roman" w:eastAsia="Times New Roman" w:hAnsi="Times New Roman" w:cs="Times New Roman"/>
          <w:lang w:val="sr-Cyrl-RS" w:eastAsia="en-GB"/>
        </w:rPr>
        <w:t xml:space="preserve">а </w:t>
      </w:r>
      <w:r w:rsidR="3B73A5D2" w:rsidRPr="00226F9D">
        <w:rPr>
          <w:rFonts w:ascii="Times New Roman" w:eastAsia="Times New Roman" w:hAnsi="Times New Roman" w:cs="Times New Roman"/>
          <w:lang w:val="sr-Cyrl-RS" w:eastAsia="en-GB"/>
        </w:rPr>
        <w:t xml:space="preserve">је </w:t>
      </w:r>
      <w:r w:rsidR="4B055744" w:rsidRPr="00226F9D">
        <w:rPr>
          <w:rFonts w:ascii="Times New Roman" w:eastAsia="Times New Roman" w:hAnsi="Times New Roman" w:cs="Times New Roman"/>
          <w:lang w:val="sr-Cyrl-RS" w:eastAsia="en-GB"/>
        </w:rPr>
        <w:t xml:space="preserve">вредност односног показатеља </w:t>
      </w:r>
      <w:r w:rsidR="7AC2E946" w:rsidRPr="00226F9D">
        <w:rPr>
          <w:rFonts w:ascii="Times New Roman" w:eastAsia="Times New Roman" w:hAnsi="Times New Roman" w:cs="Times New Roman"/>
          <w:lang w:val="sr-Cyrl-RS" w:eastAsia="en-GB"/>
        </w:rPr>
        <w:t>и за закључну 2025. годину (од 80%)</w:t>
      </w:r>
      <w:r w:rsidR="73FD5FA8" w:rsidRPr="00226F9D">
        <w:rPr>
          <w:rFonts w:ascii="Times New Roman" w:eastAsia="Times New Roman" w:hAnsi="Times New Roman" w:cs="Times New Roman"/>
          <w:lang w:val="sr-Cyrl-RS" w:eastAsia="en-GB"/>
        </w:rPr>
        <w:t>,</w:t>
      </w:r>
      <w:r w:rsidR="6CAC3FF0" w:rsidRPr="00226F9D">
        <w:rPr>
          <w:rFonts w:ascii="Times New Roman" w:eastAsia="Times New Roman" w:hAnsi="Times New Roman" w:cs="Times New Roman"/>
          <w:lang w:val="sr-Cyrl-RS" w:eastAsia="en-GB"/>
        </w:rPr>
        <w:t xml:space="preserve"> т</w:t>
      </w:r>
      <w:r w:rsidR="116D87CE" w:rsidRPr="00226F9D">
        <w:rPr>
          <w:rFonts w:ascii="Times New Roman" w:eastAsia="Times New Roman" w:hAnsi="Times New Roman" w:cs="Times New Roman"/>
          <w:lang w:val="sr-Cyrl-RS" w:eastAsia="en-GB"/>
        </w:rPr>
        <w:t>ако</w:t>
      </w:r>
      <w:r w:rsidR="6CAC3FF0" w:rsidRPr="00226F9D">
        <w:rPr>
          <w:rFonts w:ascii="Times New Roman" w:eastAsia="Times New Roman" w:hAnsi="Times New Roman" w:cs="Times New Roman"/>
          <w:lang w:val="sr-Cyrl-RS" w:eastAsia="en-GB"/>
        </w:rPr>
        <w:t xml:space="preserve"> да </w:t>
      </w:r>
      <w:r w:rsidR="00063B57" w:rsidRPr="00226F9D">
        <w:rPr>
          <w:rFonts w:ascii="Times New Roman" w:eastAsia="Times New Roman" w:hAnsi="Times New Roman" w:cs="Times New Roman"/>
          <w:lang w:val="sr-Cyrl-RS" w:eastAsia="en-GB"/>
        </w:rPr>
        <w:t>ј</w:t>
      </w:r>
      <w:r w:rsidR="116D87CE" w:rsidRPr="00226F9D">
        <w:rPr>
          <w:rFonts w:ascii="Times New Roman" w:eastAsia="Times New Roman" w:hAnsi="Times New Roman" w:cs="Times New Roman"/>
          <w:lang w:val="sr-Cyrl-RS" w:eastAsia="en-GB"/>
        </w:rPr>
        <w:t xml:space="preserve">е </w:t>
      </w:r>
      <w:r w:rsidR="6CAC3FF0" w:rsidRPr="00226F9D">
        <w:rPr>
          <w:rFonts w:ascii="Times New Roman" w:eastAsia="Times New Roman" w:hAnsi="Times New Roman" w:cs="Times New Roman"/>
          <w:lang w:val="sr-Cyrl-RS" w:eastAsia="en-GB"/>
        </w:rPr>
        <w:t>коначн</w:t>
      </w:r>
      <w:r w:rsidR="4BC81951" w:rsidRPr="00226F9D">
        <w:rPr>
          <w:rFonts w:ascii="Times New Roman" w:eastAsia="Times New Roman" w:hAnsi="Times New Roman" w:cs="Times New Roman"/>
          <w:lang w:val="sr-Cyrl-RS" w:eastAsia="en-GB"/>
        </w:rPr>
        <w:t xml:space="preserve">о остварење </w:t>
      </w:r>
      <w:r w:rsidR="116D87CE" w:rsidRPr="00226F9D">
        <w:rPr>
          <w:rFonts w:ascii="Times New Roman" w:eastAsia="Times New Roman" w:hAnsi="Times New Roman" w:cs="Times New Roman"/>
          <w:lang w:val="sr-Cyrl-RS" w:eastAsia="en-GB"/>
        </w:rPr>
        <w:t xml:space="preserve">у овом </w:t>
      </w:r>
      <w:r w:rsidR="013DBE1C" w:rsidRPr="00226F9D">
        <w:rPr>
          <w:rFonts w:ascii="Times New Roman" w:eastAsia="Times New Roman" w:hAnsi="Times New Roman" w:cs="Times New Roman"/>
          <w:lang w:val="sr-Cyrl-RS" w:eastAsia="en-GB"/>
        </w:rPr>
        <w:t>аспекту за претходни програмски период</w:t>
      </w:r>
      <w:r w:rsidR="659AE81D" w:rsidRPr="00226F9D">
        <w:rPr>
          <w:rFonts w:ascii="Times New Roman" w:eastAsia="Times New Roman" w:hAnsi="Times New Roman" w:cs="Times New Roman"/>
          <w:lang w:val="sr-Cyrl-RS" w:eastAsia="en-GB"/>
        </w:rPr>
        <w:t xml:space="preserve"> задовољавајуће и </w:t>
      </w:r>
      <w:r w:rsidR="2659B363" w:rsidRPr="00226F9D">
        <w:rPr>
          <w:rFonts w:ascii="Times New Roman" w:eastAsia="Times New Roman" w:hAnsi="Times New Roman" w:cs="Times New Roman"/>
          <w:lang w:val="sr-Cyrl-RS" w:eastAsia="en-GB"/>
        </w:rPr>
        <w:t xml:space="preserve">додатно </w:t>
      </w:r>
      <w:r w:rsidR="659AE81D" w:rsidRPr="00226F9D">
        <w:rPr>
          <w:rFonts w:ascii="Times New Roman" w:eastAsia="Times New Roman" w:hAnsi="Times New Roman" w:cs="Times New Roman"/>
          <w:lang w:val="sr-Cyrl-RS" w:eastAsia="en-GB"/>
        </w:rPr>
        <w:t>изнад пројектованог</w:t>
      </w:r>
      <w:r w:rsidR="2659B363" w:rsidRPr="00226F9D">
        <w:rPr>
          <w:rFonts w:ascii="Times New Roman" w:eastAsia="Times New Roman" w:hAnsi="Times New Roman" w:cs="Times New Roman"/>
          <w:lang w:val="sr-Cyrl-RS" w:eastAsia="en-GB"/>
        </w:rPr>
        <w:t>.</w:t>
      </w:r>
      <w:r w:rsidR="013DBE1C" w:rsidRPr="00226F9D">
        <w:rPr>
          <w:rFonts w:ascii="Times New Roman" w:eastAsia="Times New Roman" w:hAnsi="Times New Roman" w:cs="Times New Roman"/>
          <w:lang w:val="sr-Cyrl-RS" w:eastAsia="en-GB"/>
        </w:rPr>
        <w:t xml:space="preserve"> </w:t>
      </w:r>
      <w:r w:rsidR="1D50236A" w:rsidRPr="00226F9D">
        <w:rPr>
          <w:rFonts w:ascii="Times New Roman" w:eastAsia="Times New Roman" w:hAnsi="Times New Roman" w:cs="Times New Roman"/>
          <w:lang w:val="sr-Cyrl-RS" w:eastAsia="en-GB"/>
        </w:rPr>
        <w:t xml:space="preserve">Хоризонтална изградња </w:t>
      </w:r>
      <w:r w:rsidR="2EE6CCD8" w:rsidRPr="00226F9D">
        <w:rPr>
          <w:rFonts w:ascii="Times New Roman" w:eastAsia="Times New Roman" w:hAnsi="Times New Roman" w:cs="Times New Roman"/>
          <w:lang w:val="sr-Cyrl-RS" w:eastAsia="en-GB"/>
        </w:rPr>
        <w:t xml:space="preserve">капацитета ЛС континуирано је кроз све програмске године </w:t>
      </w:r>
      <w:r w:rsidR="0218CECC" w:rsidRPr="00226F9D">
        <w:rPr>
          <w:rFonts w:ascii="Times New Roman" w:eastAsia="Times New Roman" w:hAnsi="Times New Roman" w:cs="Times New Roman"/>
          <w:lang w:val="sr-Cyrl-RS" w:eastAsia="en-GB"/>
        </w:rPr>
        <w:t>подржава</w:t>
      </w:r>
      <w:r w:rsidR="276D200C" w:rsidRPr="00226F9D">
        <w:rPr>
          <w:rFonts w:ascii="Times New Roman" w:eastAsia="Times New Roman" w:hAnsi="Times New Roman" w:cs="Times New Roman"/>
          <w:lang w:val="sr-Cyrl-RS" w:eastAsia="en-GB"/>
        </w:rPr>
        <w:t xml:space="preserve">на </w:t>
      </w:r>
      <w:r w:rsidR="0E53AD6D" w:rsidRPr="00226F9D">
        <w:rPr>
          <w:rFonts w:ascii="Times New Roman" w:eastAsia="Times New Roman" w:hAnsi="Times New Roman" w:cs="Times New Roman"/>
          <w:lang w:val="sr-Cyrl-RS" w:eastAsia="en-GB"/>
        </w:rPr>
        <w:t xml:space="preserve">циљаним обукама, </w:t>
      </w:r>
      <w:r w:rsidR="0218CECC" w:rsidRPr="00226F9D">
        <w:rPr>
          <w:rFonts w:ascii="Times New Roman" w:eastAsia="Times New Roman" w:hAnsi="Times New Roman" w:cs="Times New Roman"/>
          <w:lang w:val="sr-Cyrl-RS" w:eastAsia="en-GB"/>
        </w:rPr>
        <w:t>усмеравањем и саветовањем градова и општина</w:t>
      </w:r>
      <w:r w:rsidR="4985B45D" w:rsidRPr="00226F9D">
        <w:rPr>
          <w:rFonts w:ascii="Times New Roman" w:eastAsia="Times New Roman" w:hAnsi="Times New Roman" w:cs="Times New Roman"/>
          <w:lang w:val="sr-Cyrl-RS" w:eastAsia="en-GB"/>
        </w:rPr>
        <w:t xml:space="preserve"> (посебно </w:t>
      </w:r>
      <w:r w:rsidR="4E2B49C0" w:rsidRPr="00226F9D">
        <w:rPr>
          <w:rFonts w:ascii="Times New Roman" w:eastAsia="Times New Roman" w:hAnsi="Times New Roman" w:cs="Times New Roman"/>
          <w:lang w:val="sr-Cyrl-RS" w:eastAsia="en-GB"/>
        </w:rPr>
        <w:t>кроз координирано деловање РСЈП и СКГО)</w:t>
      </w:r>
      <w:r w:rsidR="6F736C1F" w:rsidRPr="00226F9D">
        <w:rPr>
          <w:rFonts w:ascii="Times New Roman" w:eastAsia="Times New Roman" w:hAnsi="Times New Roman" w:cs="Times New Roman"/>
          <w:lang w:val="sr-Cyrl-RS" w:eastAsia="en-GB"/>
        </w:rPr>
        <w:t>.</w:t>
      </w:r>
      <w:r w:rsidR="042D136E" w:rsidRPr="00226F9D">
        <w:rPr>
          <w:rFonts w:ascii="Times New Roman" w:eastAsia="Times New Roman" w:hAnsi="Times New Roman" w:cs="Times New Roman"/>
          <w:lang w:val="sr-Cyrl-RS" w:eastAsia="en-GB"/>
        </w:rPr>
        <w:t xml:space="preserve"> </w:t>
      </w:r>
      <w:r w:rsidR="2D5BCF92" w:rsidRPr="00226F9D">
        <w:rPr>
          <w:rFonts w:ascii="Times New Roman" w:eastAsia="Times New Roman" w:hAnsi="Times New Roman" w:cs="Times New Roman"/>
          <w:lang w:val="sr-Cyrl-RS" w:eastAsia="en-GB"/>
        </w:rPr>
        <w:t>П</w:t>
      </w:r>
      <w:r w:rsidR="1F3CE891" w:rsidRPr="00226F9D">
        <w:rPr>
          <w:rFonts w:ascii="Times New Roman" w:eastAsia="Times New Roman" w:hAnsi="Times New Roman" w:cs="Times New Roman"/>
          <w:lang w:val="sr-Cyrl-RS" w:eastAsia="en-GB"/>
        </w:rPr>
        <w:t xml:space="preserve">ажња је посвећена </w:t>
      </w:r>
      <w:r w:rsidR="417C7E92" w:rsidRPr="00226F9D">
        <w:rPr>
          <w:rFonts w:ascii="Times New Roman" w:eastAsia="Times New Roman" w:hAnsi="Times New Roman" w:cs="Times New Roman"/>
          <w:lang w:val="sr-Cyrl-RS" w:eastAsia="en-GB"/>
        </w:rPr>
        <w:t xml:space="preserve">унапређењу обухвата података и </w:t>
      </w:r>
      <w:r w:rsidR="14475F5A" w:rsidRPr="00226F9D">
        <w:rPr>
          <w:rFonts w:ascii="Times New Roman" w:eastAsia="Times New Roman" w:hAnsi="Times New Roman" w:cs="Times New Roman"/>
          <w:lang w:val="sr-Cyrl-RS" w:eastAsia="en-GB"/>
        </w:rPr>
        <w:t xml:space="preserve">развоју </w:t>
      </w:r>
      <w:r w:rsidR="55C47F16" w:rsidRPr="00226F9D">
        <w:rPr>
          <w:rFonts w:ascii="Times New Roman" w:eastAsia="Times New Roman" w:hAnsi="Times New Roman" w:cs="Times New Roman"/>
          <w:lang w:val="sr-Cyrl-RS" w:eastAsia="en-GB"/>
        </w:rPr>
        <w:t xml:space="preserve">квалитативних функционалности </w:t>
      </w:r>
      <w:r w:rsidR="2D5BCF92" w:rsidRPr="00226F9D">
        <w:rPr>
          <w:rFonts w:ascii="Times New Roman" w:eastAsia="Times New Roman" w:hAnsi="Times New Roman" w:cs="Times New Roman"/>
          <w:lang w:val="sr-Cyrl-RS" w:eastAsia="en-GB"/>
        </w:rPr>
        <w:t>пословно информационог система ЈЛС</w:t>
      </w:r>
      <w:r w:rsidR="14079A60" w:rsidRPr="00226F9D">
        <w:rPr>
          <w:rFonts w:ascii="Times New Roman" w:eastAsia="Times New Roman" w:hAnsi="Times New Roman" w:cs="Times New Roman"/>
          <w:lang w:val="sr-Cyrl-RS" w:eastAsia="en-GB"/>
        </w:rPr>
        <w:t xml:space="preserve"> при РСЈП</w:t>
      </w:r>
      <w:r w:rsidR="2D5BCF92" w:rsidRPr="00226F9D">
        <w:rPr>
          <w:rFonts w:ascii="Times New Roman" w:eastAsia="Times New Roman" w:hAnsi="Times New Roman" w:cs="Times New Roman"/>
          <w:lang w:val="sr-Cyrl-RS" w:eastAsia="en-GB"/>
        </w:rPr>
        <w:t xml:space="preserve"> (</w:t>
      </w:r>
      <w:r w:rsidR="1C5E2439" w:rsidRPr="00226F9D">
        <w:rPr>
          <w:rFonts w:ascii="Times New Roman" w:eastAsia="Times New Roman" w:hAnsi="Times New Roman" w:cs="Times New Roman"/>
          <w:lang w:val="sr-Cyrl-RS" w:eastAsia="en-GB"/>
        </w:rPr>
        <w:t>А</w:t>
      </w:r>
      <w:r w:rsidR="2D5BCF92" w:rsidRPr="00226F9D">
        <w:rPr>
          <w:rFonts w:ascii="Times New Roman" w:eastAsia="Times New Roman" w:hAnsi="Times New Roman" w:cs="Times New Roman"/>
          <w:lang w:val="sr-Cyrl-RS" w:eastAsia="en-GB"/>
        </w:rPr>
        <w:t xml:space="preserve">налитички сервис ЈЛС и </w:t>
      </w:r>
      <w:r w:rsidR="1C5E2439" w:rsidRPr="00226F9D">
        <w:rPr>
          <w:rFonts w:ascii="Times New Roman" w:eastAsia="Times New Roman" w:hAnsi="Times New Roman" w:cs="Times New Roman"/>
          <w:lang w:val="sr-Cyrl-RS" w:eastAsia="en-GB"/>
        </w:rPr>
        <w:t>А</w:t>
      </w:r>
      <w:r w:rsidR="2D5BCF92" w:rsidRPr="00226F9D">
        <w:rPr>
          <w:rFonts w:ascii="Times New Roman" w:eastAsia="Times New Roman" w:hAnsi="Times New Roman" w:cs="Times New Roman"/>
          <w:lang w:val="sr-Cyrl-RS" w:eastAsia="en-GB"/>
        </w:rPr>
        <w:t>налитичко-извештајни систем ЈЛС)</w:t>
      </w:r>
      <w:r w:rsidR="5A76082C" w:rsidRPr="00226F9D">
        <w:rPr>
          <w:rFonts w:ascii="Times New Roman" w:eastAsia="Times New Roman" w:hAnsi="Times New Roman" w:cs="Times New Roman"/>
          <w:lang w:val="sr-Cyrl-RS" w:eastAsia="en-GB"/>
        </w:rPr>
        <w:t xml:space="preserve">, као значајном </w:t>
      </w:r>
      <w:r w:rsidR="6A3FC17E" w:rsidRPr="00226F9D">
        <w:rPr>
          <w:rFonts w:ascii="Times New Roman" w:eastAsia="Times New Roman" w:hAnsi="Times New Roman" w:cs="Times New Roman"/>
          <w:lang w:val="sr-Cyrl-RS" w:eastAsia="en-GB"/>
        </w:rPr>
        <w:t xml:space="preserve">подржавајућем </w:t>
      </w:r>
      <w:r w:rsidR="57408E32" w:rsidRPr="00226F9D">
        <w:rPr>
          <w:rFonts w:ascii="Times New Roman" w:eastAsia="Times New Roman" w:hAnsi="Times New Roman" w:cs="Times New Roman"/>
          <w:lang w:val="sr-Cyrl-RS" w:eastAsia="en-GB"/>
        </w:rPr>
        <w:t xml:space="preserve">алату </w:t>
      </w:r>
      <w:r w:rsidR="3E47CC9E" w:rsidRPr="00226F9D">
        <w:rPr>
          <w:rFonts w:ascii="Times New Roman" w:eastAsia="Times New Roman" w:hAnsi="Times New Roman" w:cs="Times New Roman"/>
          <w:lang w:val="sr-Cyrl-RS" w:eastAsia="en-GB"/>
        </w:rPr>
        <w:t xml:space="preserve">за чињенично утемељено </w:t>
      </w:r>
      <w:r w:rsidR="1C5E2439" w:rsidRPr="00226F9D">
        <w:rPr>
          <w:rFonts w:ascii="Times New Roman" w:eastAsia="Times New Roman" w:hAnsi="Times New Roman" w:cs="Times New Roman"/>
          <w:lang w:val="sr-Cyrl-RS" w:eastAsia="en-GB"/>
        </w:rPr>
        <w:t>планирање</w:t>
      </w:r>
      <w:r w:rsidR="6247BBA6" w:rsidRPr="00226F9D">
        <w:rPr>
          <w:rFonts w:ascii="Times New Roman" w:eastAsia="Times New Roman" w:hAnsi="Times New Roman" w:cs="Times New Roman"/>
          <w:lang w:val="sr-Cyrl-RS" w:eastAsia="en-GB"/>
        </w:rPr>
        <w:t xml:space="preserve">, објективно сагледавање стања </w:t>
      </w:r>
      <w:r w:rsidR="4721D5FD" w:rsidRPr="00226F9D">
        <w:rPr>
          <w:rFonts w:ascii="Times New Roman" w:eastAsia="Times New Roman" w:hAnsi="Times New Roman" w:cs="Times New Roman"/>
          <w:lang w:val="sr-Cyrl-RS" w:eastAsia="en-GB"/>
        </w:rPr>
        <w:t xml:space="preserve">и доношење одлука о правцима развоја и </w:t>
      </w:r>
      <w:r w:rsidR="39F0E59A" w:rsidRPr="00226F9D">
        <w:rPr>
          <w:rFonts w:ascii="Times New Roman" w:eastAsia="Times New Roman" w:hAnsi="Times New Roman" w:cs="Times New Roman"/>
          <w:lang w:val="sr-Cyrl-RS" w:eastAsia="en-GB"/>
        </w:rPr>
        <w:t xml:space="preserve">приоритизацији циљева у планским документима </w:t>
      </w:r>
      <w:r w:rsidR="1F2A3CB2" w:rsidRPr="00226F9D">
        <w:rPr>
          <w:rFonts w:ascii="Times New Roman" w:eastAsia="Times New Roman" w:hAnsi="Times New Roman" w:cs="Times New Roman"/>
          <w:lang w:val="sr-Cyrl-RS" w:eastAsia="en-GB"/>
        </w:rPr>
        <w:t xml:space="preserve">градова и општина. </w:t>
      </w:r>
      <w:r w:rsidR="21F92F84" w:rsidRPr="00226F9D">
        <w:rPr>
          <w:rFonts w:ascii="Times New Roman" w:eastAsia="Times New Roman" w:hAnsi="Times New Roman" w:cs="Times New Roman"/>
          <w:lang w:val="sr-Cyrl-RS" w:eastAsia="en-GB"/>
        </w:rPr>
        <w:t>Додатно, к</w:t>
      </w:r>
      <w:r w:rsidR="6749D854" w:rsidRPr="00226F9D">
        <w:rPr>
          <w:rFonts w:ascii="Times New Roman" w:eastAsia="Times New Roman" w:hAnsi="Times New Roman" w:cs="Times New Roman"/>
          <w:lang w:val="sr-Cyrl-RS" w:eastAsia="en-GB"/>
        </w:rPr>
        <w:t xml:space="preserve">ључна повезница </w:t>
      </w:r>
      <w:r w:rsidR="09B60A17" w:rsidRPr="00226F9D">
        <w:rPr>
          <w:rFonts w:ascii="Times New Roman" w:eastAsia="Times New Roman" w:hAnsi="Times New Roman" w:cs="Times New Roman"/>
          <w:lang w:val="sr-Cyrl-RS" w:eastAsia="en-GB"/>
        </w:rPr>
        <w:t xml:space="preserve">са глобалном УН Агендом </w:t>
      </w:r>
      <w:r w:rsidR="0699B83D" w:rsidRPr="00226F9D">
        <w:rPr>
          <w:rFonts w:ascii="Times New Roman" w:eastAsia="Times New Roman" w:hAnsi="Times New Roman" w:cs="Times New Roman"/>
          <w:lang w:val="sr-Cyrl-RS" w:eastAsia="en-GB"/>
        </w:rPr>
        <w:t>2030</w:t>
      </w:r>
      <w:r w:rsidR="7089C96D" w:rsidRPr="00226F9D">
        <w:rPr>
          <w:rFonts w:ascii="Times New Roman" w:eastAsia="Times New Roman" w:hAnsi="Times New Roman" w:cs="Times New Roman"/>
          <w:lang w:val="sr-Cyrl-RS" w:eastAsia="en-GB"/>
        </w:rPr>
        <w:t xml:space="preserve"> </w:t>
      </w:r>
      <w:r w:rsidR="0BC4C7BB" w:rsidRPr="00226F9D">
        <w:rPr>
          <w:rFonts w:ascii="Times New Roman" w:eastAsia="Times New Roman" w:hAnsi="Times New Roman" w:cs="Times New Roman"/>
          <w:lang w:val="sr-Latn-RS" w:eastAsia="en-GB"/>
        </w:rPr>
        <w:t>(</w:t>
      </w:r>
      <w:r w:rsidR="5D7A0B06" w:rsidRPr="00226F9D">
        <w:rPr>
          <w:rFonts w:ascii="Times New Roman" w:eastAsia="Times New Roman" w:hAnsi="Times New Roman" w:cs="Times New Roman"/>
          <w:lang w:val="sr-Cyrl-RS" w:eastAsia="en-GB"/>
        </w:rPr>
        <w:t xml:space="preserve">са којом су комплементарне и интегришу је </w:t>
      </w:r>
      <w:r w:rsidR="6BFE68C8" w:rsidRPr="00226F9D">
        <w:rPr>
          <w:rFonts w:ascii="Times New Roman" w:eastAsia="Times New Roman" w:hAnsi="Times New Roman" w:cs="Times New Roman"/>
          <w:lang w:val="sr-Cyrl-RS" w:eastAsia="en-GB"/>
        </w:rPr>
        <w:t xml:space="preserve">и политике и законодавство </w:t>
      </w:r>
      <w:r w:rsidR="13E823F3" w:rsidRPr="00226F9D">
        <w:rPr>
          <w:rFonts w:ascii="Times New Roman" w:eastAsia="Times New Roman" w:hAnsi="Times New Roman" w:cs="Times New Roman"/>
          <w:lang w:val="sr-Cyrl-RS" w:eastAsia="en-GB"/>
        </w:rPr>
        <w:t xml:space="preserve">Европске уније) </w:t>
      </w:r>
      <w:r w:rsidR="1B04C22E" w:rsidRPr="00226F9D">
        <w:rPr>
          <w:rFonts w:ascii="Times New Roman" w:eastAsia="Times New Roman" w:hAnsi="Times New Roman" w:cs="Times New Roman"/>
          <w:lang w:val="sr-Cyrl-RS" w:eastAsia="en-GB"/>
        </w:rPr>
        <w:t xml:space="preserve">остварена је </w:t>
      </w:r>
      <w:r w:rsidR="2E50A336" w:rsidRPr="00226F9D">
        <w:rPr>
          <w:rFonts w:ascii="Times New Roman" w:eastAsia="Times New Roman" w:hAnsi="Times New Roman" w:cs="Times New Roman"/>
          <w:lang w:val="sr-Cyrl-RS" w:eastAsia="en-GB"/>
        </w:rPr>
        <w:t xml:space="preserve">управо инкорпорирањем </w:t>
      </w:r>
      <w:r w:rsidR="36C019FF" w:rsidRPr="00226F9D">
        <w:rPr>
          <w:rFonts w:ascii="Times New Roman" w:eastAsia="Times New Roman" w:hAnsi="Times New Roman" w:cs="Times New Roman"/>
          <w:lang w:val="sr-Cyrl-RS" w:eastAsia="en-GB"/>
        </w:rPr>
        <w:t>Ц</w:t>
      </w:r>
      <w:r w:rsidR="73E03B92" w:rsidRPr="00226F9D">
        <w:rPr>
          <w:rFonts w:ascii="Times New Roman" w:eastAsia="Times New Roman" w:hAnsi="Times New Roman" w:cs="Times New Roman"/>
          <w:lang w:val="sr-Cyrl-RS" w:eastAsia="en-GB"/>
        </w:rPr>
        <w:t xml:space="preserve">иљева (и потциљева) одрживог развоја </w:t>
      </w:r>
      <w:r w:rsidR="513794C9" w:rsidRPr="00226F9D">
        <w:rPr>
          <w:rFonts w:ascii="Times New Roman" w:eastAsia="Times New Roman" w:hAnsi="Times New Roman" w:cs="Times New Roman"/>
          <w:lang w:val="sr-Cyrl-RS" w:eastAsia="en-GB"/>
        </w:rPr>
        <w:t xml:space="preserve">(ЦОР) </w:t>
      </w:r>
      <w:r w:rsidR="68B003DA" w:rsidRPr="00226F9D">
        <w:rPr>
          <w:rFonts w:ascii="Times New Roman" w:eastAsia="Times New Roman" w:hAnsi="Times New Roman" w:cs="Times New Roman"/>
          <w:lang w:val="sr-Cyrl-RS" w:eastAsia="en-GB"/>
        </w:rPr>
        <w:t>кроз планове развоја бројних градова и општина</w:t>
      </w:r>
      <w:r w:rsidR="13E823F3" w:rsidRPr="00226F9D">
        <w:rPr>
          <w:rFonts w:ascii="Times New Roman" w:eastAsia="Times New Roman" w:hAnsi="Times New Roman" w:cs="Times New Roman"/>
          <w:lang w:val="sr-Cyrl-RS" w:eastAsia="en-GB"/>
        </w:rPr>
        <w:t xml:space="preserve">. </w:t>
      </w:r>
      <w:r w:rsidR="25E3638C" w:rsidRPr="00226F9D">
        <w:rPr>
          <w:rFonts w:ascii="Times New Roman" w:eastAsia="Times New Roman" w:hAnsi="Times New Roman" w:cs="Times New Roman"/>
          <w:lang w:val="sr-Cyrl-RS" w:eastAsia="en-GB"/>
        </w:rPr>
        <w:t>К</w:t>
      </w:r>
      <w:r w:rsidR="66B9F026" w:rsidRPr="00226F9D">
        <w:rPr>
          <w:rFonts w:ascii="Times New Roman" w:eastAsia="Times New Roman" w:hAnsi="Times New Roman" w:cs="Times New Roman"/>
          <w:lang w:val="sr-Cyrl-RS" w:eastAsia="en-GB"/>
        </w:rPr>
        <w:t xml:space="preserve">роз </w:t>
      </w:r>
      <w:r w:rsidR="04F98845" w:rsidRPr="00226F9D">
        <w:rPr>
          <w:rFonts w:ascii="Times New Roman" w:eastAsia="Times New Roman" w:hAnsi="Times New Roman" w:cs="Times New Roman"/>
          <w:lang w:val="sr-Cyrl-RS" w:eastAsia="en-GB"/>
        </w:rPr>
        <w:t>тем</w:t>
      </w:r>
      <w:r w:rsidR="513794C9" w:rsidRPr="00226F9D">
        <w:rPr>
          <w:rFonts w:ascii="Times New Roman" w:eastAsia="Times New Roman" w:hAnsi="Times New Roman" w:cs="Times New Roman"/>
          <w:lang w:val="sr-Cyrl-RS" w:eastAsia="en-GB"/>
        </w:rPr>
        <w:t>у</w:t>
      </w:r>
      <w:r w:rsidR="04F98845" w:rsidRPr="00226F9D">
        <w:rPr>
          <w:rFonts w:ascii="Times New Roman" w:eastAsia="Times New Roman" w:hAnsi="Times New Roman" w:cs="Times New Roman"/>
          <w:lang w:val="sr-Cyrl-RS" w:eastAsia="en-GB"/>
        </w:rPr>
        <w:t xml:space="preserve"> локализације </w:t>
      </w:r>
      <w:r w:rsidR="513794C9" w:rsidRPr="00226F9D">
        <w:rPr>
          <w:rFonts w:ascii="Times New Roman" w:eastAsia="Times New Roman" w:hAnsi="Times New Roman" w:cs="Times New Roman"/>
          <w:lang w:val="sr-Cyrl-RS" w:eastAsia="en-GB"/>
        </w:rPr>
        <w:t xml:space="preserve">ЦОР </w:t>
      </w:r>
      <w:r w:rsidR="38E38376" w:rsidRPr="00226F9D">
        <w:rPr>
          <w:rFonts w:ascii="Times New Roman" w:eastAsia="Times New Roman" w:hAnsi="Times New Roman" w:cs="Times New Roman"/>
          <w:lang w:val="sr-Cyrl-RS" w:eastAsia="en-GB"/>
        </w:rPr>
        <w:t>и заједнички предуз</w:t>
      </w:r>
      <w:r w:rsidR="51CD963C" w:rsidRPr="00226F9D">
        <w:rPr>
          <w:rFonts w:ascii="Times New Roman" w:eastAsia="Times New Roman" w:hAnsi="Times New Roman" w:cs="Times New Roman"/>
          <w:lang w:val="sr-Cyrl-RS" w:eastAsia="en-GB"/>
        </w:rPr>
        <w:t>имане</w:t>
      </w:r>
      <w:r w:rsidR="38E38376" w:rsidRPr="00226F9D">
        <w:rPr>
          <w:rFonts w:ascii="Times New Roman" w:eastAsia="Times New Roman" w:hAnsi="Times New Roman" w:cs="Times New Roman"/>
          <w:lang w:val="sr-Cyrl-RS" w:eastAsia="en-GB"/>
        </w:rPr>
        <w:t xml:space="preserve"> </w:t>
      </w:r>
      <w:r w:rsidR="4725E1B1" w:rsidRPr="00226F9D">
        <w:rPr>
          <w:rFonts w:ascii="Times New Roman" w:eastAsia="Times New Roman" w:hAnsi="Times New Roman" w:cs="Times New Roman"/>
          <w:lang w:val="sr-Cyrl-RS" w:eastAsia="en-GB"/>
        </w:rPr>
        <w:t xml:space="preserve">активности, </w:t>
      </w:r>
      <w:r w:rsidR="38E38376" w:rsidRPr="00226F9D">
        <w:rPr>
          <w:rFonts w:ascii="Times New Roman" w:eastAsia="Times New Roman" w:hAnsi="Times New Roman" w:cs="Times New Roman"/>
          <w:lang w:val="sr-Cyrl-RS" w:eastAsia="en-GB"/>
        </w:rPr>
        <w:t xml:space="preserve">непосредно </w:t>
      </w:r>
      <w:r w:rsidR="4725E1B1" w:rsidRPr="00226F9D">
        <w:rPr>
          <w:rFonts w:ascii="Times New Roman" w:eastAsia="Times New Roman" w:hAnsi="Times New Roman" w:cs="Times New Roman"/>
          <w:lang w:val="sr-Cyrl-RS" w:eastAsia="en-GB"/>
        </w:rPr>
        <w:t xml:space="preserve">је </w:t>
      </w:r>
      <w:r w:rsidR="67C914BB" w:rsidRPr="00226F9D">
        <w:rPr>
          <w:rFonts w:ascii="Times New Roman" w:eastAsia="Times New Roman" w:hAnsi="Times New Roman" w:cs="Times New Roman"/>
          <w:lang w:val="sr-Cyrl-RS" w:eastAsia="en-GB"/>
        </w:rPr>
        <w:t>оснажено</w:t>
      </w:r>
      <w:r w:rsidR="4725E1B1" w:rsidRPr="00226F9D">
        <w:rPr>
          <w:rFonts w:ascii="Times New Roman" w:eastAsia="Times New Roman" w:hAnsi="Times New Roman" w:cs="Times New Roman"/>
          <w:lang w:val="sr-Cyrl-RS" w:eastAsia="en-GB"/>
        </w:rPr>
        <w:t xml:space="preserve"> </w:t>
      </w:r>
      <w:r w:rsidR="4604866C" w:rsidRPr="00226F9D">
        <w:rPr>
          <w:rFonts w:ascii="Times New Roman" w:eastAsia="Times New Roman" w:hAnsi="Times New Roman" w:cs="Times New Roman"/>
          <w:lang w:val="sr-Cyrl-RS" w:eastAsia="en-GB"/>
        </w:rPr>
        <w:t xml:space="preserve">партнерство </w:t>
      </w:r>
      <w:r w:rsidR="55964EAF" w:rsidRPr="00226F9D">
        <w:rPr>
          <w:rFonts w:ascii="Times New Roman" w:eastAsia="Times New Roman" w:hAnsi="Times New Roman" w:cs="Times New Roman"/>
          <w:lang w:val="sr-Cyrl-RS" w:eastAsia="en-GB"/>
        </w:rPr>
        <w:t>национ</w:t>
      </w:r>
      <w:r w:rsidR="513794C9" w:rsidRPr="00226F9D">
        <w:rPr>
          <w:rFonts w:ascii="Times New Roman" w:eastAsia="Times New Roman" w:hAnsi="Times New Roman" w:cs="Times New Roman"/>
          <w:lang w:val="sr-Cyrl-RS" w:eastAsia="en-GB"/>
        </w:rPr>
        <w:t>а</w:t>
      </w:r>
      <w:r w:rsidR="55964EAF" w:rsidRPr="00226F9D">
        <w:rPr>
          <w:rFonts w:ascii="Times New Roman" w:eastAsia="Times New Roman" w:hAnsi="Times New Roman" w:cs="Times New Roman"/>
          <w:lang w:val="sr-Cyrl-RS" w:eastAsia="en-GB"/>
        </w:rPr>
        <w:t xml:space="preserve">лних, покрајинских, </w:t>
      </w:r>
      <w:r w:rsidR="513794C9" w:rsidRPr="00226F9D">
        <w:rPr>
          <w:rFonts w:ascii="Times New Roman" w:eastAsia="Times New Roman" w:hAnsi="Times New Roman" w:cs="Times New Roman"/>
          <w:lang w:val="sr-Cyrl-RS" w:eastAsia="en-GB"/>
        </w:rPr>
        <w:t>локалних</w:t>
      </w:r>
      <w:r w:rsidR="67C914BB" w:rsidRPr="00226F9D">
        <w:rPr>
          <w:rFonts w:ascii="Times New Roman" w:eastAsia="Times New Roman" w:hAnsi="Times New Roman" w:cs="Times New Roman"/>
          <w:lang w:val="sr-Cyrl-RS" w:eastAsia="en-GB"/>
        </w:rPr>
        <w:t xml:space="preserve"> </w:t>
      </w:r>
      <w:r w:rsidR="137AACE1" w:rsidRPr="00226F9D">
        <w:rPr>
          <w:rFonts w:ascii="Times New Roman" w:eastAsia="Times New Roman" w:hAnsi="Times New Roman" w:cs="Times New Roman"/>
          <w:lang w:val="sr-Cyrl-RS" w:eastAsia="en-GB"/>
        </w:rPr>
        <w:t xml:space="preserve">актера </w:t>
      </w:r>
      <w:r w:rsidR="0B5F75F4" w:rsidRPr="00226F9D">
        <w:rPr>
          <w:rFonts w:ascii="Times New Roman" w:eastAsia="Times New Roman" w:hAnsi="Times New Roman" w:cs="Times New Roman"/>
          <w:lang w:val="sr-Cyrl-RS" w:eastAsia="en-GB"/>
        </w:rPr>
        <w:t>из јавне управе и цивилног сектора</w:t>
      </w:r>
      <w:r w:rsidR="64D36845" w:rsidRPr="00226F9D">
        <w:rPr>
          <w:rFonts w:ascii="Times New Roman" w:eastAsia="Times New Roman" w:hAnsi="Times New Roman" w:cs="Times New Roman"/>
          <w:lang w:val="sr-Cyrl-RS" w:eastAsia="en-GB"/>
        </w:rPr>
        <w:t xml:space="preserve"> (</w:t>
      </w:r>
      <w:r w:rsidR="42BDA5EE" w:rsidRPr="00226F9D">
        <w:rPr>
          <w:rFonts w:ascii="Times New Roman" w:eastAsia="Times New Roman" w:hAnsi="Times New Roman" w:cs="Times New Roman"/>
          <w:lang w:val="sr-Cyrl-RS" w:eastAsia="en-GB"/>
        </w:rPr>
        <w:t xml:space="preserve">министарстава надлежних за локалну </w:t>
      </w:r>
      <w:r w:rsidR="19638F27" w:rsidRPr="00226F9D">
        <w:rPr>
          <w:rFonts w:ascii="Times New Roman" w:eastAsia="Times New Roman" w:hAnsi="Times New Roman" w:cs="Times New Roman"/>
          <w:lang w:val="sr-Cyrl-RS" w:eastAsia="en-GB"/>
        </w:rPr>
        <w:t>самоуправу, друштвени дијалог</w:t>
      </w:r>
      <w:r w:rsidR="783B590D" w:rsidRPr="00226F9D">
        <w:rPr>
          <w:rFonts w:ascii="Times New Roman" w:eastAsia="Times New Roman" w:hAnsi="Times New Roman" w:cs="Times New Roman"/>
          <w:lang w:val="sr-Cyrl-RS" w:eastAsia="en-GB"/>
        </w:rPr>
        <w:t xml:space="preserve">, </w:t>
      </w:r>
      <w:r w:rsidR="3CDF8A78" w:rsidRPr="00226F9D">
        <w:rPr>
          <w:rFonts w:ascii="Times New Roman" w:eastAsia="Times New Roman" w:hAnsi="Times New Roman" w:cs="Times New Roman"/>
          <w:lang w:val="sr-Cyrl-RS" w:eastAsia="en-GB"/>
        </w:rPr>
        <w:t>Р</w:t>
      </w:r>
      <w:r w:rsidR="229E9B23" w:rsidRPr="00226F9D">
        <w:rPr>
          <w:rFonts w:ascii="Times New Roman" w:eastAsia="Times New Roman" w:hAnsi="Times New Roman" w:cs="Times New Roman"/>
          <w:lang w:val="sr-Cyrl-RS" w:eastAsia="en-GB"/>
        </w:rPr>
        <w:t>СЈП</w:t>
      </w:r>
      <w:r w:rsidR="56A72F53" w:rsidRPr="00226F9D">
        <w:rPr>
          <w:rFonts w:ascii="Times New Roman" w:eastAsia="Times New Roman" w:hAnsi="Times New Roman" w:cs="Times New Roman"/>
          <w:lang w:val="sr-Cyrl-RS" w:eastAsia="en-GB"/>
        </w:rPr>
        <w:t>, Републичког завода за статистику</w:t>
      </w:r>
      <w:r w:rsidR="1165719C" w:rsidRPr="00226F9D">
        <w:rPr>
          <w:rFonts w:ascii="Times New Roman" w:eastAsia="Times New Roman" w:hAnsi="Times New Roman" w:cs="Times New Roman"/>
          <w:lang w:val="sr-Cyrl-RS" w:eastAsia="en-GB"/>
        </w:rPr>
        <w:t xml:space="preserve">, Агенције за </w:t>
      </w:r>
      <w:r w:rsidR="7DE22431" w:rsidRPr="00226F9D">
        <w:rPr>
          <w:rFonts w:ascii="Times New Roman" w:eastAsia="Times New Roman" w:hAnsi="Times New Roman" w:cs="Times New Roman"/>
          <w:lang w:val="sr-Cyrl-RS" w:eastAsia="en-GB"/>
        </w:rPr>
        <w:t>просторно планирање и урбанизам</w:t>
      </w:r>
      <w:r w:rsidR="36127B1E" w:rsidRPr="00226F9D">
        <w:rPr>
          <w:rFonts w:ascii="Times New Roman" w:eastAsia="Times New Roman" w:hAnsi="Times New Roman" w:cs="Times New Roman"/>
          <w:lang w:val="sr-Cyrl-RS" w:eastAsia="en-GB"/>
        </w:rPr>
        <w:t>,</w:t>
      </w:r>
      <w:r w:rsidR="044F6E94" w:rsidRPr="00226F9D">
        <w:rPr>
          <w:rFonts w:ascii="Times New Roman" w:eastAsia="Times New Roman" w:hAnsi="Times New Roman" w:cs="Times New Roman"/>
          <w:lang w:val="sr-Cyrl-RS" w:eastAsia="en-GB"/>
        </w:rPr>
        <w:t xml:space="preserve"> Државне ревизорске институције</w:t>
      </w:r>
      <w:r w:rsidR="30101E66" w:rsidRPr="00226F9D">
        <w:rPr>
          <w:rFonts w:ascii="Times New Roman" w:eastAsia="Times New Roman" w:hAnsi="Times New Roman" w:cs="Times New Roman"/>
          <w:lang w:val="sr-Cyrl-RS" w:eastAsia="en-GB"/>
        </w:rPr>
        <w:t>, СКГО</w:t>
      </w:r>
      <w:r w:rsidR="38FA6657" w:rsidRPr="00226F9D">
        <w:rPr>
          <w:rFonts w:ascii="Times New Roman" w:eastAsia="Times New Roman" w:hAnsi="Times New Roman" w:cs="Times New Roman"/>
          <w:lang w:val="sr-Cyrl-RS" w:eastAsia="en-GB"/>
        </w:rPr>
        <w:t xml:space="preserve">, </w:t>
      </w:r>
      <w:r w:rsidR="6DEE9B3A" w:rsidRPr="00226F9D">
        <w:rPr>
          <w:rFonts w:ascii="Times New Roman" w:eastAsia="Times New Roman" w:hAnsi="Times New Roman" w:cs="Times New Roman"/>
          <w:lang w:val="sr-Cyrl-RS" w:eastAsia="en-GB"/>
        </w:rPr>
        <w:t xml:space="preserve">неколицине невладиних </w:t>
      </w:r>
      <w:r w:rsidR="1A301427" w:rsidRPr="00226F9D">
        <w:rPr>
          <w:rFonts w:ascii="Times New Roman" w:eastAsia="Times New Roman" w:hAnsi="Times New Roman" w:cs="Times New Roman"/>
          <w:lang w:val="sr-Cyrl-RS" w:eastAsia="en-GB"/>
        </w:rPr>
        <w:t xml:space="preserve">организација </w:t>
      </w:r>
      <w:r w:rsidR="374065CA" w:rsidRPr="00226F9D">
        <w:rPr>
          <w:rFonts w:ascii="Times New Roman" w:eastAsia="Times New Roman" w:hAnsi="Times New Roman" w:cs="Times New Roman"/>
          <w:lang w:val="sr-Cyrl-RS" w:eastAsia="en-GB"/>
        </w:rPr>
        <w:t xml:space="preserve">као носилаца </w:t>
      </w:r>
      <w:r w:rsidR="119A758D" w:rsidRPr="00226F9D">
        <w:rPr>
          <w:rFonts w:ascii="Times New Roman" w:eastAsia="Times New Roman" w:hAnsi="Times New Roman" w:cs="Times New Roman"/>
          <w:lang w:val="sr-Cyrl-RS" w:eastAsia="en-GB"/>
        </w:rPr>
        <w:t xml:space="preserve">секторских </w:t>
      </w:r>
      <w:r w:rsidR="77AB214C" w:rsidRPr="00226F9D">
        <w:rPr>
          <w:rFonts w:ascii="Times New Roman" w:eastAsia="Times New Roman" w:hAnsi="Times New Roman" w:cs="Times New Roman"/>
          <w:lang w:val="sr-Cyrl-RS" w:eastAsia="en-GB"/>
        </w:rPr>
        <w:t>тема и њихових мрежних локалних партнера</w:t>
      </w:r>
      <w:r w:rsidR="495805BB" w:rsidRPr="00226F9D">
        <w:rPr>
          <w:rFonts w:ascii="Times New Roman" w:eastAsia="Times New Roman" w:hAnsi="Times New Roman" w:cs="Times New Roman"/>
          <w:lang w:val="sr-Cyrl-RS" w:eastAsia="en-GB"/>
        </w:rPr>
        <w:t>).</w:t>
      </w:r>
      <w:r w:rsidR="3CDF8A78" w:rsidRPr="00226F9D">
        <w:rPr>
          <w:rFonts w:ascii="Times New Roman" w:eastAsia="Times New Roman" w:hAnsi="Times New Roman" w:cs="Times New Roman"/>
          <w:lang w:val="sr-Cyrl-RS" w:eastAsia="en-GB"/>
        </w:rPr>
        <w:t xml:space="preserve"> </w:t>
      </w:r>
      <w:r w:rsidR="66CA6CC6" w:rsidRPr="00226F9D">
        <w:rPr>
          <w:rFonts w:ascii="Times New Roman" w:eastAsia="Times New Roman" w:hAnsi="Times New Roman" w:cs="Times New Roman"/>
          <w:lang w:val="sr-Cyrl-RS" w:eastAsia="en-GB"/>
        </w:rPr>
        <w:t xml:space="preserve">У том смислу, </w:t>
      </w:r>
      <w:r w:rsidR="69DCD23C" w:rsidRPr="00226F9D">
        <w:rPr>
          <w:rFonts w:ascii="Times New Roman" w:eastAsia="Times New Roman" w:hAnsi="Times New Roman" w:cs="Times New Roman"/>
          <w:lang w:val="sr-Cyrl-RS" w:eastAsia="en-GB"/>
        </w:rPr>
        <w:t xml:space="preserve">у оријентацији ка крају декаде </w:t>
      </w:r>
      <w:r w:rsidR="19371F70" w:rsidRPr="00226F9D">
        <w:rPr>
          <w:rFonts w:ascii="Times New Roman" w:eastAsia="Times New Roman" w:hAnsi="Times New Roman" w:cs="Times New Roman"/>
          <w:lang w:val="sr-Cyrl-RS" w:eastAsia="en-GB"/>
        </w:rPr>
        <w:t>2030</w:t>
      </w:r>
      <w:r w:rsidR="731BBA24" w:rsidRPr="00226F9D">
        <w:rPr>
          <w:rFonts w:ascii="Times New Roman" w:eastAsia="Times New Roman" w:hAnsi="Times New Roman" w:cs="Times New Roman"/>
          <w:lang w:val="sr-Cyrl-RS" w:eastAsia="en-GB"/>
        </w:rPr>
        <w:t xml:space="preserve"> и заједничким на</w:t>
      </w:r>
      <w:r w:rsidR="3BEAF51F" w:rsidRPr="00226F9D">
        <w:rPr>
          <w:rFonts w:ascii="Times New Roman" w:eastAsia="Times New Roman" w:hAnsi="Times New Roman" w:cs="Times New Roman"/>
          <w:lang w:val="sr-Cyrl-RS" w:eastAsia="en-GB"/>
        </w:rPr>
        <w:t xml:space="preserve">порима које сви нивои власти </w:t>
      </w:r>
      <w:r w:rsidR="102DE73C" w:rsidRPr="00226F9D">
        <w:rPr>
          <w:rFonts w:ascii="Times New Roman" w:eastAsia="Times New Roman" w:hAnsi="Times New Roman" w:cs="Times New Roman"/>
          <w:lang w:val="sr-Cyrl-RS" w:eastAsia="en-GB"/>
        </w:rPr>
        <w:t xml:space="preserve">треба да предузимају </w:t>
      </w:r>
      <w:r w:rsidR="35EAE8BA" w:rsidRPr="00226F9D">
        <w:rPr>
          <w:rFonts w:ascii="Times New Roman" w:eastAsia="Times New Roman" w:hAnsi="Times New Roman" w:cs="Times New Roman"/>
          <w:lang w:val="sr-Cyrl-RS" w:eastAsia="en-GB"/>
        </w:rPr>
        <w:t xml:space="preserve">у доприносу </w:t>
      </w:r>
      <w:r w:rsidR="730FF359" w:rsidRPr="00226F9D">
        <w:rPr>
          <w:rFonts w:ascii="Times New Roman" w:eastAsia="Times New Roman" w:hAnsi="Times New Roman" w:cs="Times New Roman"/>
          <w:lang w:val="sr-Cyrl-RS" w:eastAsia="en-GB"/>
        </w:rPr>
        <w:t xml:space="preserve">глобалним </w:t>
      </w:r>
      <w:r w:rsidR="6F67A85B" w:rsidRPr="00226F9D">
        <w:rPr>
          <w:rFonts w:ascii="Times New Roman" w:eastAsia="Times New Roman" w:hAnsi="Times New Roman" w:cs="Times New Roman"/>
          <w:lang w:val="sr-Cyrl-RS" w:eastAsia="en-GB"/>
        </w:rPr>
        <w:lastRenderedPageBreak/>
        <w:t>показатељима уз ЦОР</w:t>
      </w:r>
      <w:r w:rsidR="05E52A0A" w:rsidRPr="00226F9D">
        <w:rPr>
          <w:rFonts w:ascii="Times New Roman" w:eastAsia="Times New Roman" w:hAnsi="Times New Roman" w:cs="Times New Roman"/>
          <w:lang w:val="sr-Latn-RS" w:eastAsia="en-GB"/>
        </w:rPr>
        <w:t>,</w:t>
      </w:r>
      <w:r w:rsidR="6F67A85B" w:rsidRPr="00226F9D">
        <w:rPr>
          <w:rFonts w:ascii="Times New Roman" w:eastAsia="Times New Roman" w:hAnsi="Times New Roman" w:cs="Times New Roman"/>
          <w:lang w:val="sr-Cyrl-RS" w:eastAsia="en-GB"/>
        </w:rPr>
        <w:t xml:space="preserve"> као и </w:t>
      </w:r>
      <w:r w:rsidR="518F5367" w:rsidRPr="00226F9D">
        <w:rPr>
          <w:rFonts w:ascii="Times New Roman" w:eastAsia="Times New Roman" w:hAnsi="Times New Roman" w:cs="Times New Roman"/>
          <w:lang w:val="sr-Cyrl-RS" w:eastAsia="en-GB"/>
        </w:rPr>
        <w:t xml:space="preserve">у остваривању </w:t>
      </w:r>
      <w:r w:rsidR="541F821C" w:rsidRPr="00226F9D">
        <w:rPr>
          <w:rFonts w:ascii="Times New Roman" w:eastAsia="Times New Roman" w:hAnsi="Times New Roman" w:cs="Times New Roman"/>
          <w:lang w:val="sr-Cyrl-RS" w:eastAsia="en-GB"/>
        </w:rPr>
        <w:t xml:space="preserve">комплементарних </w:t>
      </w:r>
      <w:r w:rsidR="47A36A12" w:rsidRPr="00226F9D">
        <w:rPr>
          <w:rFonts w:ascii="Times New Roman" w:eastAsia="Times New Roman" w:hAnsi="Times New Roman" w:cs="Times New Roman"/>
          <w:lang w:val="sr-Cyrl-RS" w:eastAsia="en-GB"/>
        </w:rPr>
        <w:t>мерила из процеса европских интеграција</w:t>
      </w:r>
      <w:r w:rsidR="732788C3" w:rsidRPr="00226F9D">
        <w:rPr>
          <w:rFonts w:ascii="Times New Roman" w:eastAsia="Times New Roman" w:hAnsi="Times New Roman" w:cs="Times New Roman"/>
          <w:lang w:val="sr-Cyrl-RS" w:eastAsia="en-GB"/>
        </w:rPr>
        <w:t>, на темељу домаћег планског система</w:t>
      </w:r>
      <w:r w:rsidR="541F821C" w:rsidRPr="00226F9D">
        <w:rPr>
          <w:rFonts w:ascii="Times New Roman" w:eastAsia="Times New Roman" w:hAnsi="Times New Roman" w:cs="Times New Roman"/>
          <w:lang w:val="sr-Cyrl-RS" w:eastAsia="en-GB"/>
        </w:rPr>
        <w:t xml:space="preserve"> формирана је солидна </w:t>
      </w:r>
      <w:r w:rsidR="7FEBBF8C" w:rsidRPr="00226F9D">
        <w:rPr>
          <w:rFonts w:ascii="Times New Roman" w:eastAsia="Times New Roman" w:hAnsi="Times New Roman" w:cs="Times New Roman"/>
          <w:lang w:val="sr-Cyrl-RS" w:eastAsia="en-GB"/>
        </w:rPr>
        <w:t xml:space="preserve">основа </w:t>
      </w:r>
      <w:r w:rsidR="2C186F5D" w:rsidRPr="00226F9D">
        <w:rPr>
          <w:rFonts w:ascii="Times New Roman" w:eastAsia="Times New Roman" w:hAnsi="Times New Roman" w:cs="Times New Roman"/>
          <w:lang w:val="sr-Cyrl-RS" w:eastAsia="en-GB"/>
        </w:rPr>
        <w:t>у екосистему локалних самоуправа</w:t>
      </w:r>
      <w:r w:rsidR="600A34C3" w:rsidRPr="00226F9D">
        <w:rPr>
          <w:rFonts w:ascii="Times New Roman" w:eastAsia="Times New Roman" w:hAnsi="Times New Roman" w:cs="Times New Roman"/>
          <w:lang w:val="sr-Cyrl-RS" w:eastAsia="en-GB"/>
        </w:rPr>
        <w:t xml:space="preserve">. </w:t>
      </w:r>
      <w:r w:rsidR="431B9F34" w:rsidRPr="00226F9D">
        <w:rPr>
          <w:rFonts w:ascii="Times New Roman" w:eastAsia="Times New Roman" w:hAnsi="Times New Roman" w:cs="Times New Roman"/>
          <w:lang w:val="sr-Cyrl-RS" w:eastAsia="en-GB"/>
        </w:rPr>
        <w:t xml:space="preserve">У наредној петогодишњој перспективи </w:t>
      </w:r>
      <w:r w:rsidR="7FD17CFB" w:rsidRPr="00226F9D">
        <w:rPr>
          <w:rFonts w:ascii="Times New Roman" w:eastAsia="Times New Roman" w:hAnsi="Times New Roman" w:cs="Times New Roman"/>
          <w:lang w:val="sr-Cyrl-RS" w:eastAsia="en-GB"/>
        </w:rPr>
        <w:t xml:space="preserve">стога је кључно </w:t>
      </w:r>
      <w:r w:rsidR="518DEA00" w:rsidRPr="00226F9D">
        <w:rPr>
          <w:rFonts w:ascii="Times New Roman" w:eastAsia="Times New Roman" w:hAnsi="Times New Roman" w:cs="Times New Roman"/>
          <w:lang w:val="sr-Cyrl-RS" w:eastAsia="en-GB"/>
        </w:rPr>
        <w:t xml:space="preserve">да се ова база </w:t>
      </w:r>
      <w:r w:rsidR="3C2DFAC7" w:rsidRPr="00226F9D">
        <w:rPr>
          <w:rFonts w:ascii="Times New Roman" w:eastAsia="Times New Roman" w:hAnsi="Times New Roman" w:cs="Times New Roman"/>
          <w:lang w:val="sr-Cyrl-RS" w:eastAsia="en-GB"/>
        </w:rPr>
        <w:t xml:space="preserve">одржи и надогради кроз функционалну подршку </w:t>
      </w:r>
      <w:r w:rsidR="79A96EE9" w:rsidRPr="00226F9D">
        <w:rPr>
          <w:rFonts w:ascii="Times New Roman" w:eastAsia="Times New Roman" w:hAnsi="Times New Roman" w:cs="Times New Roman"/>
          <w:lang w:val="sr-Cyrl-RS" w:eastAsia="en-GB"/>
        </w:rPr>
        <w:t xml:space="preserve">градовима и општинама </w:t>
      </w:r>
      <w:r w:rsidR="55B2515C" w:rsidRPr="00226F9D">
        <w:rPr>
          <w:rFonts w:ascii="Times New Roman" w:eastAsia="Times New Roman" w:hAnsi="Times New Roman" w:cs="Times New Roman"/>
          <w:lang w:val="sr-Cyrl-RS" w:eastAsia="en-GB"/>
        </w:rPr>
        <w:t>и на линији даљег консолидовања планског и правног оквира</w:t>
      </w:r>
      <w:r w:rsidR="30532154" w:rsidRPr="00226F9D">
        <w:rPr>
          <w:rFonts w:ascii="Times New Roman" w:eastAsia="Times New Roman" w:hAnsi="Times New Roman" w:cs="Times New Roman"/>
          <w:lang w:val="sr-Cyrl-RS" w:eastAsia="en-GB"/>
        </w:rPr>
        <w:t xml:space="preserve"> који ће омогућити ефективније </w:t>
      </w:r>
      <w:r w:rsidR="7BDF1BCA" w:rsidRPr="00226F9D">
        <w:rPr>
          <w:rFonts w:ascii="Times New Roman" w:eastAsia="Times New Roman" w:hAnsi="Times New Roman" w:cs="Times New Roman"/>
          <w:lang w:val="sr-Cyrl-RS" w:eastAsia="en-GB"/>
        </w:rPr>
        <w:t xml:space="preserve">и амбициозније </w:t>
      </w:r>
      <w:r w:rsidR="30532154" w:rsidRPr="00226F9D">
        <w:rPr>
          <w:rFonts w:ascii="Times New Roman" w:eastAsia="Times New Roman" w:hAnsi="Times New Roman" w:cs="Times New Roman"/>
          <w:lang w:val="sr-Cyrl-RS" w:eastAsia="en-GB"/>
        </w:rPr>
        <w:t xml:space="preserve">спровођење </w:t>
      </w:r>
      <w:r w:rsidR="7A57629D" w:rsidRPr="00226F9D">
        <w:rPr>
          <w:rFonts w:ascii="Times New Roman" w:eastAsia="Times New Roman" w:hAnsi="Times New Roman" w:cs="Times New Roman"/>
          <w:lang w:val="sr-Cyrl-RS" w:eastAsia="en-GB"/>
        </w:rPr>
        <w:t xml:space="preserve">њихових </w:t>
      </w:r>
      <w:r w:rsidR="7BDF1BCA" w:rsidRPr="00226F9D">
        <w:rPr>
          <w:rFonts w:ascii="Times New Roman" w:eastAsia="Times New Roman" w:hAnsi="Times New Roman" w:cs="Times New Roman"/>
          <w:lang w:val="sr-Cyrl-RS" w:eastAsia="en-GB"/>
        </w:rPr>
        <w:t xml:space="preserve">надлежности, као и кроз изградњу </w:t>
      </w:r>
      <w:r w:rsidR="5316159D" w:rsidRPr="00226F9D">
        <w:rPr>
          <w:rFonts w:ascii="Times New Roman" w:eastAsia="Times New Roman" w:hAnsi="Times New Roman" w:cs="Times New Roman"/>
          <w:lang w:val="sr-Cyrl-RS" w:eastAsia="en-GB"/>
        </w:rPr>
        <w:t>капацитета</w:t>
      </w:r>
      <w:r w:rsidR="7A57629D" w:rsidRPr="00226F9D">
        <w:rPr>
          <w:rFonts w:ascii="Times New Roman" w:eastAsia="Times New Roman" w:hAnsi="Times New Roman" w:cs="Times New Roman"/>
          <w:lang w:val="sr-Cyrl-RS" w:eastAsia="en-GB"/>
        </w:rPr>
        <w:t xml:space="preserve"> и методолошко вођење. </w:t>
      </w:r>
      <w:r w:rsidR="243CFCE1" w:rsidRPr="00226F9D">
        <w:rPr>
          <w:rFonts w:ascii="Times New Roman" w:eastAsia="Times New Roman" w:hAnsi="Times New Roman" w:cs="Times New Roman"/>
          <w:lang w:val="sr-Cyrl-RS" w:eastAsia="en-GB"/>
        </w:rPr>
        <w:t xml:space="preserve">Усвајање </w:t>
      </w:r>
      <w:r w:rsidR="02503820" w:rsidRPr="00226F9D">
        <w:rPr>
          <w:rFonts w:ascii="Times New Roman" w:eastAsia="Times New Roman" w:hAnsi="Times New Roman" w:cs="Times New Roman"/>
          <w:lang w:val="sr-Cyrl-RS" w:eastAsia="en-GB"/>
        </w:rPr>
        <w:t xml:space="preserve">националног </w:t>
      </w:r>
      <w:r w:rsidR="243CFCE1" w:rsidRPr="00226F9D">
        <w:rPr>
          <w:rFonts w:ascii="Times New Roman" w:eastAsia="Times New Roman" w:hAnsi="Times New Roman" w:cs="Times New Roman"/>
          <w:lang w:val="sr-Cyrl-RS" w:eastAsia="en-GB"/>
        </w:rPr>
        <w:t>плана развој</w:t>
      </w:r>
      <w:r w:rsidR="02503820" w:rsidRPr="00226F9D">
        <w:rPr>
          <w:rFonts w:ascii="Times New Roman" w:eastAsia="Times New Roman" w:hAnsi="Times New Roman" w:cs="Times New Roman"/>
          <w:lang w:val="sr-Cyrl-RS" w:eastAsia="en-GB"/>
        </w:rPr>
        <w:t xml:space="preserve">а, </w:t>
      </w:r>
      <w:r w:rsidR="243CFCE1" w:rsidRPr="00226F9D">
        <w:rPr>
          <w:rFonts w:ascii="Times New Roman" w:eastAsia="Times New Roman" w:hAnsi="Times New Roman" w:cs="Times New Roman"/>
          <w:lang w:val="sr-Cyrl-RS" w:eastAsia="en-GB"/>
        </w:rPr>
        <w:t>као и консолидованих секторских стратегија</w:t>
      </w:r>
      <w:r w:rsidR="2853841E" w:rsidRPr="00226F9D">
        <w:rPr>
          <w:rFonts w:ascii="Times New Roman" w:eastAsia="Times New Roman" w:hAnsi="Times New Roman" w:cs="Times New Roman"/>
          <w:lang w:val="sr-Cyrl-RS" w:eastAsia="en-GB"/>
        </w:rPr>
        <w:t xml:space="preserve">, </w:t>
      </w:r>
      <w:r w:rsidR="243CFCE1" w:rsidRPr="00226F9D">
        <w:rPr>
          <w:rFonts w:ascii="Times New Roman" w:eastAsia="Times New Roman" w:hAnsi="Times New Roman" w:cs="Times New Roman"/>
          <w:lang w:val="sr-Cyrl-RS" w:eastAsia="en-GB"/>
        </w:rPr>
        <w:t xml:space="preserve">програма </w:t>
      </w:r>
      <w:r w:rsidR="2853841E" w:rsidRPr="00226F9D">
        <w:rPr>
          <w:rFonts w:ascii="Times New Roman" w:eastAsia="Times New Roman" w:hAnsi="Times New Roman" w:cs="Times New Roman"/>
          <w:lang w:val="sr-Cyrl-RS" w:eastAsia="en-GB"/>
        </w:rPr>
        <w:t xml:space="preserve">и прописа </w:t>
      </w:r>
      <w:r w:rsidR="243CFCE1" w:rsidRPr="00226F9D">
        <w:rPr>
          <w:rFonts w:ascii="Times New Roman" w:eastAsia="Times New Roman" w:hAnsi="Times New Roman" w:cs="Times New Roman"/>
          <w:lang w:val="sr-Cyrl-RS" w:eastAsia="en-GB"/>
        </w:rPr>
        <w:t xml:space="preserve">на </w:t>
      </w:r>
      <w:r w:rsidR="2EC3DDE5" w:rsidRPr="00226F9D">
        <w:rPr>
          <w:rFonts w:ascii="Times New Roman" w:eastAsia="Times New Roman" w:hAnsi="Times New Roman" w:cs="Times New Roman"/>
          <w:lang w:val="sr-Cyrl-RS" w:eastAsia="en-GB"/>
        </w:rPr>
        <w:t xml:space="preserve">државном </w:t>
      </w:r>
      <w:r w:rsidR="243CFCE1" w:rsidRPr="00226F9D">
        <w:rPr>
          <w:rFonts w:ascii="Times New Roman" w:eastAsia="Times New Roman" w:hAnsi="Times New Roman" w:cs="Times New Roman"/>
          <w:lang w:val="sr-Cyrl-RS" w:eastAsia="en-GB"/>
        </w:rPr>
        <w:t>нивоу</w:t>
      </w:r>
      <w:r w:rsidR="088B5C80" w:rsidRPr="00226F9D">
        <w:rPr>
          <w:rFonts w:ascii="Times New Roman" w:eastAsia="Times New Roman" w:hAnsi="Times New Roman" w:cs="Times New Roman"/>
          <w:lang w:val="sr-Cyrl-RS" w:eastAsia="en-GB"/>
        </w:rPr>
        <w:t xml:space="preserve">, </w:t>
      </w:r>
      <w:r w:rsidR="243CFCE1" w:rsidRPr="00226F9D">
        <w:rPr>
          <w:rFonts w:ascii="Times New Roman" w:eastAsia="Times New Roman" w:hAnsi="Times New Roman" w:cs="Times New Roman"/>
          <w:lang w:val="sr-Cyrl-RS" w:eastAsia="en-GB"/>
        </w:rPr>
        <w:t xml:space="preserve">омогућило </w:t>
      </w:r>
      <w:r w:rsidR="088B5C80" w:rsidRPr="00226F9D">
        <w:rPr>
          <w:rFonts w:ascii="Times New Roman" w:eastAsia="Times New Roman" w:hAnsi="Times New Roman" w:cs="Times New Roman"/>
          <w:lang w:val="sr-Cyrl-RS" w:eastAsia="en-GB"/>
        </w:rPr>
        <w:t xml:space="preserve">би </w:t>
      </w:r>
      <w:r w:rsidR="2F22DB2A" w:rsidRPr="00226F9D">
        <w:rPr>
          <w:rFonts w:ascii="Times New Roman" w:eastAsia="Times New Roman" w:hAnsi="Times New Roman" w:cs="Times New Roman"/>
          <w:lang w:val="sr-Cyrl-RS" w:eastAsia="en-GB"/>
        </w:rPr>
        <w:t xml:space="preserve">боље </w:t>
      </w:r>
      <w:r w:rsidR="243CFCE1" w:rsidRPr="00226F9D">
        <w:rPr>
          <w:rFonts w:ascii="Times New Roman" w:eastAsia="Times New Roman" w:hAnsi="Times New Roman" w:cs="Times New Roman"/>
          <w:lang w:val="sr-Cyrl-RS" w:eastAsia="en-GB"/>
        </w:rPr>
        <w:t xml:space="preserve">вертикално усклађивање саджаја локалних планских докумената, </w:t>
      </w:r>
      <w:r w:rsidR="2F22DB2A" w:rsidRPr="00226F9D">
        <w:rPr>
          <w:rFonts w:ascii="Times New Roman" w:eastAsia="Times New Roman" w:hAnsi="Times New Roman" w:cs="Times New Roman"/>
          <w:lang w:val="sr-Cyrl-RS" w:eastAsia="en-GB"/>
        </w:rPr>
        <w:t xml:space="preserve">што </w:t>
      </w:r>
      <w:r w:rsidR="0BE359D7" w:rsidRPr="00226F9D">
        <w:rPr>
          <w:rFonts w:ascii="Times New Roman" w:eastAsia="Times New Roman" w:hAnsi="Times New Roman" w:cs="Times New Roman"/>
          <w:lang w:val="sr-Cyrl-RS" w:eastAsia="en-GB"/>
        </w:rPr>
        <w:t xml:space="preserve">остаје важан задатак у смислу </w:t>
      </w:r>
      <w:r w:rsidR="243CFCE1" w:rsidRPr="00226F9D">
        <w:rPr>
          <w:rFonts w:ascii="Times New Roman" w:eastAsia="Times New Roman" w:hAnsi="Times New Roman" w:cs="Times New Roman"/>
          <w:lang w:val="sr-Cyrl-RS" w:eastAsia="en-GB"/>
        </w:rPr>
        <w:t>Закон</w:t>
      </w:r>
      <w:r w:rsidR="0BE359D7" w:rsidRPr="00226F9D">
        <w:rPr>
          <w:rFonts w:ascii="Times New Roman" w:eastAsia="Times New Roman" w:hAnsi="Times New Roman" w:cs="Times New Roman"/>
          <w:lang w:val="sr-Cyrl-RS" w:eastAsia="en-GB"/>
        </w:rPr>
        <w:t xml:space="preserve">а о планском систему. </w:t>
      </w:r>
      <w:r w:rsidR="34FB6F0E" w:rsidRPr="00226F9D">
        <w:rPr>
          <w:rFonts w:ascii="Times New Roman" w:eastAsia="Times New Roman" w:hAnsi="Times New Roman" w:cs="Times New Roman"/>
          <w:lang w:val="sr-Cyrl-RS" w:eastAsia="en-GB"/>
        </w:rPr>
        <w:t xml:space="preserve">Градовима и општинама </w:t>
      </w:r>
      <w:r w:rsidR="384E6133" w:rsidRPr="00226F9D">
        <w:rPr>
          <w:rFonts w:ascii="Times New Roman" w:eastAsia="Times New Roman" w:hAnsi="Times New Roman" w:cs="Times New Roman"/>
          <w:lang w:val="sr-Cyrl-RS" w:eastAsia="en-GB"/>
        </w:rPr>
        <w:t xml:space="preserve">предстоји </w:t>
      </w:r>
      <w:r w:rsidR="748ADB1B" w:rsidRPr="00226F9D">
        <w:rPr>
          <w:rFonts w:ascii="Times New Roman" w:eastAsia="Times New Roman" w:hAnsi="Times New Roman" w:cs="Times New Roman"/>
          <w:lang w:val="sr-Cyrl-RS" w:eastAsia="en-GB"/>
        </w:rPr>
        <w:t xml:space="preserve">обавезно извештавање о учинцима </w:t>
      </w:r>
      <w:r w:rsidR="1E8347E7" w:rsidRPr="00226F9D">
        <w:rPr>
          <w:rFonts w:ascii="Times New Roman" w:eastAsia="Times New Roman" w:hAnsi="Times New Roman" w:cs="Times New Roman"/>
          <w:lang w:val="sr-Cyrl-RS" w:eastAsia="en-GB"/>
        </w:rPr>
        <w:t xml:space="preserve">спровођења </w:t>
      </w:r>
      <w:r w:rsidR="748ADB1B" w:rsidRPr="00226F9D">
        <w:rPr>
          <w:rFonts w:ascii="Times New Roman" w:eastAsia="Times New Roman" w:hAnsi="Times New Roman" w:cs="Times New Roman"/>
          <w:lang w:val="sr-Cyrl-RS" w:eastAsia="en-GB"/>
        </w:rPr>
        <w:t xml:space="preserve">планова развоја </w:t>
      </w:r>
      <w:r w:rsidR="1E8347E7" w:rsidRPr="00226F9D">
        <w:rPr>
          <w:rFonts w:ascii="Times New Roman" w:eastAsia="Times New Roman" w:hAnsi="Times New Roman" w:cs="Times New Roman"/>
          <w:lang w:val="sr-Cyrl-RS" w:eastAsia="en-GB"/>
        </w:rPr>
        <w:t>усвојених у претходном периоду</w:t>
      </w:r>
      <w:r w:rsidR="2025DF67" w:rsidRPr="00226F9D">
        <w:rPr>
          <w:rFonts w:ascii="Times New Roman" w:eastAsia="Times New Roman" w:hAnsi="Times New Roman" w:cs="Times New Roman"/>
          <w:lang w:val="sr-Cyrl-RS" w:eastAsia="en-GB"/>
        </w:rPr>
        <w:t xml:space="preserve">, сагледавање оствареног и промишљање </w:t>
      </w:r>
      <w:r w:rsidR="4FFD0320" w:rsidRPr="00226F9D">
        <w:rPr>
          <w:rFonts w:ascii="Times New Roman" w:eastAsia="Times New Roman" w:hAnsi="Times New Roman" w:cs="Times New Roman"/>
          <w:lang w:val="sr-Cyrl-RS" w:eastAsia="en-GB"/>
        </w:rPr>
        <w:t xml:space="preserve">евентуалне рекалибрације </w:t>
      </w:r>
      <w:r w:rsidR="7F8095DA" w:rsidRPr="00226F9D">
        <w:rPr>
          <w:rFonts w:ascii="Times New Roman" w:eastAsia="Times New Roman" w:hAnsi="Times New Roman" w:cs="Times New Roman"/>
          <w:lang w:val="sr-Cyrl-RS" w:eastAsia="en-GB"/>
        </w:rPr>
        <w:t xml:space="preserve">и ревизије </w:t>
      </w:r>
      <w:r w:rsidR="6D49AC4F" w:rsidRPr="00226F9D">
        <w:rPr>
          <w:rFonts w:ascii="Times New Roman" w:eastAsia="Times New Roman" w:hAnsi="Times New Roman" w:cs="Times New Roman"/>
          <w:lang w:val="sr-Cyrl-RS" w:eastAsia="en-GB"/>
        </w:rPr>
        <w:t>развојних приоритета</w:t>
      </w:r>
      <w:r w:rsidR="641F5208" w:rsidRPr="00226F9D">
        <w:rPr>
          <w:rFonts w:ascii="Times New Roman" w:eastAsia="Times New Roman" w:hAnsi="Times New Roman" w:cs="Times New Roman"/>
          <w:lang w:val="sr-Cyrl-RS" w:eastAsia="en-GB"/>
        </w:rPr>
        <w:t xml:space="preserve">. </w:t>
      </w:r>
      <w:r w:rsidR="56C1E924" w:rsidRPr="00226F9D">
        <w:rPr>
          <w:rFonts w:ascii="Times New Roman" w:eastAsia="Times New Roman" w:hAnsi="Times New Roman" w:cs="Times New Roman"/>
          <w:lang w:val="sr-Cyrl-RS" w:eastAsia="en-GB"/>
        </w:rPr>
        <w:t>Уз</w:t>
      </w:r>
      <w:r w:rsidR="72C1DA63" w:rsidRPr="00226F9D">
        <w:rPr>
          <w:rFonts w:ascii="Times New Roman" w:eastAsia="Times New Roman" w:hAnsi="Times New Roman" w:cs="Times New Roman"/>
          <w:lang w:val="sr-Cyrl-RS" w:eastAsia="en-GB"/>
        </w:rPr>
        <w:t xml:space="preserve"> примену Смерница</w:t>
      </w:r>
      <w:r w:rsidR="7671B204" w:rsidRPr="00226F9D">
        <w:rPr>
          <w:rFonts w:ascii="Times New Roman" w:eastAsia="Times New Roman" w:hAnsi="Times New Roman" w:cs="Times New Roman"/>
          <w:lang w:val="sr-Latn-RS" w:eastAsia="en-GB"/>
        </w:rPr>
        <w:t xml:space="preserve"> </w:t>
      </w:r>
      <w:r w:rsidR="7671B204" w:rsidRPr="00226F9D">
        <w:rPr>
          <w:rFonts w:ascii="Times New Roman" w:eastAsia="Times New Roman" w:hAnsi="Times New Roman" w:cs="Times New Roman"/>
          <w:lang w:val="sr-Cyrl-RS" w:eastAsia="en-GB"/>
        </w:rPr>
        <w:t>за</w:t>
      </w:r>
      <w:r w:rsidR="00093928" w:rsidRPr="00226F9D">
        <w:rPr>
          <w:rFonts w:ascii="Times New Roman" w:eastAsia="Times New Roman" w:hAnsi="Times New Roman" w:cs="Times New Roman"/>
          <w:lang w:val="sr-Cyrl-RS" w:eastAsia="en-GB"/>
        </w:rPr>
        <w:t xml:space="preserve"> припрему</w:t>
      </w:r>
      <w:r w:rsidR="7671B204" w:rsidRPr="00226F9D">
        <w:rPr>
          <w:rFonts w:ascii="Times New Roman" w:eastAsia="Times New Roman" w:hAnsi="Times New Roman" w:cs="Times New Roman"/>
          <w:lang w:val="sr-Cyrl-RS" w:eastAsia="en-GB"/>
        </w:rPr>
        <w:t xml:space="preserve"> </w:t>
      </w:r>
      <w:r w:rsidR="01DD4E87" w:rsidRPr="00226F9D">
        <w:rPr>
          <w:rFonts w:ascii="Times New Roman" w:eastAsia="Times New Roman" w:hAnsi="Times New Roman" w:cs="Times New Roman"/>
          <w:lang w:val="sr-Cyrl-RS" w:eastAsia="en-GB"/>
        </w:rPr>
        <w:t>извештаја</w:t>
      </w:r>
      <w:r w:rsidR="5B34764D" w:rsidRPr="00226F9D">
        <w:rPr>
          <w:rFonts w:ascii="Times New Roman" w:eastAsia="Times New Roman" w:hAnsi="Times New Roman" w:cs="Times New Roman"/>
          <w:lang w:val="sr-Cyrl-RS" w:eastAsia="en-GB"/>
        </w:rPr>
        <w:t xml:space="preserve"> </w:t>
      </w:r>
      <w:r w:rsidR="003003AB" w:rsidRPr="00226F9D">
        <w:rPr>
          <w:rFonts w:ascii="Times New Roman" w:eastAsia="Times New Roman" w:hAnsi="Times New Roman" w:cs="Times New Roman"/>
          <w:lang w:val="sr-Cyrl-RS" w:eastAsia="en-GB"/>
        </w:rPr>
        <w:t xml:space="preserve">о учинцима </w:t>
      </w:r>
      <w:r w:rsidR="4A007217" w:rsidRPr="00226F9D">
        <w:rPr>
          <w:rFonts w:ascii="Times New Roman" w:eastAsia="Times New Roman" w:hAnsi="Times New Roman" w:cs="Times New Roman"/>
          <w:lang w:val="sr-Cyrl-RS" w:eastAsia="en-GB"/>
        </w:rPr>
        <w:t>спровођења планова развоја</w:t>
      </w:r>
      <w:r w:rsidR="72873071" w:rsidRPr="00226F9D">
        <w:rPr>
          <w:rFonts w:ascii="Times New Roman" w:eastAsia="Times New Roman" w:hAnsi="Times New Roman" w:cs="Times New Roman"/>
          <w:lang w:val="sr-Cyrl-RS" w:eastAsia="en-GB"/>
        </w:rPr>
        <w:t xml:space="preserve"> ЈЛС</w:t>
      </w:r>
      <w:r w:rsidR="003003AB" w:rsidRPr="00226F9D">
        <w:rPr>
          <w:rStyle w:val="FootnoteReference"/>
          <w:rFonts w:ascii="Times New Roman" w:eastAsia="Times New Roman" w:hAnsi="Times New Roman" w:cs="Times New Roman"/>
          <w:lang w:val="sr-Cyrl-RS" w:eastAsia="en-GB"/>
        </w:rPr>
        <w:footnoteReference w:id="57"/>
      </w:r>
      <w:r w:rsidR="72C1DA63" w:rsidRPr="00226F9D">
        <w:rPr>
          <w:rFonts w:ascii="Times New Roman" w:eastAsia="Times New Roman" w:hAnsi="Times New Roman" w:cs="Times New Roman"/>
          <w:lang w:val="sr-Cyrl-RS" w:eastAsia="en-GB"/>
        </w:rPr>
        <w:t xml:space="preserve"> </w:t>
      </w:r>
      <w:r w:rsidR="520CB2E1" w:rsidRPr="00226F9D">
        <w:rPr>
          <w:rFonts w:ascii="Times New Roman" w:eastAsia="Times New Roman" w:hAnsi="Times New Roman" w:cs="Times New Roman"/>
          <w:lang w:val="sr-Cyrl-RS" w:eastAsia="en-GB"/>
        </w:rPr>
        <w:t>које су тек иницијално тестиране у претходном периоду</w:t>
      </w:r>
      <w:r w:rsidR="56C1E924" w:rsidRPr="00226F9D">
        <w:rPr>
          <w:rFonts w:ascii="Times New Roman" w:eastAsia="Times New Roman" w:hAnsi="Times New Roman" w:cs="Times New Roman"/>
          <w:lang w:val="sr-Cyrl-RS" w:eastAsia="en-GB"/>
        </w:rPr>
        <w:t xml:space="preserve"> на малом узорку ЈЛС, </w:t>
      </w:r>
      <w:r w:rsidR="69C8AC6B" w:rsidRPr="00226F9D">
        <w:rPr>
          <w:rFonts w:ascii="Times New Roman" w:eastAsia="Times New Roman" w:hAnsi="Times New Roman" w:cs="Times New Roman"/>
          <w:lang w:val="sr-Cyrl-RS" w:eastAsia="en-GB"/>
        </w:rPr>
        <w:t>подршк</w:t>
      </w:r>
      <w:r w:rsidR="345AB135" w:rsidRPr="00226F9D">
        <w:rPr>
          <w:rFonts w:ascii="Times New Roman" w:eastAsia="Times New Roman" w:hAnsi="Times New Roman" w:cs="Times New Roman"/>
          <w:lang w:val="sr-Cyrl-RS" w:eastAsia="en-GB"/>
        </w:rPr>
        <w:t>у</w:t>
      </w:r>
      <w:r w:rsidR="69C8AC6B" w:rsidRPr="00226F9D">
        <w:rPr>
          <w:rFonts w:ascii="Times New Roman" w:eastAsia="Times New Roman" w:hAnsi="Times New Roman" w:cs="Times New Roman"/>
          <w:lang w:val="sr-Cyrl-RS" w:eastAsia="en-GB"/>
        </w:rPr>
        <w:t xml:space="preserve"> за наведене процесе </w:t>
      </w:r>
      <w:r w:rsidR="00B67D4E">
        <w:rPr>
          <w:rFonts w:ascii="Times New Roman" w:eastAsia="Times New Roman" w:hAnsi="Times New Roman" w:cs="Times New Roman"/>
          <w:lang w:val="sr-Cyrl-RS" w:eastAsia="en-GB"/>
        </w:rPr>
        <w:t>потребно је усмерити наро</w:t>
      </w:r>
      <w:r w:rsidR="3522DFA1" w:rsidRPr="00226F9D">
        <w:rPr>
          <w:rFonts w:ascii="Times New Roman" w:eastAsia="Times New Roman" w:hAnsi="Times New Roman" w:cs="Times New Roman"/>
          <w:lang w:val="sr-Cyrl-RS" w:eastAsia="en-GB"/>
        </w:rPr>
        <w:t xml:space="preserve">чито ка објективном </w:t>
      </w:r>
      <w:r w:rsidR="60F97F48" w:rsidRPr="00226F9D">
        <w:rPr>
          <w:rFonts w:ascii="Times New Roman" w:eastAsia="Times New Roman" w:hAnsi="Times New Roman" w:cs="Times New Roman"/>
          <w:lang w:val="sr-Cyrl-RS" w:eastAsia="en-GB"/>
        </w:rPr>
        <w:t xml:space="preserve">уклапању планова са финансијским </w:t>
      </w:r>
      <w:r w:rsidR="6DB45EB7" w:rsidRPr="00226F9D">
        <w:rPr>
          <w:rFonts w:ascii="Times New Roman" w:eastAsia="Times New Roman" w:hAnsi="Times New Roman" w:cs="Times New Roman"/>
          <w:lang w:val="sr-Cyrl-RS" w:eastAsia="en-GB"/>
        </w:rPr>
        <w:t>капацитетом</w:t>
      </w:r>
      <w:r w:rsidR="714D4B2C" w:rsidRPr="00226F9D">
        <w:rPr>
          <w:rFonts w:ascii="Times New Roman" w:eastAsia="Times New Roman" w:hAnsi="Times New Roman" w:cs="Times New Roman"/>
          <w:lang w:val="sr-Cyrl-RS" w:eastAsia="en-GB"/>
        </w:rPr>
        <w:t xml:space="preserve"> градова и општина</w:t>
      </w:r>
      <w:r w:rsidR="60B055B8" w:rsidRPr="00226F9D">
        <w:rPr>
          <w:rFonts w:ascii="Times New Roman" w:eastAsia="Times New Roman" w:hAnsi="Times New Roman" w:cs="Times New Roman"/>
          <w:lang w:val="sr-Cyrl-RS" w:eastAsia="en-GB"/>
        </w:rPr>
        <w:t xml:space="preserve">, и потенцијале </w:t>
      </w:r>
      <w:r w:rsidR="42FDA204" w:rsidRPr="00226F9D">
        <w:rPr>
          <w:rFonts w:ascii="Times New Roman" w:eastAsia="Times New Roman" w:hAnsi="Times New Roman" w:cs="Times New Roman"/>
          <w:lang w:val="sr-Cyrl-RS" w:eastAsia="en-GB"/>
        </w:rPr>
        <w:t>за раст</w:t>
      </w:r>
      <w:r w:rsidR="28311B55" w:rsidRPr="00226F9D">
        <w:rPr>
          <w:rFonts w:ascii="Times New Roman" w:eastAsia="Times New Roman" w:hAnsi="Times New Roman" w:cs="Times New Roman"/>
          <w:lang w:val="sr-Cyrl-RS" w:eastAsia="en-GB"/>
        </w:rPr>
        <w:t xml:space="preserve"> и </w:t>
      </w:r>
      <w:r w:rsidR="42FDA204" w:rsidRPr="00226F9D">
        <w:rPr>
          <w:rFonts w:ascii="Times New Roman" w:eastAsia="Times New Roman" w:hAnsi="Times New Roman" w:cs="Times New Roman"/>
          <w:lang w:val="sr-Cyrl-RS" w:eastAsia="en-GB"/>
        </w:rPr>
        <w:t xml:space="preserve">инвестиције </w:t>
      </w:r>
      <w:r w:rsidR="422B7B87" w:rsidRPr="00226F9D">
        <w:rPr>
          <w:rFonts w:ascii="Times New Roman" w:eastAsia="Times New Roman" w:hAnsi="Times New Roman" w:cs="Times New Roman"/>
          <w:lang w:val="sr-Cyrl-RS" w:eastAsia="en-GB"/>
        </w:rPr>
        <w:t xml:space="preserve">уклапати са </w:t>
      </w:r>
      <w:r w:rsidR="0FA16719" w:rsidRPr="00226F9D">
        <w:rPr>
          <w:rFonts w:ascii="Times New Roman" w:eastAsia="Times New Roman" w:hAnsi="Times New Roman" w:cs="Times New Roman"/>
          <w:lang w:val="sr-Cyrl-RS" w:eastAsia="en-GB"/>
        </w:rPr>
        <w:t xml:space="preserve">перспективом </w:t>
      </w:r>
      <w:r w:rsidR="36E4471D" w:rsidRPr="00226F9D">
        <w:rPr>
          <w:rFonts w:ascii="Times New Roman" w:eastAsia="Times New Roman" w:hAnsi="Times New Roman" w:cs="Times New Roman"/>
          <w:kern w:val="0"/>
          <w:lang w:val="sr-Cyrl-RS" w:eastAsia="en-GB"/>
          <w14:ligatures w14:val="none"/>
        </w:rPr>
        <w:t xml:space="preserve">примене структурних инструмената </w:t>
      </w:r>
      <w:r w:rsidR="5B0CDB6F" w:rsidRPr="00226F9D">
        <w:rPr>
          <w:rFonts w:ascii="Times New Roman" w:eastAsia="Times New Roman" w:hAnsi="Times New Roman" w:cs="Times New Roman"/>
          <w:kern w:val="0"/>
          <w:lang w:val="sr-Cyrl-RS" w:eastAsia="en-GB"/>
          <w14:ligatures w14:val="none"/>
        </w:rPr>
        <w:t xml:space="preserve">кохезионе политике </w:t>
      </w:r>
      <w:r w:rsidR="2FA95C26" w:rsidRPr="00226F9D">
        <w:rPr>
          <w:rFonts w:ascii="Times New Roman" w:eastAsia="Times New Roman" w:hAnsi="Times New Roman" w:cs="Times New Roman"/>
          <w:kern w:val="0"/>
          <w:lang w:val="sr-Cyrl-RS" w:eastAsia="en-GB"/>
          <w14:ligatures w14:val="none"/>
        </w:rPr>
        <w:t xml:space="preserve">ЕУ </w:t>
      </w:r>
      <w:r w:rsidR="559B2843" w:rsidRPr="00226F9D">
        <w:rPr>
          <w:rFonts w:ascii="Times New Roman" w:eastAsia="Arial" w:hAnsi="Times New Roman" w:cs="Times New Roman"/>
          <w:kern w:val="0"/>
          <w:lang w:val="sr-Cyrl-RS"/>
          <w14:ligatures w14:val="none"/>
        </w:rPr>
        <w:t>и интегрисан</w:t>
      </w:r>
      <w:r w:rsidR="2FA95C26" w:rsidRPr="00226F9D">
        <w:rPr>
          <w:rFonts w:ascii="Times New Roman" w:eastAsia="Arial" w:hAnsi="Times New Roman" w:cs="Times New Roman"/>
          <w:kern w:val="0"/>
          <w:lang w:val="sr-Cyrl-RS"/>
          <w14:ligatures w14:val="none"/>
        </w:rPr>
        <w:t>ог</w:t>
      </w:r>
      <w:r w:rsidR="559B2843" w:rsidRPr="00226F9D">
        <w:rPr>
          <w:rFonts w:ascii="Times New Roman" w:eastAsia="Arial" w:hAnsi="Times New Roman" w:cs="Times New Roman"/>
          <w:kern w:val="0"/>
          <w:lang w:val="sr-Cyrl-RS"/>
          <w14:ligatures w14:val="none"/>
        </w:rPr>
        <w:t xml:space="preserve"> територијалн</w:t>
      </w:r>
      <w:r w:rsidR="2FA95C26" w:rsidRPr="00226F9D">
        <w:rPr>
          <w:rFonts w:ascii="Times New Roman" w:eastAsia="Arial" w:hAnsi="Times New Roman" w:cs="Times New Roman"/>
          <w:kern w:val="0"/>
          <w:lang w:val="sr-Cyrl-RS"/>
          <w14:ligatures w14:val="none"/>
        </w:rPr>
        <w:t>ог</w:t>
      </w:r>
      <w:r w:rsidR="559B2843" w:rsidRPr="00226F9D">
        <w:rPr>
          <w:rFonts w:ascii="Times New Roman" w:eastAsia="Arial" w:hAnsi="Times New Roman" w:cs="Times New Roman"/>
          <w:lang w:val="sr-Cyrl-RS"/>
        </w:rPr>
        <w:t xml:space="preserve"> развој</w:t>
      </w:r>
      <w:r w:rsidR="2FA95C26" w:rsidRPr="00226F9D">
        <w:rPr>
          <w:rFonts w:ascii="Times New Roman" w:eastAsia="Arial" w:hAnsi="Times New Roman" w:cs="Times New Roman"/>
          <w:lang w:val="sr-Cyrl-RS"/>
        </w:rPr>
        <w:t>а</w:t>
      </w:r>
      <w:r w:rsidR="559B2843" w:rsidRPr="00226F9D">
        <w:rPr>
          <w:rFonts w:ascii="Times New Roman" w:eastAsia="Arial" w:hAnsi="Times New Roman" w:cs="Times New Roman"/>
          <w:lang w:val="sr-Cyrl-RS"/>
        </w:rPr>
        <w:t>.</w:t>
      </w:r>
    </w:p>
    <w:p w14:paraId="5F32D908" w14:textId="77777777" w:rsidR="00452F3D" w:rsidRPr="00226F9D" w:rsidRDefault="00452F3D" w:rsidP="006B59F4">
      <w:pPr>
        <w:spacing w:after="0" w:line="240" w:lineRule="auto"/>
        <w:jc w:val="both"/>
        <w:rPr>
          <w:rFonts w:ascii="Times New Roman" w:eastAsia="Calibri" w:hAnsi="Times New Roman" w:cs="Times New Roman"/>
          <w:i/>
          <w:lang w:val="sr-Cyrl-RS"/>
        </w:rPr>
      </w:pPr>
    </w:p>
    <w:p w14:paraId="2234A1EE" w14:textId="0AD45F9D" w:rsidR="000C148A" w:rsidRPr="00226F9D" w:rsidRDefault="0052253D" w:rsidP="00C346C1">
      <w:pPr>
        <w:pStyle w:val="Heading2"/>
        <w:numPr>
          <w:ilvl w:val="0"/>
          <w:numId w:val="25"/>
        </w:numPr>
        <w:rPr>
          <w:rFonts w:ascii="Times New Roman" w:eastAsia="Calibri" w:hAnsi="Times New Roman" w:cs="Times New Roman"/>
          <w:lang w:val="sr-Cyrl-RS"/>
        </w:rPr>
      </w:pPr>
      <w:bookmarkStart w:id="9" w:name="_Toc222753917"/>
      <w:r w:rsidRPr="00226F9D">
        <w:rPr>
          <w:rFonts w:ascii="Times New Roman" w:hAnsi="Times New Roman" w:cs="Times New Roman"/>
          <w:lang w:val="sr-Cyrl-RS"/>
        </w:rPr>
        <w:t xml:space="preserve">Унапређење квалитета и доступности услуга </w:t>
      </w:r>
      <w:r w:rsidRPr="00226F9D">
        <w:rPr>
          <w:rFonts w:ascii="Times New Roman" w:hAnsi="Times New Roman" w:cs="Times New Roman"/>
          <w:bCs/>
          <w:lang w:val="sr-Cyrl-RS"/>
        </w:rPr>
        <w:t>локалне самоуправе</w:t>
      </w:r>
      <w:bookmarkEnd w:id="9"/>
    </w:p>
    <w:p w14:paraId="4DE70650" w14:textId="77777777" w:rsidR="002003B4" w:rsidRPr="00226F9D" w:rsidRDefault="002003B4" w:rsidP="006B59F4">
      <w:pPr>
        <w:spacing w:after="0" w:line="240" w:lineRule="auto"/>
        <w:jc w:val="both"/>
        <w:rPr>
          <w:rFonts w:ascii="Times New Roman" w:eastAsia="Tahoma" w:hAnsi="Times New Roman" w:cs="Times New Roman"/>
          <w:color w:val="000000" w:themeColor="text1"/>
          <w:sz w:val="22"/>
          <w:szCs w:val="22"/>
          <w:lang w:val="sr-Cyrl-RS"/>
        </w:rPr>
      </w:pPr>
    </w:p>
    <w:p w14:paraId="2216CA04" w14:textId="539F476F" w:rsidR="001B731B" w:rsidRPr="00226F9D" w:rsidRDefault="001B731B" w:rsidP="00090884">
      <w:pPr>
        <w:spacing w:after="0" w:line="240" w:lineRule="auto"/>
        <w:jc w:val="both"/>
        <w:rPr>
          <w:rFonts w:ascii="Times New Roman" w:eastAsiaTheme="minorEastAsia" w:hAnsi="Times New Roman" w:cs="Times New Roman"/>
          <w:lang w:val="sr-Cyrl-RS"/>
        </w:rPr>
      </w:pPr>
      <w:r w:rsidRPr="00226F9D">
        <w:rPr>
          <w:rFonts w:ascii="Times New Roman" w:eastAsiaTheme="minorEastAsia" w:hAnsi="Times New Roman" w:cs="Times New Roman"/>
          <w:lang w:val="sr-Cyrl-RS"/>
        </w:rPr>
        <w:t>У Програму за реформу система локалне самоуправе за период 2021-2025. године, препознат</w:t>
      </w:r>
      <w:r w:rsidR="00745136" w:rsidRPr="00226F9D">
        <w:rPr>
          <w:rFonts w:ascii="Times New Roman" w:eastAsiaTheme="minorEastAsia" w:hAnsi="Times New Roman" w:cs="Times New Roman"/>
          <w:lang w:val="sr-Cyrl-RS"/>
        </w:rPr>
        <w:t>а</w:t>
      </w:r>
      <w:r w:rsidRPr="00226F9D">
        <w:rPr>
          <w:rFonts w:ascii="Times New Roman" w:eastAsiaTheme="minorEastAsia" w:hAnsi="Times New Roman" w:cs="Times New Roman"/>
          <w:lang w:val="sr-Cyrl-RS"/>
        </w:rPr>
        <w:t xml:space="preserve"> је важност усмерења према крајњим корисницима и већој доступности и квалитету услуга локалне самоуправе према грађанима и привреди, као и већем степену задовољства услугама које добијају од локалних органа, служби, организација и јавних предузећа. </w:t>
      </w:r>
      <w:r w:rsidRPr="00226F9D">
        <w:rPr>
          <w:rFonts w:ascii="Times New Roman" w:hAnsi="Times New Roman" w:cs="Times New Roman"/>
          <w:lang w:val="sr-Cyrl-RS"/>
        </w:rPr>
        <w:t>Програм је идентификовао бројне структурне и функционалне изазове на које је неопходно дати реформски одговор, као што су били:</w:t>
      </w:r>
    </w:p>
    <w:p w14:paraId="35BB2D7A" w14:textId="77777777" w:rsidR="00B4478B" w:rsidRPr="00226F9D" w:rsidRDefault="001B731B" w:rsidP="008C793E">
      <w:pPr>
        <w:pStyle w:val="ListParagraph"/>
        <w:numPr>
          <w:ilvl w:val="0"/>
          <w:numId w:val="21"/>
        </w:numPr>
        <w:spacing w:after="0" w:line="240" w:lineRule="auto"/>
        <w:jc w:val="both"/>
        <w:rPr>
          <w:rFonts w:ascii="Times New Roman" w:eastAsiaTheme="minorEastAsia" w:hAnsi="Times New Roman" w:cs="Times New Roman"/>
          <w:lang w:val="sr-Cyrl-RS"/>
        </w:rPr>
      </w:pPr>
      <w:r w:rsidRPr="00226F9D">
        <w:rPr>
          <w:rFonts w:ascii="Times New Roman" w:eastAsiaTheme="minorEastAsia" w:hAnsi="Times New Roman" w:cs="Times New Roman"/>
          <w:b/>
          <w:bCs/>
          <w:lang w:val="sr-Cyrl-RS"/>
        </w:rPr>
        <w:t>Надлежности и капацитети ЈЛС</w:t>
      </w:r>
      <w:r w:rsidRPr="00226F9D">
        <w:rPr>
          <w:rFonts w:ascii="Times New Roman" w:eastAsiaTheme="minorEastAsia" w:hAnsi="Times New Roman" w:cs="Times New Roman"/>
          <w:lang w:val="sr-Cyrl-RS"/>
        </w:rPr>
        <w:t>: Недостатак јасних критеријума и процедура за поверавање послова, непостојање механизама за праћење и евалуацију, као и несразмеран пренос надлежности у односу на кадровске, финансијске и техничке капацитете локалних самоуправа.</w:t>
      </w:r>
    </w:p>
    <w:p w14:paraId="084FDD8D" w14:textId="77777777" w:rsidR="00B4478B" w:rsidRPr="00226F9D" w:rsidRDefault="001B731B" w:rsidP="008C793E">
      <w:pPr>
        <w:pStyle w:val="ListParagraph"/>
        <w:numPr>
          <w:ilvl w:val="0"/>
          <w:numId w:val="21"/>
        </w:numPr>
        <w:spacing w:after="0" w:line="240" w:lineRule="auto"/>
        <w:jc w:val="both"/>
        <w:rPr>
          <w:rFonts w:ascii="Times New Roman" w:eastAsiaTheme="minorEastAsia" w:hAnsi="Times New Roman" w:cs="Times New Roman"/>
          <w:lang w:val="sr-Cyrl-RS"/>
        </w:rPr>
      </w:pPr>
      <w:r w:rsidRPr="00226F9D">
        <w:rPr>
          <w:rFonts w:ascii="Times New Roman" w:eastAsiaTheme="minorEastAsia" w:hAnsi="Times New Roman" w:cs="Times New Roman"/>
          <w:b/>
          <w:bCs/>
          <w:lang w:val="sr-Cyrl-RS"/>
        </w:rPr>
        <w:t>Квалитет и доступност управних услуга</w:t>
      </w:r>
      <w:r w:rsidRPr="00226F9D">
        <w:rPr>
          <w:rFonts w:ascii="Times New Roman" w:eastAsiaTheme="minorEastAsia" w:hAnsi="Times New Roman" w:cs="Times New Roman"/>
          <w:lang w:val="sr-Cyrl-RS"/>
        </w:rPr>
        <w:t>: Неуједначена и нестандардизована пракса у административним поступцима, спор процес дигиталне трансформације и ограничен развој е-Управе, недовољна распрострањеност јединствених управних места и изостанак методологија за мерење квалитета услуга и задовољства грађана и привреде.</w:t>
      </w:r>
    </w:p>
    <w:p w14:paraId="5DAA17F9" w14:textId="77777777" w:rsidR="00B4478B" w:rsidRPr="00226F9D" w:rsidRDefault="001B731B" w:rsidP="008C793E">
      <w:pPr>
        <w:pStyle w:val="ListParagraph"/>
        <w:numPr>
          <w:ilvl w:val="0"/>
          <w:numId w:val="21"/>
        </w:numPr>
        <w:spacing w:after="0" w:line="240" w:lineRule="auto"/>
        <w:jc w:val="both"/>
        <w:rPr>
          <w:rFonts w:ascii="Times New Roman" w:eastAsiaTheme="minorEastAsia" w:hAnsi="Times New Roman" w:cs="Times New Roman"/>
          <w:lang w:val="sr-Cyrl-RS"/>
        </w:rPr>
      </w:pPr>
      <w:r w:rsidRPr="00226F9D">
        <w:rPr>
          <w:rFonts w:ascii="Times New Roman" w:eastAsiaTheme="minorEastAsia" w:hAnsi="Times New Roman" w:cs="Times New Roman"/>
          <w:b/>
          <w:bCs/>
          <w:lang w:val="sr-Cyrl-RS"/>
        </w:rPr>
        <w:t>Комуналне делатности и јавна предузећа</w:t>
      </w:r>
      <w:r w:rsidRPr="00226F9D">
        <w:rPr>
          <w:rFonts w:ascii="Times New Roman" w:eastAsiaTheme="minorEastAsia" w:hAnsi="Times New Roman" w:cs="Times New Roman"/>
          <w:lang w:val="sr-Cyrl-RS"/>
        </w:rPr>
        <w:t>: Недостатак систематске анализе рада и капацитета јавних предузећа, ограничени ресурси и слаб надзор од стране ЈЛС, недовољна транспарентност и учешће грађана, као и непостојање стратешког приступа у планирању и развоју комуналне инфраструктуре.</w:t>
      </w:r>
    </w:p>
    <w:p w14:paraId="042E979C" w14:textId="2F506366" w:rsidR="00452F3D" w:rsidRPr="00226F9D" w:rsidRDefault="001B731B" w:rsidP="006B59F4">
      <w:pPr>
        <w:pStyle w:val="ListParagraph"/>
        <w:numPr>
          <w:ilvl w:val="0"/>
          <w:numId w:val="21"/>
        </w:numPr>
        <w:spacing w:after="0" w:line="240" w:lineRule="auto"/>
        <w:jc w:val="both"/>
        <w:rPr>
          <w:rFonts w:ascii="Times New Roman" w:eastAsiaTheme="minorEastAsia" w:hAnsi="Times New Roman" w:cs="Times New Roman"/>
          <w:lang w:val="sr-Cyrl-RS"/>
        </w:rPr>
      </w:pPr>
      <w:r w:rsidRPr="00226F9D">
        <w:rPr>
          <w:rFonts w:ascii="Times New Roman" w:eastAsiaTheme="minorEastAsia" w:hAnsi="Times New Roman" w:cs="Times New Roman"/>
          <w:b/>
          <w:bCs/>
          <w:lang w:val="sr-Cyrl-RS"/>
        </w:rPr>
        <w:t>Локални економски развој и јавно-приватна партнерства</w:t>
      </w:r>
      <w:r w:rsidRPr="00226F9D">
        <w:rPr>
          <w:rFonts w:ascii="Times New Roman" w:eastAsiaTheme="minorEastAsia" w:hAnsi="Times New Roman" w:cs="Times New Roman"/>
          <w:lang w:val="sr-Cyrl-RS"/>
        </w:rPr>
        <w:t xml:space="preserve">: Непотпун правни оквир и нејасни елементи ЛЕР програма, недовољни институционални и кадровски капацитети, нарочито у мањим општинама, као и ограничено знање и искуство у припреми, реализацији и праћењу пројеката </w:t>
      </w:r>
      <w:r w:rsidR="00A7791F" w:rsidRPr="00226F9D">
        <w:rPr>
          <w:rFonts w:ascii="Times New Roman" w:eastAsiaTheme="minorEastAsia" w:hAnsi="Times New Roman" w:cs="Times New Roman"/>
          <w:lang w:val="sr-Cyrl-RS"/>
        </w:rPr>
        <w:t xml:space="preserve">јавно-приватног партнерства </w:t>
      </w:r>
      <w:r w:rsidRPr="00226F9D">
        <w:rPr>
          <w:rFonts w:ascii="Times New Roman" w:eastAsiaTheme="minorEastAsia" w:hAnsi="Times New Roman" w:cs="Times New Roman"/>
          <w:lang w:val="sr-Cyrl-RS"/>
        </w:rPr>
        <w:t>уз изостанак свеобухватне националне анализе и добрих пракси.</w:t>
      </w:r>
    </w:p>
    <w:p w14:paraId="669C7068" w14:textId="265C8F59" w:rsidR="001B731B" w:rsidRPr="00226F9D" w:rsidRDefault="001B731B" w:rsidP="006B59F4">
      <w:pPr>
        <w:spacing w:after="0" w:line="240" w:lineRule="auto"/>
        <w:jc w:val="both"/>
        <w:rPr>
          <w:rFonts w:ascii="Times New Roman" w:eastAsia="Calibri" w:hAnsi="Times New Roman" w:cs="Times New Roman"/>
          <w:i/>
          <w:lang w:val="sr-Cyrl-RS"/>
        </w:rPr>
      </w:pPr>
    </w:p>
    <w:p w14:paraId="16C4A6CC" w14:textId="5F736D25" w:rsidR="001B731B" w:rsidRPr="00226F9D" w:rsidRDefault="001B731B" w:rsidP="00090884">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Током периода спровођења П</w:t>
      </w:r>
      <w:r w:rsidR="00AE4CDF" w:rsidRPr="00226F9D">
        <w:rPr>
          <w:rFonts w:ascii="Times New Roman" w:hAnsi="Times New Roman" w:cs="Times New Roman"/>
          <w:lang w:val="sr-Cyrl-RS"/>
        </w:rPr>
        <w:t>РСЛС 2021-2025</w:t>
      </w:r>
      <w:r w:rsidRPr="00226F9D">
        <w:rPr>
          <w:rFonts w:ascii="Times New Roman" w:hAnsi="Times New Roman" w:cs="Times New Roman"/>
          <w:lang w:val="sr-Cyrl-RS"/>
        </w:rPr>
        <w:t xml:space="preserve">, </w:t>
      </w:r>
      <w:r w:rsidR="00B4478B" w:rsidRPr="00226F9D">
        <w:rPr>
          <w:rFonts w:ascii="Times New Roman" w:hAnsi="Times New Roman" w:cs="Times New Roman"/>
          <w:lang w:val="sr-Cyrl-RS"/>
        </w:rPr>
        <w:t>реализоване</w:t>
      </w:r>
      <w:r w:rsidRPr="00226F9D">
        <w:rPr>
          <w:rFonts w:ascii="Times New Roman" w:hAnsi="Times New Roman" w:cs="Times New Roman"/>
          <w:lang w:val="sr-Cyrl-RS"/>
        </w:rPr>
        <w:t xml:space="preserve"> су бројне активности али нису остварене и све планиране вредности показатељи за Посебни циљ 4</w:t>
      </w:r>
      <w:r w:rsidR="000F5264" w:rsidRPr="00226F9D">
        <w:rPr>
          <w:rFonts w:ascii="Times New Roman" w:hAnsi="Times New Roman" w:cs="Times New Roman"/>
          <w:lang w:val="sr-Cyrl-RS"/>
        </w:rPr>
        <w:t xml:space="preserve"> - </w:t>
      </w:r>
      <w:r w:rsidR="000F5264" w:rsidRPr="00226F9D">
        <w:rPr>
          <w:rFonts w:ascii="Times New Roman" w:eastAsia="Calibri" w:hAnsi="Times New Roman" w:cs="Times New Roman"/>
          <w:lang w:val="sr-Cyrl-RS"/>
        </w:rPr>
        <w:t>„</w:t>
      </w:r>
      <w:r w:rsidR="000F5264" w:rsidRPr="00226F9D">
        <w:rPr>
          <w:rFonts w:ascii="Times New Roman" w:eastAsia="Calibri" w:hAnsi="Times New Roman" w:cs="Times New Roman"/>
          <w:i/>
          <w:iCs/>
          <w:lang w:val="sr-Cyrl-RS"/>
        </w:rPr>
        <w:t>Унапређење квалитета и доступности услуга локалних органа управе, комуналних услуга и услуга јавних установа</w:t>
      </w:r>
      <w:r w:rsidR="000F5264" w:rsidRPr="00226F9D">
        <w:rPr>
          <w:rFonts w:ascii="Times New Roman" w:eastAsia="Calibri" w:hAnsi="Times New Roman" w:cs="Times New Roman"/>
          <w:lang w:val="sr-Cyrl-RS"/>
        </w:rPr>
        <w:t>“</w:t>
      </w:r>
      <w:r w:rsidRPr="00226F9D">
        <w:rPr>
          <w:rFonts w:ascii="Times New Roman" w:hAnsi="Times New Roman" w:cs="Times New Roman"/>
          <w:lang w:val="sr-Cyrl-RS"/>
        </w:rPr>
        <w:t xml:space="preserve">. </w:t>
      </w:r>
    </w:p>
    <w:p w14:paraId="54ADB53D" w14:textId="77777777" w:rsidR="0034186D" w:rsidRPr="00226F9D" w:rsidRDefault="0034186D" w:rsidP="00090884">
      <w:pPr>
        <w:spacing w:after="0" w:line="240" w:lineRule="auto"/>
        <w:jc w:val="both"/>
        <w:rPr>
          <w:rFonts w:ascii="Times New Roman" w:hAnsi="Times New Roman" w:cs="Times New Roman"/>
          <w:lang w:val="sr-Cyrl-RS"/>
        </w:rPr>
      </w:pPr>
    </w:p>
    <w:p w14:paraId="48D2B198" w14:textId="76F6570E" w:rsidR="0034186D" w:rsidRPr="00226F9D" w:rsidRDefault="004A56E2" w:rsidP="0034186D">
      <w:pPr>
        <w:spacing w:after="0" w:line="240" w:lineRule="auto"/>
        <w:jc w:val="both"/>
        <w:rPr>
          <w:rFonts w:ascii="Times New Roman" w:hAnsi="Times New Roman" w:cs="Times New Roman"/>
          <w:i/>
          <w:iCs/>
          <w:lang w:val="sr-Cyrl-RS"/>
        </w:rPr>
      </w:pPr>
      <w:r w:rsidRPr="00226F9D">
        <w:rPr>
          <w:rFonts w:ascii="Times New Roman" w:hAnsi="Times New Roman" w:cs="Times New Roman"/>
          <w:b/>
          <w:bCs/>
          <w:i/>
          <w:iCs/>
          <w:lang w:val="sr-Cyrl-RS"/>
        </w:rPr>
        <w:t>Табела 4</w:t>
      </w:r>
      <w:r w:rsidR="0034186D" w:rsidRPr="00226F9D">
        <w:rPr>
          <w:rFonts w:ascii="Times New Roman" w:hAnsi="Times New Roman" w:cs="Times New Roman"/>
          <w:b/>
          <w:bCs/>
          <w:i/>
          <w:iCs/>
          <w:lang w:val="sr-Cyrl-RS"/>
        </w:rPr>
        <w:t>:</w:t>
      </w:r>
      <w:r w:rsidR="0034186D" w:rsidRPr="00226F9D">
        <w:rPr>
          <w:rFonts w:ascii="Times New Roman" w:hAnsi="Times New Roman" w:cs="Times New Roman"/>
          <w:i/>
          <w:iCs/>
          <w:lang w:val="sr-Cyrl-RS"/>
        </w:rPr>
        <w:t xml:space="preserve"> Приказ остварења показатеља на нивоу Посебног циља </w:t>
      </w:r>
      <w:r w:rsidR="002B19A1" w:rsidRPr="00226F9D">
        <w:rPr>
          <w:rFonts w:ascii="Times New Roman" w:hAnsi="Times New Roman" w:cs="Times New Roman"/>
          <w:i/>
          <w:iCs/>
          <w:lang w:val="sr-Cyrl-RS"/>
        </w:rPr>
        <w:t>4</w:t>
      </w:r>
      <w:r w:rsidR="0034186D" w:rsidRPr="00226F9D">
        <w:rPr>
          <w:rFonts w:ascii="Times New Roman" w:hAnsi="Times New Roman" w:cs="Times New Roman"/>
          <w:i/>
          <w:iCs/>
          <w:lang w:val="sr-Cyrl-RS"/>
        </w:rPr>
        <w:t>:</w:t>
      </w:r>
    </w:p>
    <w:p w14:paraId="113F96E3" w14:textId="77777777" w:rsidR="001B731B" w:rsidRPr="00226F9D" w:rsidRDefault="001B731B" w:rsidP="00090884">
      <w:pPr>
        <w:spacing w:after="0" w:line="240" w:lineRule="auto"/>
        <w:jc w:val="both"/>
        <w:rPr>
          <w:rFonts w:ascii="Times New Roman" w:hAnsi="Times New Roman" w:cs="Times New Roman"/>
          <w:sz w:val="22"/>
          <w:szCs w:val="22"/>
          <w:lang w:val="sr-Cyrl-RS"/>
        </w:rPr>
      </w:pPr>
    </w:p>
    <w:tbl>
      <w:tblPr>
        <w:tblW w:w="5000" w:type="pct"/>
        <w:tblLayout w:type="fixed"/>
        <w:tblLook w:val="04A0" w:firstRow="1" w:lastRow="0" w:firstColumn="1" w:lastColumn="0" w:noHBand="0" w:noVBand="1"/>
      </w:tblPr>
      <w:tblGrid>
        <w:gridCol w:w="5525"/>
        <w:gridCol w:w="1274"/>
        <w:gridCol w:w="1418"/>
        <w:gridCol w:w="1405"/>
      </w:tblGrid>
      <w:tr w:rsidR="001B731B" w:rsidRPr="00226F9D" w14:paraId="5D213EC1" w14:textId="77777777" w:rsidTr="781DBE83">
        <w:trPr>
          <w:trHeight w:val="688"/>
        </w:trPr>
        <w:tc>
          <w:tcPr>
            <w:tcW w:w="28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8C2D79" w14:textId="77777777" w:rsidR="001B731B" w:rsidRPr="00226F9D" w:rsidRDefault="001B731B"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Показатељ(и) на нивоу посебног циља (показатељ исхода)</w:t>
            </w:r>
          </w:p>
        </w:tc>
        <w:tc>
          <w:tcPr>
            <w:tcW w:w="6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B95ED6" w14:textId="77777777" w:rsidR="001B731B" w:rsidRPr="00226F9D" w:rsidRDefault="001B731B"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 xml:space="preserve">Почетна вредност </w:t>
            </w:r>
          </w:p>
        </w:tc>
        <w:tc>
          <w:tcPr>
            <w:tcW w:w="73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781674" w14:textId="77777777" w:rsidR="001B731B" w:rsidRPr="00226F9D" w:rsidRDefault="001B731B"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Планирана вредност</w:t>
            </w:r>
          </w:p>
        </w:tc>
        <w:tc>
          <w:tcPr>
            <w:tcW w:w="73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022A65" w14:textId="77777777" w:rsidR="001B731B" w:rsidRPr="00226F9D" w:rsidRDefault="001B731B"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Остварена вредност</w:t>
            </w:r>
          </w:p>
        </w:tc>
      </w:tr>
      <w:tr w:rsidR="001B731B" w:rsidRPr="00226F9D" w14:paraId="60B181A1" w14:textId="77777777" w:rsidTr="781DBE83">
        <w:trPr>
          <w:trHeight w:val="571"/>
        </w:trPr>
        <w:tc>
          <w:tcPr>
            <w:tcW w:w="2871" w:type="pct"/>
            <w:tcBorders>
              <w:top w:val="single" w:sz="4" w:space="0" w:color="auto"/>
              <w:left w:val="single" w:sz="4" w:space="0" w:color="auto"/>
              <w:bottom w:val="single" w:sz="4" w:space="0" w:color="auto"/>
              <w:right w:val="single" w:sz="4" w:space="0" w:color="auto"/>
            </w:tcBorders>
            <w:noWrap/>
            <w:vAlign w:val="center"/>
            <w:hideMark/>
          </w:tcPr>
          <w:p w14:paraId="5F7158B0" w14:textId="77777777" w:rsidR="001B731B" w:rsidRPr="00226F9D" w:rsidRDefault="001B731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Израђен индекс за мерење доступности и квалитета услуга ЈЛС</w:t>
            </w:r>
          </w:p>
        </w:tc>
        <w:tc>
          <w:tcPr>
            <w:tcW w:w="662" w:type="pct"/>
            <w:tcBorders>
              <w:top w:val="nil"/>
              <w:left w:val="nil"/>
              <w:bottom w:val="single" w:sz="4" w:space="0" w:color="auto"/>
              <w:right w:val="single" w:sz="4" w:space="0" w:color="auto"/>
            </w:tcBorders>
            <w:shd w:val="clear" w:color="auto" w:fill="FFFFFF" w:themeFill="background1"/>
            <w:vAlign w:val="center"/>
            <w:hideMark/>
          </w:tcPr>
          <w:p w14:paraId="22623D9B" w14:textId="77777777" w:rsidR="00452F3D" w:rsidRPr="00226F9D" w:rsidRDefault="001B731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0</w:t>
            </w:r>
            <w:r w:rsidR="004B0F1B" w:rsidRPr="00226F9D">
              <w:rPr>
                <w:rFonts w:ascii="Times New Roman" w:hAnsi="Times New Roman" w:cs="Times New Roman"/>
                <w:sz w:val="20"/>
                <w:szCs w:val="20"/>
                <w:lang w:val="sr-Latn-RS"/>
              </w:rPr>
              <w:t xml:space="preserve"> </w:t>
            </w:r>
          </w:p>
          <w:p w14:paraId="1A644B54" w14:textId="0F6EA2A5" w:rsidR="001B731B" w:rsidRPr="00226F9D" w:rsidRDefault="004B0F1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(2020)</w:t>
            </w:r>
          </w:p>
        </w:tc>
        <w:tc>
          <w:tcPr>
            <w:tcW w:w="737" w:type="pct"/>
            <w:tcBorders>
              <w:top w:val="nil"/>
              <w:left w:val="nil"/>
              <w:bottom w:val="single" w:sz="4" w:space="0" w:color="auto"/>
              <w:right w:val="single" w:sz="4" w:space="0" w:color="auto"/>
            </w:tcBorders>
            <w:vAlign w:val="center"/>
            <w:hideMark/>
          </w:tcPr>
          <w:p w14:paraId="55856F35" w14:textId="2AC71CDF" w:rsidR="00452F3D" w:rsidRPr="00226F9D" w:rsidRDefault="001B731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1</w:t>
            </w:r>
            <w:r w:rsidR="00AD1F51" w:rsidRPr="00226F9D">
              <w:rPr>
                <w:rFonts w:ascii="Times New Roman" w:hAnsi="Times New Roman" w:cs="Times New Roman"/>
                <w:sz w:val="20"/>
                <w:szCs w:val="20"/>
                <w:lang w:val="sr-Cyrl-RS"/>
              </w:rPr>
              <w:t xml:space="preserve"> - да</w:t>
            </w:r>
          </w:p>
          <w:p w14:paraId="14AAA4DE" w14:textId="77510B0B" w:rsidR="001B731B" w:rsidRPr="00226F9D" w:rsidRDefault="004B0F1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w:t>
            </w:r>
            <w:r w:rsidR="00FD37AF" w:rsidRPr="00226F9D">
              <w:rPr>
                <w:rFonts w:ascii="Times New Roman" w:hAnsi="Times New Roman" w:cs="Times New Roman"/>
                <w:sz w:val="20"/>
                <w:szCs w:val="20"/>
                <w:lang w:val="sr-Cyrl-RS"/>
              </w:rPr>
              <w:t>2</w:t>
            </w:r>
            <w:r w:rsidRPr="00226F9D">
              <w:rPr>
                <w:rFonts w:ascii="Times New Roman" w:hAnsi="Times New Roman" w:cs="Times New Roman"/>
                <w:sz w:val="20"/>
                <w:szCs w:val="20"/>
                <w:lang w:val="sr-Latn-RS"/>
              </w:rPr>
              <w:t>)</w:t>
            </w:r>
          </w:p>
        </w:tc>
        <w:tc>
          <w:tcPr>
            <w:tcW w:w="730" w:type="pct"/>
            <w:tcBorders>
              <w:top w:val="nil"/>
              <w:left w:val="nil"/>
              <w:bottom w:val="single" w:sz="4" w:space="0" w:color="auto"/>
              <w:right w:val="single" w:sz="4" w:space="0" w:color="auto"/>
            </w:tcBorders>
            <w:shd w:val="clear" w:color="auto" w:fill="FFFFFF" w:themeFill="background1"/>
            <w:vAlign w:val="center"/>
            <w:hideMark/>
          </w:tcPr>
          <w:p w14:paraId="03DE74B8" w14:textId="435732C8" w:rsidR="00452F3D" w:rsidRPr="00226F9D" w:rsidRDefault="001B731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1</w:t>
            </w:r>
            <w:r w:rsidR="00AD1F51" w:rsidRPr="00226F9D">
              <w:rPr>
                <w:rFonts w:ascii="Times New Roman" w:hAnsi="Times New Roman" w:cs="Times New Roman"/>
                <w:sz w:val="20"/>
                <w:szCs w:val="20"/>
                <w:lang w:val="sr-Cyrl-RS"/>
              </w:rPr>
              <w:t xml:space="preserve"> - да</w:t>
            </w:r>
          </w:p>
          <w:p w14:paraId="718399D5" w14:textId="7B21A2B9" w:rsidR="001B731B" w:rsidRPr="00226F9D" w:rsidRDefault="004B0F1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w:t>
            </w:r>
            <w:r w:rsidR="00FD37AF" w:rsidRPr="00226F9D">
              <w:rPr>
                <w:rFonts w:ascii="Times New Roman" w:hAnsi="Times New Roman" w:cs="Times New Roman"/>
                <w:sz w:val="20"/>
                <w:szCs w:val="20"/>
                <w:lang w:val="sr-Cyrl-RS"/>
              </w:rPr>
              <w:t>2</w:t>
            </w:r>
            <w:r w:rsidRPr="00226F9D">
              <w:rPr>
                <w:rFonts w:ascii="Times New Roman" w:hAnsi="Times New Roman" w:cs="Times New Roman"/>
                <w:sz w:val="20"/>
                <w:szCs w:val="20"/>
                <w:lang w:val="sr-Latn-RS"/>
              </w:rPr>
              <w:t>)</w:t>
            </w:r>
          </w:p>
        </w:tc>
      </w:tr>
      <w:tr w:rsidR="001B731B" w:rsidRPr="00226F9D" w14:paraId="729BEB27" w14:textId="77777777" w:rsidTr="781DBE83">
        <w:trPr>
          <w:trHeight w:val="924"/>
        </w:trPr>
        <w:tc>
          <w:tcPr>
            <w:tcW w:w="2871" w:type="pct"/>
            <w:tcBorders>
              <w:top w:val="single" w:sz="4" w:space="0" w:color="auto"/>
              <w:left w:val="single" w:sz="4" w:space="0" w:color="auto"/>
              <w:bottom w:val="single" w:sz="4" w:space="0" w:color="auto"/>
              <w:right w:val="single" w:sz="4" w:space="0" w:color="auto"/>
            </w:tcBorders>
            <w:vAlign w:val="center"/>
            <w:hideMark/>
          </w:tcPr>
          <w:p w14:paraId="14C6E411" w14:textId="77777777" w:rsidR="001B731B" w:rsidRPr="00226F9D" w:rsidRDefault="001B731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Израђен индекс за мерење задовољства корисника пруженим услугама локалне самоуправе</w:t>
            </w:r>
          </w:p>
        </w:tc>
        <w:tc>
          <w:tcPr>
            <w:tcW w:w="662" w:type="pct"/>
            <w:tcBorders>
              <w:top w:val="nil"/>
              <w:left w:val="nil"/>
              <w:bottom w:val="single" w:sz="4" w:space="0" w:color="auto"/>
              <w:right w:val="single" w:sz="4" w:space="0" w:color="auto"/>
            </w:tcBorders>
            <w:shd w:val="clear" w:color="auto" w:fill="FFFFFF" w:themeFill="background1"/>
            <w:vAlign w:val="center"/>
            <w:hideMark/>
          </w:tcPr>
          <w:p w14:paraId="63656125" w14:textId="77777777" w:rsidR="001B731B" w:rsidRPr="00226F9D" w:rsidRDefault="001B731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0</w:t>
            </w:r>
          </w:p>
          <w:p w14:paraId="2D282D34" w14:textId="44AEC716" w:rsidR="001B731B" w:rsidRPr="00226F9D" w:rsidRDefault="008B5965"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(2020)</w:t>
            </w:r>
          </w:p>
        </w:tc>
        <w:tc>
          <w:tcPr>
            <w:tcW w:w="737" w:type="pct"/>
            <w:tcBorders>
              <w:top w:val="nil"/>
              <w:left w:val="nil"/>
              <w:bottom w:val="single" w:sz="4" w:space="0" w:color="auto"/>
              <w:right w:val="single" w:sz="4" w:space="0" w:color="auto"/>
            </w:tcBorders>
            <w:vAlign w:val="center"/>
            <w:hideMark/>
          </w:tcPr>
          <w:p w14:paraId="25BE5D61" w14:textId="145372C3" w:rsidR="001B731B" w:rsidRPr="00226F9D" w:rsidRDefault="001B731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1</w:t>
            </w:r>
            <w:r w:rsidR="00AD1F51" w:rsidRPr="00226F9D">
              <w:rPr>
                <w:rFonts w:ascii="Times New Roman" w:hAnsi="Times New Roman" w:cs="Times New Roman"/>
                <w:sz w:val="20"/>
                <w:szCs w:val="20"/>
                <w:lang w:val="sr-Cyrl-RS"/>
              </w:rPr>
              <w:t xml:space="preserve"> – да</w:t>
            </w:r>
          </w:p>
          <w:p w14:paraId="795AF33D" w14:textId="2EF68B9F" w:rsidR="001B731B" w:rsidRPr="00226F9D" w:rsidRDefault="00AD1F51"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(2022)</w:t>
            </w:r>
          </w:p>
        </w:tc>
        <w:tc>
          <w:tcPr>
            <w:tcW w:w="730" w:type="pct"/>
            <w:tcBorders>
              <w:top w:val="nil"/>
              <w:left w:val="nil"/>
              <w:bottom w:val="single" w:sz="4" w:space="0" w:color="auto"/>
              <w:right w:val="single" w:sz="4" w:space="0" w:color="auto"/>
            </w:tcBorders>
            <w:shd w:val="clear" w:color="auto" w:fill="FFFFFF" w:themeFill="background1"/>
            <w:vAlign w:val="center"/>
            <w:hideMark/>
          </w:tcPr>
          <w:p w14:paraId="670F0965" w14:textId="5CEC4D9A" w:rsidR="001B731B" w:rsidRPr="00226F9D" w:rsidRDefault="001B731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1</w:t>
            </w:r>
            <w:r w:rsidR="00AD1F51" w:rsidRPr="00226F9D">
              <w:rPr>
                <w:rFonts w:ascii="Times New Roman" w:hAnsi="Times New Roman" w:cs="Times New Roman"/>
                <w:sz w:val="20"/>
                <w:szCs w:val="20"/>
                <w:lang w:val="sr-Cyrl-RS"/>
              </w:rPr>
              <w:t xml:space="preserve"> – да</w:t>
            </w:r>
          </w:p>
          <w:p w14:paraId="313252B6" w14:textId="63EA3D84" w:rsidR="001B731B" w:rsidRPr="00226F9D" w:rsidRDefault="00AD1F51"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(2022)</w:t>
            </w:r>
          </w:p>
        </w:tc>
      </w:tr>
      <w:tr w:rsidR="001B731B" w:rsidRPr="00226F9D" w14:paraId="3E0647BB" w14:textId="77777777" w:rsidTr="781DBE83">
        <w:trPr>
          <w:trHeight w:val="852"/>
        </w:trPr>
        <w:tc>
          <w:tcPr>
            <w:tcW w:w="2871" w:type="pct"/>
            <w:tcBorders>
              <w:top w:val="single" w:sz="4" w:space="0" w:color="auto"/>
              <w:left w:val="single" w:sz="4" w:space="0" w:color="auto"/>
              <w:bottom w:val="single" w:sz="4" w:space="0" w:color="auto"/>
              <w:right w:val="single" w:sz="4" w:space="0" w:color="auto"/>
            </w:tcBorders>
            <w:vAlign w:val="center"/>
            <w:hideMark/>
          </w:tcPr>
          <w:p w14:paraId="62992B9B" w14:textId="26F12E12" w:rsidR="001B731B" w:rsidRPr="00226F9D" w:rsidRDefault="001B731B"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Установљене полазне вредности за унапређење задовољства корисника локалним услугама</w:t>
            </w:r>
          </w:p>
        </w:tc>
        <w:tc>
          <w:tcPr>
            <w:tcW w:w="662" w:type="pct"/>
            <w:tcBorders>
              <w:top w:val="nil"/>
              <w:left w:val="nil"/>
              <w:bottom w:val="single" w:sz="4" w:space="0" w:color="auto"/>
              <w:right w:val="single" w:sz="4" w:space="0" w:color="auto"/>
            </w:tcBorders>
            <w:shd w:val="clear" w:color="auto" w:fill="FFFFFF" w:themeFill="background1"/>
            <w:vAlign w:val="center"/>
            <w:hideMark/>
          </w:tcPr>
          <w:p w14:paraId="446B9D76" w14:textId="77777777" w:rsidR="00452F3D" w:rsidRPr="00226F9D" w:rsidRDefault="001B731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0</w:t>
            </w:r>
          </w:p>
          <w:p w14:paraId="292ABDA4" w14:textId="08306A53" w:rsidR="001B731B" w:rsidRPr="00226F9D" w:rsidRDefault="00E2517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w:t>
            </w:r>
            <w:r w:rsidR="00A54068" w:rsidRPr="00226F9D">
              <w:rPr>
                <w:rFonts w:ascii="Times New Roman" w:hAnsi="Times New Roman" w:cs="Times New Roman"/>
                <w:sz w:val="20"/>
                <w:szCs w:val="20"/>
                <w:lang w:val="sr-Latn-RS"/>
              </w:rPr>
              <w:t>3</w:t>
            </w:r>
            <w:r w:rsidRPr="00226F9D">
              <w:rPr>
                <w:rFonts w:ascii="Times New Roman" w:hAnsi="Times New Roman" w:cs="Times New Roman"/>
                <w:sz w:val="20"/>
                <w:szCs w:val="20"/>
                <w:lang w:val="sr-Latn-RS"/>
              </w:rPr>
              <w:t>)</w:t>
            </w:r>
          </w:p>
        </w:tc>
        <w:tc>
          <w:tcPr>
            <w:tcW w:w="737" w:type="pct"/>
            <w:tcBorders>
              <w:top w:val="nil"/>
              <w:left w:val="nil"/>
              <w:bottom w:val="single" w:sz="4" w:space="0" w:color="auto"/>
              <w:right w:val="single" w:sz="4" w:space="0" w:color="auto"/>
            </w:tcBorders>
            <w:vAlign w:val="center"/>
            <w:hideMark/>
          </w:tcPr>
          <w:p w14:paraId="4BC55F34" w14:textId="31EB2FFE" w:rsidR="00452F3D" w:rsidRPr="00226F9D" w:rsidRDefault="001B731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1</w:t>
            </w:r>
            <w:r w:rsidR="00210502" w:rsidRPr="00226F9D">
              <w:rPr>
                <w:rFonts w:ascii="Times New Roman" w:hAnsi="Times New Roman" w:cs="Times New Roman"/>
                <w:sz w:val="20"/>
                <w:szCs w:val="20"/>
                <w:lang w:val="sr-Cyrl-RS"/>
              </w:rPr>
              <w:t xml:space="preserve"> - да</w:t>
            </w:r>
          </w:p>
          <w:p w14:paraId="67B9F85E" w14:textId="546C8B9E" w:rsidR="001B731B" w:rsidRPr="00226F9D" w:rsidRDefault="00E2517B"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w:t>
            </w:r>
            <w:r w:rsidR="00A54068" w:rsidRPr="00226F9D">
              <w:rPr>
                <w:rFonts w:ascii="Times New Roman" w:hAnsi="Times New Roman" w:cs="Times New Roman"/>
                <w:sz w:val="20"/>
                <w:szCs w:val="20"/>
                <w:lang w:val="sr-Latn-RS"/>
              </w:rPr>
              <w:t>02</w:t>
            </w:r>
            <w:r w:rsidR="00210502" w:rsidRPr="00226F9D">
              <w:rPr>
                <w:rFonts w:ascii="Times New Roman" w:hAnsi="Times New Roman" w:cs="Times New Roman"/>
                <w:sz w:val="20"/>
                <w:szCs w:val="20"/>
                <w:lang w:val="sr-Cyrl-RS"/>
              </w:rPr>
              <w:t>4</w:t>
            </w:r>
            <w:r w:rsidR="00A54068" w:rsidRPr="00226F9D">
              <w:rPr>
                <w:rFonts w:ascii="Times New Roman" w:hAnsi="Times New Roman" w:cs="Times New Roman"/>
                <w:sz w:val="20"/>
                <w:szCs w:val="20"/>
                <w:lang w:val="sr-Latn-RS"/>
              </w:rPr>
              <w:t>)</w:t>
            </w:r>
          </w:p>
        </w:tc>
        <w:tc>
          <w:tcPr>
            <w:tcW w:w="730" w:type="pct"/>
            <w:tcBorders>
              <w:top w:val="nil"/>
              <w:left w:val="nil"/>
              <w:bottom w:val="single" w:sz="4" w:space="0" w:color="auto"/>
              <w:right w:val="single" w:sz="4" w:space="0" w:color="auto"/>
            </w:tcBorders>
            <w:shd w:val="clear" w:color="auto" w:fill="FFFFFF" w:themeFill="background1"/>
            <w:vAlign w:val="center"/>
            <w:hideMark/>
          </w:tcPr>
          <w:p w14:paraId="15FE9AEC" w14:textId="77777777" w:rsidR="00452F3D" w:rsidRPr="00226F9D" w:rsidRDefault="60548740"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1</w:t>
            </w:r>
          </w:p>
          <w:p w14:paraId="647A2C67" w14:textId="6DE219A4" w:rsidR="001B731B" w:rsidRPr="00226F9D" w:rsidRDefault="3708AB92"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Latn-RS"/>
              </w:rPr>
              <w:t>(2025)</w:t>
            </w:r>
          </w:p>
        </w:tc>
      </w:tr>
    </w:tbl>
    <w:p w14:paraId="57344E16" w14:textId="77777777" w:rsidR="00EC5F6D" w:rsidRPr="00226F9D" w:rsidRDefault="00EC5F6D" w:rsidP="006B59F4">
      <w:pPr>
        <w:spacing w:after="0" w:line="240" w:lineRule="auto"/>
        <w:jc w:val="both"/>
        <w:rPr>
          <w:rFonts w:ascii="Times New Roman" w:eastAsia="Calibri" w:hAnsi="Times New Roman" w:cs="Times New Roman"/>
          <w:sz w:val="22"/>
          <w:szCs w:val="22"/>
          <w:lang w:val="sr-Cyrl-RS"/>
        </w:rPr>
      </w:pPr>
    </w:p>
    <w:p w14:paraId="0C90BB63" w14:textId="63350257" w:rsidR="00BB7EC0" w:rsidRPr="00226F9D" w:rsidRDefault="003D2C95"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Ипак, када се сагледају резултати целог Програма, највећи помаци су учињени </w:t>
      </w:r>
      <w:r w:rsidR="00130726" w:rsidRPr="00226F9D">
        <w:rPr>
          <w:rFonts w:ascii="Times New Roman" w:eastAsia="Calibri" w:hAnsi="Times New Roman" w:cs="Times New Roman"/>
          <w:lang w:val="sr-Cyrl-RS"/>
        </w:rPr>
        <w:t xml:space="preserve">управо </w:t>
      </w:r>
      <w:r w:rsidRPr="00226F9D">
        <w:rPr>
          <w:rFonts w:ascii="Times New Roman" w:eastAsia="Calibri" w:hAnsi="Times New Roman" w:cs="Times New Roman"/>
          <w:lang w:val="sr-Cyrl-RS"/>
        </w:rPr>
        <w:t xml:space="preserve">у оквиру овог посебног циља. </w:t>
      </w:r>
      <w:r w:rsidR="001B731B" w:rsidRPr="00226F9D">
        <w:rPr>
          <w:rFonts w:ascii="Times New Roman" w:eastAsia="Calibri" w:hAnsi="Times New Roman" w:cs="Times New Roman"/>
          <w:lang w:val="sr-Cyrl-RS"/>
        </w:rPr>
        <w:t xml:space="preserve">Остварена су </w:t>
      </w:r>
      <w:r w:rsidR="009B6263" w:rsidRPr="00226F9D">
        <w:rPr>
          <w:rFonts w:ascii="Times New Roman" w:eastAsia="Calibri" w:hAnsi="Times New Roman" w:cs="Times New Roman"/>
          <w:lang w:val="sr-Cyrl-RS"/>
        </w:rPr>
        <w:t>дв</w:t>
      </w:r>
      <w:r w:rsidR="001B731B" w:rsidRPr="00226F9D">
        <w:rPr>
          <w:rFonts w:ascii="Times New Roman" w:eastAsia="Calibri" w:hAnsi="Times New Roman" w:cs="Times New Roman"/>
          <w:lang w:val="sr-Cyrl-RS"/>
        </w:rPr>
        <w:t>а показатеља на нивоу посебног циља</w:t>
      </w:r>
      <w:r w:rsidRPr="00226F9D">
        <w:rPr>
          <w:rFonts w:ascii="Times New Roman" w:eastAsia="Calibri" w:hAnsi="Times New Roman" w:cs="Times New Roman"/>
          <w:lang w:val="sr-Cyrl-RS"/>
        </w:rPr>
        <w:t xml:space="preserve"> - </w:t>
      </w:r>
      <w:r w:rsidR="001B731B" w:rsidRPr="00226F9D">
        <w:rPr>
          <w:rFonts w:ascii="Times New Roman" w:eastAsia="Calibri" w:hAnsi="Times New Roman" w:cs="Times New Roman"/>
          <w:lang w:val="sr-Cyrl-RS"/>
        </w:rPr>
        <w:t>израђен је индекс за мерење доступности и квалитета услуга ЈЛС, као и индекс за мерење задовољства корисника пруженим услугама локалне самоуправе.</w:t>
      </w:r>
      <w:r w:rsidR="00BB7EC0" w:rsidRPr="00226F9D">
        <w:rPr>
          <w:rFonts w:ascii="Times New Roman" w:eastAsia="Calibri" w:hAnsi="Times New Roman" w:cs="Times New Roman"/>
          <w:lang w:val="sr-Cyrl-RS"/>
        </w:rPr>
        <w:t xml:space="preserve"> На основу израђених методолошких алата</w:t>
      </w:r>
      <w:r w:rsidR="00B77A8F" w:rsidRPr="00226F9D">
        <w:rPr>
          <w:rFonts w:ascii="Times New Roman" w:eastAsia="Calibri" w:hAnsi="Times New Roman" w:cs="Times New Roman"/>
          <w:lang w:val="sr-Cyrl-RS"/>
        </w:rPr>
        <w:t>, СКГО је</w:t>
      </w:r>
      <w:r w:rsidR="00BB7EC0" w:rsidRPr="00226F9D">
        <w:rPr>
          <w:rFonts w:ascii="Times New Roman" w:eastAsia="Calibri" w:hAnsi="Times New Roman" w:cs="Times New Roman"/>
          <w:lang w:val="sr-Cyrl-RS"/>
        </w:rPr>
        <w:t xml:space="preserve"> најпре спрове</w:t>
      </w:r>
      <w:r w:rsidR="004F357F" w:rsidRPr="00226F9D">
        <w:rPr>
          <w:rFonts w:ascii="Times New Roman" w:eastAsia="Calibri" w:hAnsi="Times New Roman" w:cs="Times New Roman"/>
          <w:lang w:val="sr-Cyrl-RS"/>
        </w:rPr>
        <w:t>ла</w:t>
      </w:r>
      <w:r w:rsidR="00BB7EC0" w:rsidRPr="00226F9D">
        <w:rPr>
          <w:rFonts w:ascii="Times New Roman" w:eastAsia="Calibri" w:hAnsi="Times New Roman" w:cs="Times New Roman"/>
          <w:lang w:val="sr-Cyrl-RS"/>
        </w:rPr>
        <w:t xml:space="preserve"> истраживање/мерење доступности и квалитета приоритетних услуга на узорку од 30 ЈЛС и то: услуга управних органа, социјалне заштите </w:t>
      </w:r>
      <w:r w:rsidR="00BB7EC0" w:rsidRPr="00226F9D">
        <w:rPr>
          <w:rFonts w:ascii="Times New Roman" w:eastAsia="Times New Roman" w:hAnsi="Times New Roman" w:cs="Times New Roman"/>
          <w:lang w:val="sr-Cyrl-RS"/>
        </w:rPr>
        <w:t>(услугу помоћ у кући за стара и одрасла лица и услугу лични пратилац детета са инвалидитетом односно сметњама у развоју)</w:t>
      </w:r>
      <w:r w:rsidR="00BB7EC0" w:rsidRPr="00226F9D">
        <w:rPr>
          <w:rFonts w:ascii="Times New Roman" w:eastAsia="Calibri" w:hAnsi="Times New Roman" w:cs="Times New Roman"/>
          <w:lang w:val="sr-Cyrl-RS"/>
        </w:rPr>
        <w:t xml:space="preserve">, услуга </w:t>
      </w:r>
      <w:r w:rsidR="00EF3874" w:rsidRPr="00226F9D">
        <w:rPr>
          <w:rFonts w:ascii="Times New Roman" w:eastAsia="Calibri" w:hAnsi="Times New Roman" w:cs="Times New Roman"/>
          <w:lang w:val="sr-Cyrl-RS"/>
        </w:rPr>
        <w:t>предшколског васпитања и образовања</w:t>
      </w:r>
      <w:r w:rsidR="00BB7EC0" w:rsidRPr="00226F9D">
        <w:rPr>
          <w:rFonts w:ascii="Times New Roman" w:eastAsia="Calibri" w:hAnsi="Times New Roman" w:cs="Times New Roman"/>
          <w:lang w:val="sr-Cyrl-RS"/>
        </w:rPr>
        <w:t xml:space="preserve"> и три комуналне услуге </w:t>
      </w:r>
      <w:r w:rsidR="00BB7EC0" w:rsidRPr="00226F9D">
        <w:rPr>
          <w:rFonts w:ascii="Times New Roman" w:eastAsia="Times New Roman" w:hAnsi="Times New Roman" w:cs="Times New Roman"/>
          <w:lang w:val="sr-Cyrl-RS"/>
        </w:rPr>
        <w:t>(услуге снабдевање водом за пиће, услуге управљања комуналним отпадом и услуге пречишћавање и одвођење атмосферских и отпадних вода).</w:t>
      </w:r>
      <w:r w:rsidR="00BB7EC0" w:rsidRPr="00226F9D">
        <w:rPr>
          <w:rFonts w:ascii="Times New Roman" w:eastAsia="Calibri" w:hAnsi="Times New Roman" w:cs="Times New Roman"/>
          <w:lang w:val="sr-Cyrl-RS"/>
        </w:rPr>
        <w:t xml:space="preserve"> Циљ је био да се идентификује стање и потребе за унапређењем рада локалне самоуправе како би услуге биле ефикасније и доступније грађанима. </w:t>
      </w:r>
    </w:p>
    <w:p w14:paraId="27718D33" w14:textId="77777777" w:rsidR="00BB7EC0" w:rsidRPr="00226F9D" w:rsidRDefault="00BB7EC0" w:rsidP="006B59F4">
      <w:pPr>
        <w:spacing w:after="0" w:line="240" w:lineRule="auto"/>
        <w:jc w:val="both"/>
        <w:rPr>
          <w:rFonts w:ascii="Times New Roman" w:eastAsia="Calibri" w:hAnsi="Times New Roman" w:cs="Times New Roman"/>
          <w:lang w:val="sr-Cyrl-RS"/>
        </w:rPr>
      </w:pPr>
    </w:p>
    <w:p w14:paraId="4A4294E6" w14:textId="1645A70D" w:rsidR="00BB7EC0" w:rsidRPr="00226F9D" w:rsidRDefault="3E197ECD"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У другој фази се на основу израђене методологије приступило истраживању и мерењу задовољства грађана услугама (административне, социјална заштита, предшколско образовање, комуналне) које пружају јединице локалне самоуправе, а које треба да помогне у идентификовању области у којима је потребно даље побољшање. Након спроведеног истраживања крајем 2023. године, на узорку од 50 ЈЛС, урађена је анализа добијених података и припремљен је извештај. Налази истраживања презентовани су представницима МДУЛС, као и локалним самоуправама на четири регионалне презентације и свака ЈЛС добила је свој налаз, а извештај на нивоу узорка од 50 ЈЛС доступан је на интернет страници програма ПРО - Локално управљање за људе и природу</w:t>
      </w:r>
      <w:r w:rsidR="50C77D03" w:rsidRPr="00226F9D">
        <w:rPr>
          <w:rFonts w:ascii="Times New Roman" w:eastAsia="Calibri" w:hAnsi="Times New Roman" w:cs="Times New Roman"/>
          <w:lang w:val="sr-Cyrl-RS"/>
        </w:rPr>
        <w:t xml:space="preserve"> у оквиру којег је ово истраживање и спроведено</w:t>
      </w:r>
      <w:r w:rsidRPr="00226F9D">
        <w:rPr>
          <w:rFonts w:ascii="Times New Roman" w:eastAsia="Calibri" w:hAnsi="Times New Roman" w:cs="Times New Roman"/>
          <w:lang w:val="sr-Cyrl-RS"/>
        </w:rPr>
        <w:t xml:space="preserve">. </w:t>
      </w:r>
    </w:p>
    <w:p w14:paraId="1D4C2AC3" w14:textId="77777777" w:rsidR="001B731B" w:rsidRPr="00226F9D" w:rsidRDefault="001B731B" w:rsidP="006B59F4">
      <w:pPr>
        <w:spacing w:after="0" w:line="240" w:lineRule="auto"/>
        <w:jc w:val="both"/>
        <w:rPr>
          <w:rFonts w:ascii="Times New Roman" w:eastAsia="Calibri" w:hAnsi="Times New Roman" w:cs="Times New Roman"/>
          <w:lang w:val="sr-Cyrl-RS"/>
        </w:rPr>
      </w:pPr>
    </w:p>
    <w:p w14:paraId="0E112B06" w14:textId="2B4D970A" w:rsidR="001B731B" w:rsidRPr="00226F9D" w:rsidRDefault="000D315B"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У складу са планираним активностима у</w:t>
      </w:r>
      <w:r w:rsidR="001B731B" w:rsidRPr="00226F9D">
        <w:rPr>
          <w:rFonts w:ascii="Times New Roman" w:eastAsia="Calibri" w:hAnsi="Times New Roman" w:cs="Times New Roman"/>
          <w:lang w:val="sr-Cyrl-RS"/>
        </w:rPr>
        <w:t xml:space="preserve">тврђена је основна методологија за обрачун неопходних финансијских, људских и техничких капацитета за спровођење послова локалне самоуправе, </w:t>
      </w:r>
      <w:r w:rsidRPr="00226F9D">
        <w:rPr>
          <w:rFonts w:ascii="Times New Roman" w:eastAsia="Calibri" w:hAnsi="Times New Roman" w:cs="Times New Roman"/>
          <w:lang w:val="sr-Cyrl-RS"/>
        </w:rPr>
        <w:t>и спроведена</w:t>
      </w:r>
      <w:r w:rsidR="001B731B" w:rsidRPr="00226F9D">
        <w:rPr>
          <w:rFonts w:ascii="Times New Roman" w:eastAsia="Calibri" w:hAnsi="Times New Roman" w:cs="Times New Roman"/>
          <w:lang w:val="sr-Cyrl-RS"/>
        </w:rPr>
        <w:t xml:space="preserve"> анализа степена успостављених послова у приоритетним областима локалне самоуправе.</w:t>
      </w:r>
      <w:r w:rsidR="001B731B" w:rsidRPr="00226F9D">
        <w:rPr>
          <w:rFonts w:ascii="Times New Roman" w:hAnsi="Times New Roman" w:cs="Times New Roman"/>
          <w:lang w:val="sr-Cyrl-RS"/>
        </w:rPr>
        <w:t xml:space="preserve"> </w:t>
      </w:r>
      <w:r w:rsidR="001B731B" w:rsidRPr="00226F9D">
        <w:rPr>
          <w:rFonts w:ascii="Times New Roman" w:eastAsia="Calibri" w:hAnsi="Times New Roman" w:cs="Times New Roman"/>
          <w:lang w:val="sr-Cyrl-RS"/>
        </w:rPr>
        <w:t xml:space="preserve">Методологија </w:t>
      </w:r>
      <w:r w:rsidR="00425DA5" w:rsidRPr="00226F9D">
        <w:rPr>
          <w:rFonts w:ascii="Times New Roman" w:eastAsia="Calibri" w:hAnsi="Times New Roman" w:cs="Times New Roman"/>
          <w:lang w:val="sr-Cyrl-RS"/>
        </w:rPr>
        <w:t xml:space="preserve">је израђена </w:t>
      </w:r>
      <w:r w:rsidR="001B731B" w:rsidRPr="00226F9D">
        <w:rPr>
          <w:rFonts w:ascii="Times New Roman" w:eastAsia="Calibri" w:hAnsi="Times New Roman" w:cs="Times New Roman"/>
          <w:lang w:val="sr-Cyrl-RS"/>
        </w:rPr>
        <w:t>као алат за мерење трошкова постојећих и евентуалних нових надлежности ЈЛС, што је од великог значаја приликом преношења/поверавања надлежности, као и процене односно обрачуна њихових трошкова.</w:t>
      </w:r>
    </w:p>
    <w:p w14:paraId="43AC30CA" w14:textId="77777777" w:rsidR="001B731B" w:rsidRPr="00226F9D" w:rsidRDefault="001B731B" w:rsidP="006B59F4">
      <w:pPr>
        <w:spacing w:after="0" w:line="240" w:lineRule="auto"/>
        <w:jc w:val="both"/>
        <w:rPr>
          <w:rFonts w:ascii="Times New Roman" w:eastAsia="Calibri" w:hAnsi="Times New Roman" w:cs="Times New Roman"/>
          <w:lang w:val="sr-Cyrl-RS"/>
        </w:rPr>
      </w:pPr>
    </w:p>
    <w:p w14:paraId="3363E709" w14:textId="604E57D6" w:rsidR="006F7CF3" w:rsidRPr="00226F9D" w:rsidRDefault="005F7A40"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З</w:t>
      </w:r>
      <w:r w:rsidR="001B731B" w:rsidRPr="00226F9D">
        <w:rPr>
          <w:rFonts w:ascii="Times New Roman" w:eastAsia="Calibri" w:hAnsi="Times New Roman" w:cs="Times New Roman"/>
          <w:lang w:val="sr-Cyrl-RS"/>
        </w:rPr>
        <w:t>авршена је</w:t>
      </w:r>
      <w:r w:rsidRPr="00226F9D">
        <w:rPr>
          <w:rFonts w:ascii="Times New Roman" w:eastAsia="Calibri" w:hAnsi="Times New Roman" w:cs="Times New Roman"/>
          <w:lang w:val="sr-Cyrl-RS"/>
        </w:rPr>
        <w:t xml:space="preserve"> и</w:t>
      </w:r>
      <w:r w:rsidR="001B731B" w:rsidRPr="00226F9D">
        <w:rPr>
          <w:rFonts w:ascii="Times New Roman" w:eastAsia="Calibri" w:hAnsi="Times New Roman" w:cs="Times New Roman"/>
          <w:lang w:val="sr-Cyrl-RS"/>
        </w:rPr>
        <w:t xml:space="preserve"> Анализа могућности за преношење нових послова јавне управе у циљу ефикасније расподеле одговорности између различитих нивоа власти</w:t>
      </w:r>
      <w:r w:rsidR="00CC5737" w:rsidRPr="00226F9D">
        <w:rPr>
          <w:rFonts w:ascii="Times New Roman" w:eastAsia="Calibri" w:hAnsi="Times New Roman" w:cs="Times New Roman"/>
          <w:lang w:val="sr-Cyrl-RS"/>
        </w:rPr>
        <w:t xml:space="preserve">. Ова анализа послужиће за </w:t>
      </w:r>
      <w:r w:rsidR="001B731B" w:rsidRPr="00226F9D">
        <w:rPr>
          <w:rFonts w:ascii="Times New Roman" w:eastAsia="Calibri" w:hAnsi="Times New Roman" w:cs="Times New Roman"/>
          <w:lang w:val="sr-Cyrl-RS"/>
        </w:rPr>
        <w:t>креирањ</w:t>
      </w:r>
      <w:r w:rsidR="00CC5737" w:rsidRPr="00226F9D">
        <w:rPr>
          <w:rFonts w:ascii="Times New Roman" w:eastAsia="Calibri" w:hAnsi="Times New Roman" w:cs="Times New Roman"/>
          <w:lang w:val="sr-Cyrl-RS"/>
        </w:rPr>
        <w:t>е</w:t>
      </w:r>
      <w:r w:rsidR="001B731B" w:rsidRPr="00226F9D">
        <w:rPr>
          <w:rFonts w:ascii="Times New Roman" w:eastAsia="Calibri" w:hAnsi="Times New Roman" w:cs="Times New Roman"/>
          <w:lang w:val="sr-Cyrl-RS"/>
        </w:rPr>
        <w:t xml:space="preserve"> могућих нових политика у области децентрализације. Анализа је идентификовала области у оквиру изворних и поверених надлежности локалне самоуправе у којима има простора за даља разграничења и пренос надлежности са централног и покрајинског на локални ниво, а која ће бити значајна у планирању и спровођењ</w:t>
      </w:r>
      <w:r w:rsidR="00E14B7B" w:rsidRPr="00226F9D">
        <w:rPr>
          <w:rFonts w:ascii="Times New Roman" w:eastAsia="Calibri" w:hAnsi="Times New Roman" w:cs="Times New Roman"/>
          <w:lang w:val="sr-Cyrl-RS"/>
        </w:rPr>
        <w:t>у</w:t>
      </w:r>
      <w:r w:rsidR="001B731B" w:rsidRPr="00226F9D">
        <w:rPr>
          <w:rFonts w:ascii="Times New Roman" w:eastAsia="Calibri" w:hAnsi="Times New Roman" w:cs="Times New Roman"/>
          <w:lang w:val="sr-Cyrl-RS"/>
        </w:rPr>
        <w:t xml:space="preserve"> даље децентрализације јавних услуга и послова на локалну самоуправу у наредном периоду. </w:t>
      </w:r>
    </w:p>
    <w:p w14:paraId="0A7618EB" w14:textId="77777777" w:rsidR="006F7CF3" w:rsidRPr="00226F9D" w:rsidRDefault="006F7CF3" w:rsidP="006B59F4">
      <w:pPr>
        <w:spacing w:after="0" w:line="240" w:lineRule="auto"/>
        <w:jc w:val="both"/>
        <w:rPr>
          <w:rFonts w:ascii="Times New Roman" w:eastAsia="Calibri" w:hAnsi="Times New Roman" w:cs="Times New Roman"/>
          <w:lang w:val="sr-Cyrl-RS"/>
        </w:rPr>
      </w:pPr>
    </w:p>
    <w:p w14:paraId="3FD88448" w14:textId="7274D137" w:rsidR="001B731B" w:rsidRPr="00226F9D" w:rsidRDefault="4E023086" w:rsidP="006B59F4">
      <w:pPr>
        <w:spacing w:after="0" w:line="240" w:lineRule="auto"/>
        <w:jc w:val="both"/>
        <w:rPr>
          <w:rFonts w:ascii="Times New Roman" w:eastAsia="Times New Roman" w:hAnsi="Times New Roman" w:cs="Times New Roman"/>
          <w:lang w:val="sr-Cyrl-RS"/>
        </w:rPr>
      </w:pPr>
      <w:r w:rsidRPr="00226F9D">
        <w:rPr>
          <w:rFonts w:ascii="Times New Roman" w:eastAsia="Times New Roman" w:hAnsi="Times New Roman" w:cs="Times New Roman"/>
          <w:color w:val="000000" w:themeColor="text1"/>
          <w:lang w:val="sr-Cyrl-RS"/>
        </w:rPr>
        <w:t>За наставак анализе п</w:t>
      </w:r>
      <w:r w:rsidR="540FACC1" w:rsidRPr="00226F9D">
        <w:rPr>
          <w:rFonts w:ascii="Times New Roman" w:eastAsia="Times New Roman" w:hAnsi="Times New Roman" w:cs="Times New Roman"/>
          <w:color w:val="000000" w:themeColor="text1"/>
          <w:lang w:val="sr-Cyrl-RS"/>
        </w:rPr>
        <w:t xml:space="preserve">отребно је </w:t>
      </w:r>
      <w:r w:rsidRPr="00226F9D">
        <w:rPr>
          <w:rFonts w:ascii="Times New Roman" w:eastAsia="Times New Roman" w:hAnsi="Times New Roman" w:cs="Times New Roman"/>
          <w:color w:val="000000" w:themeColor="text1"/>
          <w:lang w:val="sr-Cyrl-RS"/>
        </w:rPr>
        <w:t xml:space="preserve">сагледати </w:t>
      </w:r>
      <w:r w:rsidR="540FACC1" w:rsidRPr="00226F9D">
        <w:rPr>
          <w:rFonts w:ascii="Times New Roman" w:eastAsia="Times New Roman" w:hAnsi="Times New Roman" w:cs="Times New Roman"/>
          <w:color w:val="000000" w:themeColor="text1"/>
          <w:lang w:val="sr-Cyrl-RS"/>
        </w:rPr>
        <w:t xml:space="preserve">искуства </w:t>
      </w:r>
      <w:r w:rsidR="540FACC1" w:rsidRPr="00226F9D">
        <w:rPr>
          <w:rFonts w:ascii="Times New Roman" w:eastAsia="Times New Roman" w:hAnsi="Times New Roman" w:cs="Times New Roman"/>
          <w:lang w:val="sr-Cyrl-RS"/>
        </w:rPr>
        <w:t xml:space="preserve">земаља из региона и ЕУ у погледу надлежности и послова локалне самоуправе, те кроз компаративну анализу утврдити могућности за даљу </w:t>
      </w:r>
      <w:r w:rsidRPr="00226F9D">
        <w:rPr>
          <w:rFonts w:ascii="Times New Roman" w:eastAsia="Times New Roman" w:hAnsi="Times New Roman" w:cs="Times New Roman"/>
          <w:lang w:val="sr-Cyrl-RS"/>
        </w:rPr>
        <w:t xml:space="preserve">ефикаснију расподелу </w:t>
      </w:r>
      <w:r w:rsidR="540FACC1" w:rsidRPr="00226F9D">
        <w:rPr>
          <w:rFonts w:ascii="Times New Roman" w:eastAsia="Times New Roman" w:hAnsi="Times New Roman" w:cs="Times New Roman"/>
          <w:lang w:val="sr-Cyrl-RS"/>
        </w:rPr>
        <w:t>јавних</w:t>
      </w:r>
      <w:r w:rsidRPr="00226F9D">
        <w:rPr>
          <w:rFonts w:ascii="Times New Roman" w:eastAsia="Times New Roman" w:hAnsi="Times New Roman" w:cs="Times New Roman"/>
          <w:lang w:val="sr-Cyrl-RS"/>
        </w:rPr>
        <w:t xml:space="preserve"> </w:t>
      </w:r>
      <w:r w:rsidR="540FACC1" w:rsidRPr="00226F9D">
        <w:rPr>
          <w:rFonts w:ascii="Times New Roman" w:eastAsia="Times New Roman" w:hAnsi="Times New Roman" w:cs="Times New Roman"/>
          <w:lang w:val="sr-Cyrl-RS"/>
        </w:rPr>
        <w:t>услуга и послова</w:t>
      </w:r>
      <w:r w:rsidRPr="00226F9D">
        <w:rPr>
          <w:rFonts w:ascii="Times New Roman" w:eastAsia="Times New Roman" w:hAnsi="Times New Roman" w:cs="Times New Roman"/>
          <w:lang w:val="sr-Cyrl-RS"/>
        </w:rPr>
        <w:t>, које би водиле јачању</w:t>
      </w:r>
      <w:r w:rsidR="540FACC1" w:rsidRPr="00226F9D">
        <w:rPr>
          <w:rFonts w:ascii="Times New Roman" w:eastAsia="Times New Roman" w:hAnsi="Times New Roman" w:cs="Times New Roman"/>
          <w:lang w:val="sr-Cyrl-RS"/>
        </w:rPr>
        <w:t xml:space="preserve"> локалн</w:t>
      </w:r>
      <w:r w:rsidR="2309BC1A" w:rsidRPr="00226F9D">
        <w:rPr>
          <w:rFonts w:ascii="Times New Roman" w:eastAsia="Times New Roman" w:hAnsi="Times New Roman" w:cs="Times New Roman"/>
          <w:lang w:val="sr-Cyrl-RS"/>
        </w:rPr>
        <w:t>е</w:t>
      </w:r>
      <w:r w:rsidR="540FACC1" w:rsidRPr="00226F9D">
        <w:rPr>
          <w:rFonts w:ascii="Times New Roman" w:eastAsia="Times New Roman" w:hAnsi="Times New Roman" w:cs="Times New Roman"/>
          <w:lang w:val="sr-Cyrl-RS"/>
        </w:rPr>
        <w:t xml:space="preserve"> самоуправ</w:t>
      </w:r>
      <w:r w:rsidRPr="00226F9D">
        <w:rPr>
          <w:rFonts w:ascii="Times New Roman" w:eastAsia="Times New Roman" w:hAnsi="Times New Roman" w:cs="Times New Roman"/>
          <w:lang w:val="sr-Cyrl-RS"/>
        </w:rPr>
        <w:t xml:space="preserve">е </w:t>
      </w:r>
      <w:r w:rsidR="540FACC1" w:rsidRPr="00226F9D">
        <w:rPr>
          <w:rFonts w:ascii="Times New Roman" w:eastAsia="Times New Roman" w:hAnsi="Times New Roman" w:cs="Times New Roman"/>
          <w:lang w:val="sr-Cyrl-RS"/>
        </w:rPr>
        <w:t>у складу са принципом су</w:t>
      </w:r>
      <w:r w:rsidR="64909F8C" w:rsidRPr="00226F9D">
        <w:rPr>
          <w:rFonts w:ascii="Times New Roman" w:eastAsia="Times New Roman" w:hAnsi="Times New Roman" w:cs="Times New Roman"/>
          <w:lang w:val="sr-Cyrl-RS"/>
        </w:rPr>
        <w:t>п</w:t>
      </w:r>
      <w:r w:rsidR="540FACC1" w:rsidRPr="00226F9D">
        <w:rPr>
          <w:rFonts w:ascii="Times New Roman" w:eastAsia="Times New Roman" w:hAnsi="Times New Roman" w:cs="Times New Roman"/>
          <w:lang w:val="sr-Cyrl-RS"/>
        </w:rPr>
        <w:t>сидијарности</w:t>
      </w:r>
      <w:r w:rsidR="4956A091" w:rsidRPr="00226F9D">
        <w:rPr>
          <w:rFonts w:ascii="Times New Roman" w:eastAsia="Times New Roman" w:hAnsi="Times New Roman" w:cs="Times New Roman"/>
          <w:lang w:val="sr-Cyrl-RS"/>
        </w:rPr>
        <w:t>,</w:t>
      </w:r>
      <w:r w:rsidR="540FACC1" w:rsidRPr="00226F9D">
        <w:rPr>
          <w:rFonts w:ascii="Times New Roman" w:eastAsia="Times New Roman" w:hAnsi="Times New Roman" w:cs="Times New Roman"/>
          <w:lang w:val="sr-Cyrl-RS"/>
        </w:rPr>
        <w:t xml:space="preserve"> односно </w:t>
      </w:r>
      <w:r w:rsidR="274C1F20" w:rsidRPr="00226F9D">
        <w:rPr>
          <w:rFonts w:ascii="Times New Roman" w:eastAsia="Times New Roman" w:hAnsi="Times New Roman" w:cs="Times New Roman"/>
          <w:lang w:val="sr-Cyrl-RS"/>
        </w:rPr>
        <w:t>тамо где постоји</w:t>
      </w:r>
      <w:r w:rsidR="540FACC1" w:rsidRPr="00226F9D">
        <w:rPr>
          <w:rFonts w:ascii="Times New Roman" w:eastAsia="Times New Roman" w:hAnsi="Times New Roman" w:cs="Times New Roman"/>
          <w:lang w:val="sr-Cyrl-RS"/>
        </w:rPr>
        <w:t xml:space="preserve"> оправданост обављања послова на нивоу локалне самоуправе. </w:t>
      </w:r>
      <w:r w:rsidR="540FACC1" w:rsidRPr="00226F9D">
        <w:rPr>
          <w:rFonts w:ascii="Times New Roman" w:eastAsia="Calibri" w:hAnsi="Times New Roman" w:cs="Times New Roman"/>
          <w:lang w:val="sr-Cyrl-RS"/>
        </w:rPr>
        <w:t>У складу са наведеним, неопходно је п</w:t>
      </w:r>
      <w:r w:rsidR="540FACC1" w:rsidRPr="00226F9D">
        <w:rPr>
          <w:rFonts w:ascii="Times New Roman" w:eastAsia="Times New Roman" w:hAnsi="Times New Roman" w:cs="Times New Roman"/>
          <w:color w:val="000000" w:themeColor="text1"/>
          <w:lang w:val="sr-Cyrl-RS"/>
        </w:rPr>
        <w:t>рипремити измене и допуне Закона о локалној самоуправи у циљу развијања нових модалитета управљања процесом поверавања (или преношења) надлежности, као и дефинисања процеса поверавања са циљем утврђивања оправданости и способности ЈЛС за обављање будућих поверених послова</w:t>
      </w:r>
      <w:r w:rsidR="4956A091" w:rsidRPr="00226F9D">
        <w:rPr>
          <w:rFonts w:ascii="Times New Roman" w:eastAsia="Times New Roman" w:hAnsi="Times New Roman" w:cs="Times New Roman"/>
          <w:color w:val="000000" w:themeColor="text1"/>
          <w:lang w:val="sr-Cyrl-RS"/>
        </w:rPr>
        <w:t>,</w:t>
      </w:r>
      <w:r w:rsidR="540FACC1" w:rsidRPr="00226F9D">
        <w:rPr>
          <w:rFonts w:ascii="Times New Roman" w:eastAsia="Times New Roman" w:hAnsi="Times New Roman" w:cs="Times New Roman"/>
          <w:color w:val="000000" w:themeColor="text1"/>
          <w:lang w:val="sr-Cyrl-RS"/>
        </w:rPr>
        <w:t xml:space="preserve"> односно како би се обезбедио већи квалитет и ефикасност приликом реализације преузетих послова. </w:t>
      </w:r>
      <w:r w:rsidR="1FD4B639" w:rsidRPr="00226F9D">
        <w:rPr>
          <w:rFonts w:ascii="Times New Roman" w:eastAsia="Times New Roman" w:hAnsi="Times New Roman" w:cs="Times New Roman"/>
          <w:lang w:val="sr-Cyrl-RS"/>
        </w:rPr>
        <w:t>Према налазима СИГМА у делу који се односе на примену принципа 14 ове организације у процесу реформе јавне управе, правни оквир за ефикасно функционисање локалних самоуправа је добро развијен, односно политичка и организациона аутономија, као и сарадња и координација међу њима су успостављени. Међутим, постоји значајан простор за унапређење неких функција локалних самоуправа, односно за преузимање нових или додатних одговорности за ефикасније и целовитије пружање услуга.</w:t>
      </w:r>
      <w:r w:rsidR="003A4565" w:rsidRPr="00226F9D">
        <w:rPr>
          <w:rStyle w:val="FootnoteReference"/>
          <w:rFonts w:ascii="Times New Roman" w:eastAsia="Times New Roman" w:hAnsi="Times New Roman" w:cs="Times New Roman"/>
          <w:lang w:val="sr-Cyrl-RS"/>
        </w:rPr>
        <w:footnoteReference w:id="58"/>
      </w:r>
      <w:r w:rsidR="1FD4B639" w:rsidRPr="00226F9D">
        <w:rPr>
          <w:rFonts w:ascii="Times New Roman" w:eastAsia="Times New Roman" w:hAnsi="Times New Roman" w:cs="Times New Roman"/>
          <w:lang w:val="sr-Cyrl-RS"/>
        </w:rPr>
        <w:t xml:space="preserve"> У складу са тим, посебно треба размотрити простор за ефикаснију расподелу надлежности у систему јавне управе у  правцу јачања значаја локалне самоуправе (првенствено у областима као што су: образовање, примарна здравствена заштита, социјална заштита, итд.), а подела надлежности између националног, покрајинског и локалног нивоа власти треба да се редовно преиспитује како би се одговорило на променљиве потребе грађана и унапредила ефикасност услуга. Такође, неопходно је и редовно праћење и процена резултата децентрализованих функција, са јасним смерница</w:t>
      </w:r>
      <w:r w:rsidR="46DE32A8" w:rsidRPr="00226F9D">
        <w:rPr>
          <w:rFonts w:ascii="Times New Roman" w:eastAsia="Times New Roman" w:hAnsi="Times New Roman" w:cs="Times New Roman"/>
          <w:lang w:val="sr-Cyrl-RS"/>
        </w:rPr>
        <w:t>ма</w:t>
      </w:r>
      <w:r w:rsidR="1FD4B639" w:rsidRPr="00226F9D">
        <w:rPr>
          <w:rFonts w:ascii="Times New Roman" w:eastAsia="Times New Roman" w:hAnsi="Times New Roman" w:cs="Times New Roman"/>
          <w:lang w:val="sr-Cyrl-RS"/>
        </w:rPr>
        <w:t xml:space="preserve"> и подршком у циљу јачања капацитета локалних самоуправа за квалитетно пружање услуга</w:t>
      </w:r>
      <w:r w:rsidR="00B75908">
        <w:rPr>
          <w:rFonts w:ascii="Times New Roman" w:eastAsia="Times New Roman" w:hAnsi="Times New Roman" w:cs="Times New Roman"/>
          <w:lang w:val="sr-Cyrl-RS"/>
        </w:rPr>
        <w:t>.</w:t>
      </w:r>
    </w:p>
    <w:p w14:paraId="7057A242" w14:textId="77777777" w:rsidR="00EC5F6D" w:rsidRPr="00226F9D" w:rsidRDefault="00EC5F6D" w:rsidP="006B59F4">
      <w:pPr>
        <w:spacing w:after="0" w:line="240" w:lineRule="auto"/>
        <w:jc w:val="both"/>
        <w:rPr>
          <w:rFonts w:ascii="Times New Roman" w:eastAsia="Times New Roman" w:hAnsi="Times New Roman" w:cs="Times New Roman"/>
          <w:color w:val="000000" w:themeColor="text1"/>
          <w:lang w:val="sr-Cyrl-RS"/>
        </w:rPr>
      </w:pPr>
    </w:p>
    <w:p w14:paraId="6CF8B197" w14:textId="7E876368" w:rsidR="00EC5F6D" w:rsidRPr="00226F9D" w:rsidRDefault="13445D03" w:rsidP="006B59F4">
      <w:pPr>
        <w:spacing w:after="0" w:line="240" w:lineRule="auto"/>
        <w:jc w:val="both"/>
        <w:rPr>
          <w:rFonts w:ascii="Times New Roman" w:eastAsia="Calibri" w:hAnsi="Times New Roman" w:cs="Times New Roman"/>
          <w:lang w:val="sr-Cyrl-RS"/>
        </w:rPr>
      </w:pPr>
      <w:r w:rsidRPr="00226F9D">
        <w:rPr>
          <w:rFonts w:ascii="Times New Roman" w:eastAsia="Times New Roman" w:hAnsi="Times New Roman" w:cs="Times New Roman"/>
          <w:lang w:val="sr-Cyrl-RS"/>
        </w:rPr>
        <w:t xml:space="preserve">Једна од значајних активности реализованих у претходном периоду била је подршка ЈЛС приликом уноса поступака из изворне надлежности у Регистар административних поступака. Током 2024. и 2025. године уложен је велики напор </w:t>
      </w:r>
      <w:r w:rsidR="06007127" w:rsidRPr="00226F9D">
        <w:rPr>
          <w:rFonts w:ascii="Times New Roman" w:eastAsia="Times New Roman" w:hAnsi="Times New Roman" w:cs="Times New Roman"/>
          <w:lang w:val="sr-Cyrl-RS"/>
        </w:rPr>
        <w:t xml:space="preserve">(уз подршку РСЈП и СКГО) </w:t>
      </w:r>
      <w:r w:rsidRPr="00226F9D">
        <w:rPr>
          <w:rFonts w:ascii="Times New Roman" w:eastAsia="Times New Roman" w:hAnsi="Times New Roman" w:cs="Times New Roman"/>
          <w:lang w:val="sr-Cyrl-RS"/>
        </w:rPr>
        <w:t>да ЈЛС унес</w:t>
      </w:r>
      <w:r w:rsidR="335A7A5D" w:rsidRPr="00226F9D">
        <w:rPr>
          <w:rFonts w:ascii="Times New Roman" w:eastAsia="Times New Roman" w:hAnsi="Times New Roman" w:cs="Times New Roman"/>
          <w:lang w:val="sr-Cyrl-RS"/>
        </w:rPr>
        <w:t>у</w:t>
      </w:r>
      <w:r w:rsidRPr="00226F9D">
        <w:rPr>
          <w:rFonts w:ascii="Times New Roman" w:eastAsia="Times New Roman" w:hAnsi="Times New Roman" w:cs="Times New Roman"/>
          <w:lang w:val="sr-Cyrl-RS"/>
        </w:rPr>
        <w:t xml:space="preserve"> све релевантне податке и информације о поступцима које спроводе. </w:t>
      </w:r>
      <w:r w:rsidR="488D0D44" w:rsidRPr="00226F9D">
        <w:rPr>
          <w:rFonts w:ascii="Times New Roman" w:eastAsia="Times New Roman" w:hAnsi="Times New Roman" w:cs="Times New Roman"/>
          <w:lang w:val="sr-Cyrl-RS"/>
        </w:rPr>
        <w:t>До краја</w:t>
      </w:r>
      <w:r w:rsidR="71F0D166" w:rsidRPr="00226F9D">
        <w:rPr>
          <w:rFonts w:ascii="Times New Roman" w:eastAsia="Times New Roman" w:hAnsi="Times New Roman" w:cs="Times New Roman"/>
          <w:lang w:val="sr-Cyrl-RS"/>
        </w:rPr>
        <w:t xml:space="preserve"> 2025.</w:t>
      </w:r>
      <w:r w:rsidR="0324B95A" w:rsidRPr="00226F9D">
        <w:rPr>
          <w:rFonts w:ascii="Times New Roman" w:eastAsia="Times New Roman" w:hAnsi="Times New Roman" w:cs="Times New Roman"/>
          <w:lang w:val="sr-Cyrl-RS"/>
        </w:rPr>
        <w:t xml:space="preserve"> </w:t>
      </w:r>
      <w:r w:rsidR="71F0D166" w:rsidRPr="00226F9D">
        <w:rPr>
          <w:rFonts w:ascii="Times New Roman" w:eastAsia="Times New Roman" w:hAnsi="Times New Roman" w:cs="Times New Roman"/>
          <w:lang w:val="sr-Cyrl-RS"/>
        </w:rPr>
        <w:t xml:space="preserve">године </w:t>
      </w:r>
      <w:r w:rsidR="488D0D44" w:rsidRPr="00226F9D">
        <w:rPr>
          <w:rFonts w:ascii="Times New Roman" w:eastAsia="Times New Roman" w:hAnsi="Times New Roman" w:cs="Times New Roman"/>
          <w:lang w:val="sr-Cyrl-RS"/>
        </w:rPr>
        <w:t xml:space="preserve">79 </w:t>
      </w:r>
      <w:r w:rsidR="71F0D166" w:rsidRPr="00226F9D">
        <w:rPr>
          <w:rFonts w:ascii="Times New Roman" w:eastAsia="Times New Roman" w:hAnsi="Times New Roman" w:cs="Times New Roman"/>
          <w:lang w:val="sr-Cyrl-RS"/>
        </w:rPr>
        <w:t xml:space="preserve">ЈЛС </w:t>
      </w:r>
      <w:r w:rsidR="0324B95A" w:rsidRPr="00226F9D">
        <w:rPr>
          <w:rFonts w:ascii="Times New Roman" w:eastAsia="Times New Roman" w:hAnsi="Times New Roman" w:cs="Times New Roman"/>
          <w:lang w:val="sr-Cyrl-RS"/>
        </w:rPr>
        <w:t xml:space="preserve">је </w:t>
      </w:r>
      <w:r w:rsidR="71F0D166" w:rsidRPr="00226F9D">
        <w:rPr>
          <w:rFonts w:ascii="Times New Roman" w:eastAsia="Times New Roman" w:hAnsi="Times New Roman" w:cs="Times New Roman"/>
          <w:lang w:val="sr-Cyrl-RS"/>
        </w:rPr>
        <w:t xml:space="preserve">унело своје поступке у наведени </w:t>
      </w:r>
      <w:r w:rsidR="0324B95A" w:rsidRPr="00226F9D">
        <w:rPr>
          <w:rFonts w:ascii="Times New Roman" w:eastAsia="Times New Roman" w:hAnsi="Times New Roman" w:cs="Times New Roman"/>
          <w:lang w:val="sr-Cyrl-RS"/>
        </w:rPr>
        <w:t>Р</w:t>
      </w:r>
      <w:r w:rsidR="71F0D166" w:rsidRPr="00226F9D">
        <w:rPr>
          <w:rFonts w:ascii="Times New Roman" w:eastAsia="Times New Roman" w:hAnsi="Times New Roman" w:cs="Times New Roman"/>
          <w:lang w:val="sr-Cyrl-RS"/>
        </w:rPr>
        <w:t>егистар</w:t>
      </w:r>
      <w:r w:rsidR="0324B95A" w:rsidRPr="00226F9D">
        <w:rPr>
          <w:rFonts w:ascii="Times New Roman" w:eastAsia="Times New Roman" w:hAnsi="Times New Roman" w:cs="Times New Roman"/>
          <w:lang w:val="sr-Cyrl-RS"/>
        </w:rPr>
        <w:t xml:space="preserve">, што представља </w:t>
      </w:r>
      <w:r w:rsidR="488D0D44" w:rsidRPr="00226F9D">
        <w:rPr>
          <w:rFonts w:ascii="Times New Roman" w:eastAsia="Times New Roman" w:hAnsi="Times New Roman" w:cs="Times New Roman"/>
          <w:lang w:val="sr-Cyrl-RS"/>
        </w:rPr>
        <w:t>54</w:t>
      </w:r>
      <w:r w:rsidR="00152F87" w:rsidRPr="00226F9D">
        <w:rPr>
          <w:rFonts w:ascii="Times New Roman" w:eastAsia="Times New Roman" w:hAnsi="Times New Roman" w:cs="Times New Roman"/>
          <w:lang w:val="sr-Cyrl-RS"/>
        </w:rPr>
        <w:t>,</w:t>
      </w:r>
      <w:r w:rsidR="488D0D44" w:rsidRPr="00226F9D">
        <w:rPr>
          <w:rFonts w:ascii="Times New Roman" w:eastAsia="Times New Roman" w:hAnsi="Times New Roman" w:cs="Times New Roman"/>
          <w:lang w:val="sr-Cyrl-RS"/>
        </w:rPr>
        <w:t>5</w:t>
      </w:r>
      <w:r w:rsidR="073E34F7" w:rsidRPr="00226F9D">
        <w:rPr>
          <w:rFonts w:ascii="Times New Roman" w:eastAsia="Times New Roman" w:hAnsi="Times New Roman" w:cs="Times New Roman"/>
          <w:lang w:val="sr-Cyrl-RS"/>
        </w:rPr>
        <w:t>% свих локалних самоуправа у Републици Србији</w:t>
      </w:r>
      <w:r w:rsidR="008C77A6" w:rsidRPr="00226F9D">
        <w:rPr>
          <w:rStyle w:val="FootnoteReference"/>
          <w:rFonts w:ascii="Times New Roman" w:eastAsia="Times New Roman" w:hAnsi="Times New Roman" w:cs="Times New Roman"/>
          <w:lang w:val="sr-Cyrl-RS"/>
        </w:rPr>
        <w:footnoteReference w:id="59"/>
      </w:r>
      <w:r w:rsidR="073E34F7" w:rsidRPr="00226F9D">
        <w:rPr>
          <w:rFonts w:ascii="Times New Roman" w:eastAsia="Times New Roman" w:hAnsi="Times New Roman" w:cs="Times New Roman"/>
          <w:lang w:val="sr-Cyrl-RS"/>
        </w:rPr>
        <w:t>.</w:t>
      </w:r>
      <w:r w:rsidRPr="00226F9D">
        <w:rPr>
          <w:rFonts w:ascii="Times New Roman" w:eastAsia="Times New Roman" w:hAnsi="Times New Roman" w:cs="Times New Roman"/>
          <w:lang w:val="sr-Cyrl-RS"/>
        </w:rPr>
        <w:t xml:space="preserve"> Регистар, поред своје информативне и транспарентне функције, представља важан алат за процену ефективности и сврсисходности административних поступака на локалном нивоу. </w:t>
      </w:r>
      <w:r w:rsidR="540FACC1" w:rsidRPr="00226F9D">
        <w:rPr>
          <w:rFonts w:ascii="Times New Roman" w:eastAsia="Times New Roman" w:hAnsi="Times New Roman" w:cs="Times New Roman"/>
          <w:lang w:val="sr-Cyrl-RS"/>
        </w:rPr>
        <w:t>Његова</w:t>
      </w:r>
      <w:r w:rsidRPr="00226F9D">
        <w:rPr>
          <w:rFonts w:ascii="Times New Roman" w:eastAsia="Times New Roman" w:hAnsi="Times New Roman" w:cs="Times New Roman"/>
          <w:lang w:val="sr-Cyrl-RS"/>
        </w:rPr>
        <w:t xml:space="preserve"> примена доприноси бољем разумевању и унапређењу јавних услуга, као и јачању поверења грађана у рад локалне управе. Имајући у виду потенцијал који Регистар пружа, неопходно је наставити активности усмерене ка уносу изворних поступака свих ЈЛС у Регистар административних поступака,</w:t>
      </w:r>
      <w:r w:rsidRPr="00226F9D">
        <w:rPr>
          <w:rFonts w:ascii="Times New Roman" w:eastAsia="Calibri" w:hAnsi="Times New Roman" w:cs="Times New Roman"/>
          <w:lang w:val="sr-Cyrl-RS"/>
        </w:rPr>
        <w:t xml:space="preserve"> </w:t>
      </w:r>
      <w:r w:rsidR="1C4FF700" w:rsidRPr="00226F9D">
        <w:rPr>
          <w:rFonts w:ascii="Times New Roman" w:eastAsia="Calibri" w:hAnsi="Times New Roman" w:cs="Times New Roman"/>
          <w:lang w:val="sr-Cyrl-RS"/>
        </w:rPr>
        <w:t xml:space="preserve">у </w:t>
      </w:r>
      <w:r w:rsidRPr="00226F9D">
        <w:rPr>
          <w:rFonts w:ascii="Times New Roman" w:eastAsia="Calibri" w:hAnsi="Times New Roman" w:cs="Times New Roman"/>
          <w:lang w:val="sr-Cyrl-RS"/>
        </w:rPr>
        <w:t>к</w:t>
      </w:r>
      <w:r w:rsidRPr="00226F9D">
        <w:rPr>
          <w:rFonts w:ascii="Times New Roman" w:eastAsia="Times New Roman" w:hAnsi="Times New Roman" w:cs="Times New Roman"/>
          <w:lang w:val="sr-Cyrl-RS"/>
        </w:rPr>
        <w:t xml:space="preserve">оординацији са министарствима у попису поверених административних поступака који се спроводе на нивоу ЈЛС, као и даљем поједностављењу, обједињавању и уједначавању административних поступака у оквиру изворних надлежности ЈЛС. Анализа података из Регистра може послужити као основа за системско </w:t>
      </w:r>
      <w:r w:rsidRPr="00226F9D">
        <w:rPr>
          <w:rFonts w:ascii="Times New Roman" w:eastAsia="Calibri" w:hAnsi="Times New Roman" w:cs="Times New Roman"/>
          <w:lang w:val="sr-Cyrl-RS"/>
        </w:rPr>
        <w:t xml:space="preserve">унапређење локалне управе, кроз стандардизацију поступака, смањење административног оптерећења и унапређење корисничког искуства. Позитивни резултати су препознати и у извештајима СИГМА-е, која је високо оценила досадашње напоре и задовољство корисника услуга, док је сам Регистар административних </w:t>
      </w:r>
      <w:r w:rsidR="3A17535F" w:rsidRPr="00226F9D">
        <w:rPr>
          <w:rFonts w:ascii="Times New Roman" w:eastAsia="Calibri" w:hAnsi="Times New Roman" w:cs="Times New Roman"/>
          <w:lang w:val="sr-Cyrl-RS"/>
        </w:rPr>
        <w:t>поступака</w:t>
      </w:r>
      <w:r w:rsidRPr="00226F9D">
        <w:rPr>
          <w:rFonts w:ascii="Times New Roman" w:eastAsia="Calibri" w:hAnsi="Times New Roman" w:cs="Times New Roman"/>
          <w:lang w:val="sr-Cyrl-RS"/>
        </w:rPr>
        <w:t xml:space="preserve"> освојио Европску награду за јавни сектор за иновације у јавном сектору. Ипак, наводи се и да би Регистар постигао свој пун потенцијал уколико би, поред </w:t>
      </w:r>
      <w:r w:rsidRPr="00226F9D">
        <w:rPr>
          <w:rFonts w:ascii="Times New Roman" w:eastAsia="Calibri" w:hAnsi="Times New Roman" w:cs="Times New Roman"/>
          <w:lang w:val="sr-Cyrl-RS"/>
        </w:rPr>
        <w:lastRenderedPageBreak/>
        <w:t>информација о услугама у стандардизованом и једноставном формату, приказивао и податке о учинку услуга, односно степену задовољства корисника.</w:t>
      </w:r>
      <w:r w:rsidR="00EC5F6D" w:rsidRPr="00226F9D">
        <w:rPr>
          <w:rStyle w:val="FootnoteReference"/>
          <w:rFonts w:ascii="Times New Roman" w:hAnsi="Times New Roman" w:cs="Times New Roman"/>
        </w:rPr>
        <w:footnoteReference w:id="60"/>
      </w:r>
    </w:p>
    <w:p w14:paraId="1BC1D230" w14:textId="77777777" w:rsidR="00EC5F6D" w:rsidRPr="00226F9D" w:rsidRDefault="00EC5F6D" w:rsidP="006B59F4">
      <w:pPr>
        <w:spacing w:after="0" w:line="240" w:lineRule="auto"/>
        <w:jc w:val="both"/>
        <w:rPr>
          <w:rFonts w:ascii="Times New Roman" w:eastAsia="Calibri" w:hAnsi="Times New Roman" w:cs="Times New Roman"/>
          <w:lang w:val="sr-Cyrl-RS"/>
        </w:rPr>
      </w:pPr>
    </w:p>
    <w:p w14:paraId="5D6E3D91" w14:textId="65E12CAE" w:rsidR="00B34F75" w:rsidRPr="00226F9D" w:rsidRDefault="001A71BD"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Када је реч о поступању ЛС</w:t>
      </w:r>
      <w:r w:rsidR="00D77CD2" w:rsidRPr="00226F9D">
        <w:rPr>
          <w:rFonts w:ascii="Times New Roman" w:eastAsia="Calibri" w:hAnsi="Times New Roman" w:cs="Times New Roman"/>
          <w:lang w:val="sr-Cyrl-RS"/>
        </w:rPr>
        <w:t>,</w:t>
      </w:r>
      <w:r w:rsidRPr="00226F9D">
        <w:rPr>
          <w:rFonts w:ascii="Times New Roman" w:eastAsia="Calibri" w:hAnsi="Times New Roman" w:cs="Times New Roman"/>
          <w:lang w:val="sr-Cyrl-RS"/>
        </w:rPr>
        <w:t xml:space="preserve"> евидентна</w:t>
      </w:r>
      <w:r w:rsidR="00EC5F6D" w:rsidRPr="00226F9D">
        <w:rPr>
          <w:rFonts w:ascii="Times New Roman" w:eastAsia="Calibri" w:hAnsi="Times New Roman" w:cs="Times New Roman"/>
          <w:lang w:val="sr-Cyrl-RS"/>
        </w:rPr>
        <w:t xml:space="preserve"> је даља потреба одржавања и развоја Јединственог пописа послова на локалном нивоу који обезбеђује </w:t>
      </w:r>
      <w:r w:rsidR="00D33C0D" w:rsidRPr="00226F9D">
        <w:rPr>
          <w:rFonts w:ascii="Times New Roman" w:eastAsia="Calibri" w:hAnsi="Times New Roman" w:cs="Times New Roman"/>
          <w:lang w:val="sr-Cyrl-RS"/>
        </w:rPr>
        <w:t xml:space="preserve">МДУЛС </w:t>
      </w:r>
      <w:r w:rsidR="00EC5F6D" w:rsidRPr="00226F9D">
        <w:rPr>
          <w:rFonts w:ascii="Times New Roman" w:eastAsia="Calibri" w:hAnsi="Times New Roman" w:cs="Times New Roman"/>
          <w:lang w:val="sr-Cyrl-RS"/>
        </w:rPr>
        <w:t xml:space="preserve"> на основу података добијених од ЈЛС и органа државне управе. </w:t>
      </w:r>
      <w:r w:rsidR="001B731B" w:rsidRPr="00226F9D">
        <w:rPr>
          <w:rFonts w:ascii="Times New Roman" w:eastAsia="Calibri" w:hAnsi="Times New Roman" w:cs="Times New Roman"/>
          <w:lang w:val="sr-Cyrl-RS"/>
        </w:rPr>
        <w:t>Овај важан алат за праћење надлежности и послова ЈЛС је потребно даље унапређивати и ажурирати</w:t>
      </w:r>
      <w:r w:rsidR="005D1193" w:rsidRPr="00226F9D">
        <w:rPr>
          <w:rFonts w:ascii="Times New Roman" w:eastAsia="Calibri" w:hAnsi="Times New Roman" w:cs="Times New Roman"/>
          <w:lang w:val="sr-Cyrl-RS"/>
        </w:rPr>
        <w:t>. У</w:t>
      </w:r>
      <w:r w:rsidR="001B731B" w:rsidRPr="00226F9D">
        <w:rPr>
          <w:rFonts w:ascii="Times New Roman" w:eastAsia="Calibri" w:hAnsi="Times New Roman" w:cs="Times New Roman"/>
          <w:lang w:val="sr-Cyrl-RS"/>
        </w:rPr>
        <w:t xml:space="preserve"> том смислу </w:t>
      </w:r>
      <w:r w:rsidR="005D1193" w:rsidRPr="00226F9D">
        <w:rPr>
          <w:rFonts w:ascii="Times New Roman" w:eastAsia="Calibri" w:hAnsi="Times New Roman" w:cs="Times New Roman"/>
          <w:lang w:val="sr-Cyrl-RS"/>
        </w:rPr>
        <w:t xml:space="preserve">нови кораци треба да буду у правцу </w:t>
      </w:r>
      <w:r w:rsidR="001B731B" w:rsidRPr="00226F9D">
        <w:rPr>
          <w:rFonts w:ascii="Times New Roman" w:eastAsia="Calibri" w:hAnsi="Times New Roman" w:cs="Times New Roman"/>
          <w:lang w:val="sr-Cyrl-RS"/>
        </w:rPr>
        <w:t>формирањ</w:t>
      </w:r>
      <w:r w:rsidR="005D1193" w:rsidRPr="00226F9D">
        <w:rPr>
          <w:rFonts w:ascii="Times New Roman" w:eastAsia="Calibri" w:hAnsi="Times New Roman" w:cs="Times New Roman"/>
          <w:lang w:val="sr-Cyrl-RS"/>
        </w:rPr>
        <w:t>а</w:t>
      </w:r>
      <w:r w:rsidR="001B731B" w:rsidRPr="00226F9D">
        <w:rPr>
          <w:rFonts w:ascii="Times New Roman" w:eastAsia="Calibri" w:hAnsi="Times New Roman" w:cs="Times New Roman"/>
          <w:lang w:val="sr-Cyrl-RS"/>
        </w:rPr>
        <w:t xml:space="preserve"> дигиталне платформе за одржавање Јединственог пописа послова на локалном нивоу и праћење његове реализације. Формирање дигиталне платформе омогућ</w:t>
      </w:r>
      <w:r w:rsidR="00A42D87" w:rsidRPr="00226F9D">
        <w:rPr>
          <w:rFonts w:ascii="Times New Roman" w:eastAsia="Calibri" w:hAnsi="Times New Roman" w:cs="Times New Roman"/>
          <w:lang w:val="sr-Cyrl-RS"/>
        </w:rPr>
        <w:t>ило би</w:t>
      </w:r>
      <w:r w:rsidR="00EC5F6D" w:rsidRPr="00226F9D">
        <w:rPr>
          <w:rFonts w:ascii="Times New Roman" w:eastAsia="Calibri" w:hAnsi="Times New Roman" w:cs="Times New Roman"/>
          <w:lang w:val="sr-Cyrl-RS"/>
        </w:rPr>
        <w:t xml:space="preserve"> значајно унапређење транспарентности и координације у раду локалне самоуправе, а централизована база података о пословима омогућава лак приступ информацијама свим релевантним актерима, укључујући јавна предузећа, институције и грађане, чиме се подстиче одговорност и јавни увид у реализацију задатака. Повезивањем различитих служби и институција, олакшава се координација и праћење међусобно зависних активности, чиме се унапређује укупна ефикасност и квалитет јавних услуга на локалном нивоу. </w:t>
      </w:r>
    </w:p>
    <w:p w14:paraId="70B17880" w14:textId="2AE65690" w:rsidR="001B731B" w:rsidRPr="00226F9D" w:rsidRDefault="001B731B"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У сврху унапређења капацитета локалне самоуправе за пружање управних услуга,  закључно са 202</w:t>
      </w:r>
      <w:r w:rsidR="001606EA" w:rsidRPr="00226F9D">
        <w:rPr>
          <w:rFonts w:ascii="Times New Roman" w:eastAsia="Calibri" w:hAnsi="Times New Roman" w:cs="Times New Roman"/>
          <w:lang w:val="sr-Cyrl-RS"/>
        </w:rPr>
        <w:t>5</w:t>
      </w:r>
      <w:r w:rsidRPr="00226F9D">
        <w:rPr>
          <w:rFonts w:ascii="Times New Roman" w:eastAsia="Calibri" w:hAnsi="Times New Roman" w:cs="Times New Roman"/>
          <w:lang w:val="sr-Cyrl-RS"/>
        </w:rPr>
        <w:t xml:space="preserve">. годином ради </w:t>
      </w:r>
      <w:r w:rsidR="001606EA" w:rsidRPr="00226F9D">
        <w:rPr>
          <w:rFonts w:ascii="Times New Roman" w:eastAsia="Calibri" w:hAnsi="Times New Roman" w:cs="Times New Roman"/>
          <w:lang w:val="sr-Cyrl-RS"/>
        </w:rPr>
        <w:t>70</w:t>
      </w:r>
      <w:r w:rsidRPr="00226F9D">
        <w:rPr>
          <w:rFonts w:ascii="Times New Roman" w:eastAsia="Calibri" w:hAnsi="Times New Roman" w:cs="Times New Roman"/>
          <w:lang w:val="sr-Cyrl-RS"/>
        </w:rPr>
        <w:t xml:space="preserve"> јединствених управних места, </w:t>
      </w:r>
      <w:r w:rsidR="00675CF5" w:rsidRPr="00226F9D">
        <w:rPr>
          <w:rFonts w:ascii="Times New Roman" w:eastAsia="Calibri" w:hAnsi="Times New Roman" w:cs="Times New Roman"/>
          <w:lang w:val="sr-Cyrl-RS"/>
        </w:rPr>
        <w:t>што представља један од нај</w:t>
      </w:r>
      <w:r w:rsidR="000602DB" w:rsidRPr="00226F9D">
        <w:rPr>
          <w:rFonts w:ascii="Times New Roman" w:eastAsia="Calibri" w:hAnsi="Times New Roman" w:cs="Times New Roman"/>
          <w:lang w:val="sr-Cyrl-RS"/>
        </w:rPr>
        <w:t>бољ</w:t>
      </w:r>
      <w:r w:rsidR="00FA2BA2" w:rsidRPr="00226F9D">
        <w:rPr>
          <w:rFonts w:ascii="Times New Roman" w:eastAsia="Calibri" w:hAnsi="Times New Roman" w:cs="Times New Roman"/>
          <w:lang w:val="sr-Cyrl-RS"/>
        </w:rPr>
        <w:t xml:space="preserve">е остварених </w:t>
      </w:r>
      <w:r w:rsidR="00402808" w:rsidRPr="00226F9D">
        <w:rPr>
          <w:rFonts w:ascii="Times New Roman" w:eastAsia="Calibri" w:hAnsi="Times New Roman" w:cs="Times New Roman"/>
          <w:lang w:val="sr-Cyrl-RS"/>
        </w:rPr>
        <w:t xml:space="preserve">резултата обзиром </w:t>
      </w:r>
      <w:r w:rsidR="00411DBF" w:rsidRPr="00226F9D">
        <w:rPr>
          <w:rFonts w:ascii="Times New Roman" w:eastAsia="Calibri" w:hAnsi="Times New Roman" w:cs="Times New Roman"/>
          <w:lang w:val="sr-Cyrl-RS"/>
        </w:rPr>
        <w:t>да је планирани показатељ</w:t>
      </w:r>
      <w:r w:rsidR="00402808" w:rsidRPr="00226F9D">
        <w:rPr>
          <w:rFonts w:ascii="Times New Roman" w:eastAsia="Calibri" w:hAnsi="Times New Roman" w:cs="Times New Roman"/>
          <w:lang w:val="sr-Cyrl-RS"/>
        </w:rPr>
        <w:t xml:space="preserve"> </w:t>
      </w:r>
      <w:r w:rsidR="00FA2BA2" w:rsidRPr="00226F9D">
        <w:rPr>
          <w:rFonts w:ascii="Times New Roman" w:eastAsia="Calibri" w:hAnsi="Times New Roman" w:cs="Times New Roman"/>
          <w:lang w:val="sr-Cyrl-RS"/>
        </w:rPr>
        <w:t>далеко превазиђен (39)</w:t>
      </w:r>
      <w:r w:rsidRPr="00226F9D">
        <w:rPr>
          <w:rFonts w:ascii="Times New Roman" w:eastAsia="Calibri" w:hAnsi="Times New Roman" w:cs="Times New Roman"/>
          <w:lang w:val="sr-Cyrl-RS"/>
        </w:rPr>
        <w:t>.</w:t>
      </w:r>
      <w:r w:rsidR="00D45948" w:rsidRPr="00226F9D">
        <w:rPr>
          <w:rFonts w:ascii="Times New Roman" w:eastAsia="Calibri" w:hAnsi="Times New Roman" w:cs="Times New Roman"/>
          <w:lang w:val="sr-Cyrl-RS"/>
        </w:rPr>
        <w:t xml:space="preserve"> Успостављање Јединствених управних места на локалном нивоу представља стратешки корак ка модернизацији рада локалне самоуправе, унапређењу комуникације са грађанима и повећању ефикасности кроз рационализацију процедура, као и уштеду времена и финансијских средстава за грађане.</w:t>
      </w:r>
      <w:r w:rsidR="00AA2F0A" w:rsidRPr="00226F9D">
        <w:rPr>
          <w:rFonts w:ascii="Times New Roman" w:eastAsia="Calibri" w:hAnsi="Times New Roman" w:cs="Times New Roman"/>
          <w:lang w:val="sr-Cyrl-RS"/>
        </w:rPr>
        <w:t xml:space="preserve"> </w:t>
      </w:r>
      <w:r w:rsidR="00971C50" w:rsidRPr="00226F9D">
        <w:rPr>
          <w:rFonts w:ascii="Times New Roman" w:eastAsia="Calibri" w:hAnsi="Times New Roman" w:cs="Times New Roman"/>
          <w:lang w:val="sr-Cyrl-RS"/>
        </w:rPr>
        <w:t>Увођењу ЈУМ-ова на локалном нивоу је претходила</w:t>
      </w:r>
      <w:r w:rsidRPr="00226F9D">
        <w:rPr>
          <w:rFonts w:ascii="Times New Roman" w:eastAsia="Calibri" w:hAnsi="Times New Roman" w:cs="Times New Roman"/>
          <w:lang w:val="sr-Cyrl-RS"/>
        </w:rPr>
        <w:t xml:space="preserve"> значајна подршка </w:t>
      </w:r>
      <w:r w:rsidR="00971C50" w:rsidRPr="00226F9D">
        <w:rPr>
          <w:rFonts w:ascii="Times New Roman" w:eastAsia="Calibri" w:hAnsi="Times New Roman" w:cs="Times New Roman"/>
          <w:lang w:val="sr-Cyrl-RS"/>
        </w:rPr>
        <w:t>кроз</w:t>
      </w:r>
      <w:r w:rsidRPr="00226F9D">
        <w:rPr>
          <w:rFonts w:ascii="Times New Roman" w:eastAsia="Calibri" w:hAnsi="Times New Roman" w:cs="Times New Roman"/>
          <w:lang w:val="sr-Cyrl-RS"/>
        </w:rPr>
        <w:t xml:space="preserve"> идентификациј</w:t>
      </w:r>
      <w:r w:rsidR="00971C50" w:rsidRPr="00226F9D">
        <w:rPr>
          <w:rFonts w:ascii="Times New Roman" w:eastAsia="Calibri" w:hAnsi="Times New Roman" w:cs="Times New Roman"/>
          <w:lang w:val="sr-Cyrl-RS"/>
        </w:rPr>
        <w:t>у</w:t>
      </w:r>
      <w:r w:rsidRPr="00226F9D">
        <w:rPr>
          <w:rFonts w:ascii="Times New Roman" w:eastAsia="Calibri" w:hAnsi="Times New Roman" w:cs="Times New Roman"/>
          <w:lang w:val="sr-Cyrl-RS"/>
        </w:rPr>
        <w:t xml:space="preserve"> могућих поступака и органа/служби чије поступање би могло да се обухвати организовањем јединственог управног места у оквиру локалне самоуправе, </w:t>
      </w:r>
      <w:r w:rsidR="00B46823" w:rsidRPr="00226F9D">
        <w:rPr>
          <w:rFonts w:ascii="Times New Roman" w:eastAsia="Calibri" w:hAnsi="Times New Roman" w:cs="Times New Roman"/>
          <w:lang w:val="sr-Cyrl-RS"/>
        </w:rPr>
        <w:t>израду</w:t>
      </w:r>
      <w:r w:rsidRPr="00226F9D">
        <w:rPr>
          <w:rFonts w:ascii="Times New Roman" w:eastAsia="Calibri" w:hAnsi="Times New Roman" w:cs="Times New Roman"/>
          <w:lang w:val="sr-Cyrl-RS"/>
        </w:rPr>
        <w:t xml:space="preserve"> </w:t>
      </w:r>
      <w:r w:rsidR="00B46823" w:rsidRPr="00226F9D">
        <w:rPr>
          <w:rFonts w:ascii="Times New Roman" w:eastAsia="Calibri" w:hAnsi="Times New Roman" w:cs="Times New Roman"/>
          <w:lang w:val="sr-Cyrl-RS"/>
        </w:rPr>
        <w:t>модела</w:t>
      </w:r>
      <w:r w:rsidRPr="00226F9D">
        <w:rPr>
          <w:rFonts w:ascii="Times New Roman" w:eastAsia="Calibri" w:hAnsi="Times New Roman" w:cs="Times New Roman"/>
          <w:lang w:val="sr-Cyrl-RS"/>
        </w:rPr>
        <w:t xml:space="preserve"> одлуке о успостављању ЈУМ-а, </w:t>
      </w:r>
      <w:r w:rsidR="00B46823" w:rsidRPr="00226F9D">
        <w:rPr>
          <w:rFonts w:ascii="Times New Roman" w:eastAsia="Calibri" w:hAnsi="Times New Roman" w:cs="Times New Roman"/>
          <w:lang w:val="sr-Cyrl-RS"/>
        </w:rPr>
        <w:t>модела</w:t>
      </w:r>
      <w:r w:rsidRPr="00226F9D">
        <w:rPr>
          <w:rFonts w:ascii="Times New Roman" w:eastAsia="Calibri" w:hAnsi="Times New Roman" w:cs="Times New Roman"/>
          <w:lang w:val="sr-Cyrl-RS"/>
        </w:rPr>
        <w:t xml:space="preserve"> споразума о сарадњи и процедура за комуникацију и размену података/документације са другим органима, организовање </w:t>
      </w:r>
      <w:r w:rsidR="00B46823" w:rsidRPr="00226F9D">
        <w:rPr>
          <w:rFonts w:ascii="Times New Roman" w:eastAsia="Calibri" w:hAnsi="Times New Roman" w:cs="Times New Roman"/>
          <w:lang w:val="sr-Cyrl-RS"/>
        </w:rPr>
        <w:t>бројних</w:t>
      </w:r>
      <w:r w:rsidRPr="00226F9D">
        <w:rPr>
          <w:rFonts w:ascii="Times New Roman" w:eastAsia="Calibri" w:hAnsi="Times New Roman" w:cs="Times New Roman"/>
          <w:lang w:val="sr-Cyrl-RS"/>
        </w:rPr>
        <w:t xml:space="preserve"> обука и радионица и пружање других видова саветодавне подршке за успостављање ЈУМ-а, укључујући и прилагођавање процедура тестираним моделима. </w:t>
      </w:r>
      <w:r w:rsidR="002325D4" w:rsidRPr="00226F9D">
        <w:rPr>
          <w:rFonts w:ascii="Times New Roman" w:eastAsia="Calibri" w:hAnsi="Times New Roman" w:cs="Times New Roman"/>
          <w:lang w:val="sr-Cyrl-RS"/>
        </w:rPr>
        <w:t>Објективно посматрано,</w:t>
      </w:r>
      <w:r w:rsidR="00B46823" w:rsidRPr="00226F9D" w:rsidDel="002325D4">
        <w:rPr>
          <w:rFonts w:ascii="Times New Roman" w:eastAsia="Calibri" w:hAnsi="Times New Roman" w:cs="Times New Roman"/>
          <w:lang w:val="sr-Cyrl-RS"/>
        </w:rPr>
        <w:t xml:space="preserve"> </w:t>
      </w:r>
      <w:r w:rsidR="0019412E" w:rsidRPr="00226F9D">
        <w:rPr>
          <w:rFonts w:ascii="Times New Roman" w:eastAsia="Calibri" w:hAnsi="Times New Roman" w:cs="Times New Roman"/>
          <w:lang w:val="sr-Cyrl-RS"/>
        </w:rPr>
        <w:t xml:space="preserve">остварени резултати </w:t>
      </w:r>
      <w:r w:rsidR="002325D4" w:rsidRPr="00226F9D">
        <w:rPr>
          <w:rFonts w:ascii="Times New Roman" w:eastAsia="Calibri" w:hAnsi="Times New Roman" w:cs="Times New Roman"/>
          <w:lang w:val="sr-Cyrl-RS"/>
        </w:rPr>
        <w:t xml:space="preserve">су </w:t>
      </w:r>
      <w:r w:rsidR="0019412E" w:rsidRPr="00226F9D">
        <w:rPr>
          <w:rFonts w:ascii="Times New Roman" w:eastAsia="Calibri" w:hAnsi="Times New Roman" w:cs="Times New Roman"/>
          <w:lang w:val="sr-Cyrl-RS"/>
        </w:rPr>
        <w:t>довели до значајног унапређења рада градских/општинских управа</w:t>
      </w:r>
      <w:r w:rsidR="00642A41" w:rsidRPr="00226F9D">
        <w:rPr>
          <w:rFonts w:ascii="Times New Roman" w:eastAsia="Calibri" w:hAnsi="Times New Roman" w:cs="Times New Roman"/>
          <w:lang w:val="sr-Cyrl-RS"/>
        </w:rPr>
        <w:t xml:space="preserve">, </w:t>
      </w:r>
      <w:r w:rsidR="002325D4" w:rsidRPr="00226F9D">
        <w:rPr>
          <w:rFonts w:ascii="Times New Roman" w:eastAsia="Calibri" w:hAnsi="Times New Roman" w:cs="Times New Roman"/>
          <w:lang w:val="sr-Cyrl-RS"/>
        </w:rPr>
        <w:t>те</w:t>
      </w:r>
      <w:r w:rsidRPr="00226F9D">
        <w:rPr>
          <w:rFonts w:ascii="Times New Roman" w:eastAsia="Calibri" w:hAnsi="Times New Roman" w:cs="Times New Roman"/>
          <w:lang w:val="sr-Cyrl-RS"/>
        </w:rPr>
        <w:t xml:space="preserve"> је</w:t>
      </w:r>
      <w:r w:rsidR="001C7740" w:rsidRPr="00226F9D">
        <w:rPr>
          <w:rFonts w:ascii="Times New Roman" w:eastAsia="Calibri" w:hAnsi="Times New Roman" w:cs="Times New Roman"/>
          <w:lang w:val="sr-Cyrl-RS"/>
        </w:rPr>
        <w:t xml:space="preserve"> потребно наставити са даљом афирмацијом ЈУМ-а као ефикасног механизма који грађанима омогућава једноставније, брже и транспарентније остваривање</w:t>
      </w:r>
      <w:r w:rsidR="001C7740" w:rsidRPr="00226F9D" w:rsidDel="002325D4">
        <w:rPr>
          <w:rFonts w:ascii="Times New Roman" w:eastAsia="Calibri" w:hAnsi="Times New Roman" w:cs="Times New Roman"/>
          <w:lang w:val="sr-Cyrl-RS"/>
        </w:rPr>
        <w:t xml:space="preserve"> </w:t>
      </w:r>
      <w:r w:rsidR="001C7740" w:rsidRPr="00226F9D">
        <w:rPr>
          <w:rFonts w:ascii="Times New Roman" w:eastAsia="Calibri" w:hAnsi="Times New Roman" w:cs="Times New Roman"/>
          <w:lang w:val="sr-Cyrl-RS"/>
        </w:rPr>
        <w:t>права у поступцима пред органима јавне управе.</w:t>
      </w:r>
    </w:p>
    <w:p w14:paraId="6368CCB2" w14:textId="1620E6B9" w:rsidR="001B731B" w:rsidRPr="00226F9D" w:rsidRDefault="001B731B" w:rsidP="006B59F4">
      <w:pPr>
        <w:spacing w:after="0" w:line="240" w:lineRule="auto"/>
        <w:jc w:val="both"/>
        <w:rPr>
          <w:rFonts w:ascii="Times New Roman" w:eastAsia="Calibri" w:hAnsi="Times New Roman" w:cs="Times New Roman"/>
          <w:lang w:val="sr-Cyrl-RS"/>
        </w:rPr>
      </w:pPr>
    </w:p>
    <w:p w14:paraId="4681AECB" w14:textId="7D2919E8" w:rsidR="001B731B" w:rsidRPr="00226F9D" w:rsidRDefault="002E687C" w:rsidP="006B59F4">
      <w:pPr>
        <w:spacing w:after="0" w:line="240" w:lineRule="auto"/>
        <w:jc w:val="both"/>
        <w:rPr>
          <w:rFonts w:ascii="Times New Roman" w:eastAsia="Times New Roman" w:hAnsi="Times New Roman" w:cs="Times New Roman"/>
          <w:lang w:val="sr-Cyrl-RS"/>
        </w:rPr>
      </w:pPr>
      <w:r w:rsidRPr="00226F9D">
        <w:rPr>
          <w:rFonts w:ascii="Times New Roman" w:eastAsia="Times New Roman" w:hAnsi="Times New Roman" w:cs="Times New Roman"/>
          <w:lang w:val="sr-Cyrl-RS"/>
        </w:rPr>
        <w:t>Планиране активности на изради анализе капацитета ЈЛС за увођење е-управе у циљу формирања ИКТ међуопштинских  центара за подршку/координацију/унапређење електронске управе и подршка за пилотирање једног међуопштинског ИКТ центра за координацију и унапређење е-управе нису спроведене с обзиром да средства за спровођење ових активности нису обезбеђена</w:t>
      </w:r>
      <w:r w:rsidR="00E76A92" w:rsidRPr="00226F9D">
        <w:rPr>
          <w:rFonts w:ascii="Times New Roman" w:eastAsia="Times New Roman" w:hAnsi="Times New Roman" w:cs="Times New Roman"/>
          <w:lang w:val="sr-Cyrl-RS"/>
        </w:rPr>
        <w:t xml:space="preserve"> током спровођења ПР</w:t>
      </w:r>
      <w:r w:rsidR="00AD12EB" w:rsidRPr="00226F9D">
        <w:rPr>
          <w:rFonts w:ascii="Times New Roman" w:eastAsia="Times New Roman" w:hAnsi="Times New Roman" w:cs="Times New Roman"/>
          <w:lang w:val="sr-Cyrl-RS"/>
        </w:rPr>
        <w:t>С</w:t>
      </w:r>
      <w:r w:rsidR="00E76A92" w:rsidRPr="00226F9D">
        <w:rPr>
          <w:rFonts w:ascii="Times New Roman" w:eastAsia="Times New Roman" w:hAnsi="Times New Roman" w:cs="Times New Roman"/>
          <w:lang w:val="sr-Cyrl-RS"/>
        </w:rPr>
        <w:t>ЛС 2021-2025. Иако ове важне активности нису спроведене</w:t>
      </w:r>
      <w:r w:rsidR="004D172A" w:rsidRPr="00226F9D">
        <w:rPr>
          <w:rFonts w:ascii="Times New Roman" w:eastAsia="Times New Roman" w:hAnsi="Times New Roman" w:cs="Times New Roman"/>
          <w:lang w:val="sr-Cyrl-RS"/>
        </w:rPr>
        <w:t>,</w:t>
      </w:r>
      <w:r w:rsidR="00E76A92" w:rsidRPr="00226F9D">
        <w:rPr>
          <w:rFonts w:ascii="Times New Roman" w:eastAsia="Times New Roman" w:hAnsi="Times New Roman" w:cs="Times New Roman"/>
          <w:lang w:val="sr-Cyrl-RS"/>
        </w:rPr>
        <w:t xml:space="preserve"> треба истаћи да су и</w:t>
      </w:r>
      <w:r w:rsidR="001B731B" w:rsidRPr="00226F9D">
        <w:rPr>
          <w:rFonts w:ascii="Times New Roman" w:eastAsia="Times New Roman" w:hAnsi="Times New Roman" w:cs="Times New Roman"/>
          <w:lang w:val="sr-Cyrl-RS"/>
        </w:rPr>
        <w:t xml:space="preserve">нформације о јавним услугама у Србији доступне на Порталу еУправа и у онлајн Регистру административних поступака (РАП), где су организоване по тематским областима и животним догађајима. </w:t>
      </w:r>
      <w:r w:rsidR="00DA0E3B" w:rsidRPr="00226F9D">
        <w:rPr>
          <w:rFonts w:ascii="Times New Roman" w:eastAsia="Times New Roman" w:hAnsi="Times New Roman" w:cs="Times New Roman"/>
          <w:lang w:val="sr-Cyrl-RS"/>
        </w:rPr>
        <w:t xml:space="preserve">Такође, </w:t>
      </w:r>
      <w:r w:rsidR="00A42D87" w:rsidRPr="00226F9D">
        <w:rPr>
          <w:rFonts w:ascii="Times New Roman" w:eastAsia="Times New Roman" w:hAnsi="Times New Roman" w:cs="Times New Roman"/>
          <w:lang w:val="sr-Cyrl-RS"/>
        </w:rPr>
        <w:t xml:space="preserve">Република </w:t>
      </w:r>
      <w:r w:rsidR="001B731B" w:rsidRPr="00226F9D">
        <w:rPr>
          <w:rFonts w:ascii="Times New Roman" w:eastAsia="Times New Roman" w:hAnsi="Times New Roman" w:cs="Times New Roman"/>
          <w:lang w:val="sr-Cyrl-RS"/>
        </w:rPr>
        <w:t>Србија располаже стабилним правним и политичким оквиром за пружање више</w:t>
      </w:r>
      <w:r w:rsidR="00A42D87" w:rsidRPr="00226F9D">
        <w:rPr>
          <w:rFonts w:ascii="Times New Roman" w:eastAsia="Times New Roman" w:hAnsi="Times New Roman" w:cs="Times New Roman"/>
          <w:lang w:val="sr-Cyrl-RS"/>
        </w:rPr>
        <w:t>-</w:t>
      </w:r>
      <w:r w:rsidR="001B731B" w:rsidRPr="00226F9D">
        <w:rPr>
          <w:rFonts w:ascii="Times New Roman" w:eastAsia="Times New Roman" w:hAnsi="Times New Roman" w:cs="Times New Roman"/>
          <w:lang w:val="sr-Cyrl-RS"/>
        </w:rPr>
        <w:t xml:space="preserve">каналних услуга, </w:t>
      </w:r>
      <w:r w:rsidR="00301CE8" w:rsidRPr="00226F9D">
        <w:rPr>
          <w:rFonts w:ascii="Times New Roman" w:eastAsia="Times New Roman" w:hAnsi="Times New Roman" w:cs="Times New Roman"/>
          <w:lang w:val="sr-Cyrl-RS"/>
        </w:rPr>
        <w:t>при чему је</w:t>
      </w:r>
      <w:r w:rsidR="00AD12EB" w:rsidRPr="00226F9D">
        <w:rPr>
          <w:rFonts w:ascii="Times New Roman" w:eastAsia="Times New Roman" w:hAnsi="Times New Roman" w:cs="Times New Roman"/>
          <w:lang w:val="sr-Cyrl-RS"/>
        </w:rPr>
        <w:t>,</w:t>
      </w:r>
      <w:r w:rsidR="001B731B" w:rsidRPr="00226F9D">
        <w:rPr>
          <w:rFonts w:ascii="Times New Roman" w:eastAsia="Times New Roman" w:hAnsi="Times New Roman" w:cs="Times New Roman"/>
          <w:lang w:val="sr-Cyrl-RS"/>
        </w:rPr>
        <w:t xml:space="preserve"> у складу са Законом о општем управном поступку</w:t>
      </w:r>
      <w:r w:rsidR="00AD12EB" w:rsidRPr="00226F9D">
        <w:rPr>
          <w:rFonts w:ascii="Times New Roman" w:eastAsia="Times New Roman" w:hAnsi="Times New Roman" w:cs="Times New Roman"/>
          <w:lang w:val="sr-Cyrl-RS"/>
        </w:rPr>
        <w:t xml:space="preserve">, </w:t>
      </w:r>
      <w:r w:rsidR="001B731B" w:rsidRPr="00226F9D">
        <w:rPr>
          <w:rFonts w:ascii="Times New Roman" w:eastAsia="Times New Roman" w:hAnsi="Times New Roman" w:cs="Times New Roman"/>
          <w:lang w:val="sr-Cyrl-RS"/>
        </w:rPr>
        <w:t xml:space="preserve">електронска комуникација равноправна комуникацији на папиру. Платформа за интероперабилност бележи значајан напредак – током 2024. године било је повезано 500 централних органа јавне управе, а број трансакција је порастао шест пута у односу на 2021. годину. Ипак, упркос овим позитивним трендовима, повезивање и дигитална трансформација на нивоу локалних самоуправа нису у истој мери развијени као у централним органима. Да би се обезбедила равномерна доступност и квалитет јавних услуга за све грађане, неопходно је наставити са улагањима у развој локалних дигиталних услуга. Интероперабилност, као кључни механизам за директан приступ подацима између различитих </w:t>
      </w:r>
      <w:r w:rsidR="001B731B" w:rsidRPr="00226F9D">
        <w:rPr>
          <w:rFonts w:ascii="Times New Roman" w:eastAsia="Times New Roman" w:hAnsi="Times New Roman" w:cs="Times New Roman"/>
          <w:lang w:val="sr-Cyrl-RS"/>
        </w:rPr>
        <w:lastRenderedPageBreak/>
        <w:t xml:space="preserve">сектора и организационих јединица јавне управе, мора бити проширена и на локални ниво. То ће омогућити ефикаснију интеракцију грађана и привреде са управом, смањити административна оптерећења и унапредити укупно корисничко искуство. </w:t>
      </w:r>
    </w:p>
    <w:p w14:paraId="781B6B53" w14:textId="77777777" w:rsidR="001B731B" w:rsidRPr="00226F9D" w:rsidRDefault="001B731B" w:rsidP="006B59F4">
      <w:pPr>
        <w:spacing w:after="0" w:line="240" w:lineRule="auto"/>
        <w:jc w:val="both"/>
        <w:rPr>
          <w:rFonts w:ascii="Times New Roman" w:eastAsia="Times New Roman" w:hAnsi="Times New Roman" w:cs="Times New Roman"/>
          <w:lang w:val="sr-Cyrl-RS"/>
        </w:rPr>
      </w:pPr>
    </w:p>
    <w:p w14:paraId="4EF1373A" w14:textId="2129EE9E" w:rsidR="001B731B" w:rsidRPr="00226F9D" w:rsidRDefault="001B731B" w:rsidP="006B59F4">
      <w:pPr>
        <w:spacing w:after="0" w:line="240" w:lineRule="auto"/>
        <w:jc w:val="both"/>
        <w:rPr>
          <w:rFonts w:ascii="Times New Roman" w:eastAsia="Times New Roman" w:hAnsi="Times New Roman" w:cs="Times New Roman"/>
          <w:lang w:val="sr-Cyrl-RS"/>
        </w:rPr>
      </w:pPr>
      <w:r w:rsidRPr="00226F9D">
        <w:rPr>
          <w:rFonts w:ascii="Times New Roman" w:eastAsia="Times New Roman" w:hAnsi="Times New Roman" w:cs="Times New Roman"/>
          <w:lang w:val="sr-Cyrl-RS"/>
        </w:rPr>
        <w:t>Јачање управљачке одговорности представља важан елемент унапређења ефикасности и транспарентности рада ЈЛС. У том циљу</w:t>
      </w:r>
      <w:r w:rsidR="00DA0E3B" w:rsidRPr="00226F9D">
        <w:rPr>
          <w:rFonts w:ascii="Times New Roman" w:eastAsia="Times New Roman" w:hAnsi="Times New Roman" w:cs="Times New Roman"/>
          <w:lang w:val="sr-Cyrl-RS"/>
        </w:rPr>
        <w:t xml:space="preserve"> у периоду 2021-2025. година</w:t>
      </w:r>
      <w:r w:rsidRPr="00226F9D">
        <w:rPr>
          <w:rFonts w:ascii="Times New Roman" w:eastAsia="Times New Roman" w:hAnsi="Times New Roman" w:cs="Times New Roman"/>
          <w:lang w:val="sr-Cyrl-RS"/>
        </w:rPr>
        <w:t xml:space="preserve"> реализован је сет активности усмерених на развој капацитета запослених и руководилаца, кроз 50 тематских тренинга који су обухватили области као што су: увод у управљачку одговорност, израда и праћење годишњег плана рада управе, делегирање надлежности и одговорности, етика и интегритет у јавном сектору, као и развој организационе културе одговорности. Поред тога, одржано је 119 менторских сесија и две радионице узајамног стручног усавршавања, са укупно 503 учесника из различитих ЈЛС. Ове активности допринеле су бољем разумевању улоге руководилаца у процесима доношења одлука, као и изградњи система унутрашње одговорности и професионализма у раду локалне управе.</w:t>
      </w:r>
      <w:r w:rsidR="006A7FD7" w:rsidRPr="00226F9D">
        <w:rPr>
          <w:rFonts w:ascii="Times New Roman" w:hAnsi="Times New Roman" w:cs="Times New Roman"/>
          <w:lang w:val="sr-Cyrl-RS"/>
        </w:rPr>
        <w:t xml:space="preserve"> </w:t>
      </w:r>
      <w:r w:rsidR="006A7FD7" w:rsidRPr="00226F9D">
        <w:rPr>
          <w:rFonts w:ascii="Times New Roman" w:eastAsia="Times New Roman" w:hAnsi="Times New Roman" w:cs="Times New Roman"/>
          <w:lang w:val="sr-Cyrl-RS"/>
        </w:rPr>
        <w:t>У сарадњи са НАЈУ, РЕЛОФ3 пројекат развио је онлајн програм стручног усавршавања ”Одговорност на делу – како увести концепт управљачке одговорности у ЈЛС” који је уврштен у годишњи програм обука за руководиоце. Додатно, у 10 система ЈЛС пружени су тренинзи и интензивни менторинг на тему унапређења управљачке одговорности и линија одговорности. РЕЛОФ3 је пружио и тренинге и менторинг јавним предузећима на тему корпоративног управљања.</w:t>
      </w:r>
    </w:p>
    <w:p w14:paraId="0EC188E6" w14:textId="77777777" w:rsidR="00DC7D94" w:rsidRPr="00226F9D" w:rsidRDefault="00DC7D94" w:rsidP="006B59F4">
      <w:pPr>
        <w:spacing w:after="0" w:line="240" w:lineRule="auto"/>
        <w:jc w:val="both"/>
        <w:rPr>
          <w:rFonts w:ascii="Times New Roman" w:eastAsia="Calibri" w:hAnsi="Times New Roman" w:cs="Times New Roman"/>
          <w:lang w:val="sr-Cyrl-RS"/>
        </w:rPr>
      </w:pPr>
    </w:p>
    <w:p w14:paraId="78212060" w14:textId="40495CA2" w:rsidR="001B731B" w:rsidRPr="00226F9D" w:rsidRDefault="00DC7D94"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А</w:t>
      </w:r>
      <w:r w:rsidR="001B731B" w:rsidRPr="00226F9D">
        <w:rPr>
          <w:rFonts w:ascii="Times New Roman" w:eastAsia="Calibri" w:hAnsi="Times New Roman" w:cs="Times New Roman"/>
          <w:lang w:val="sr-Cyrl-RS"/>
        </w:rPr>
        <w:t xml:space="preserve">ктивности које се односе на унапређење локалних јавних услуга кроз локални економски развој и примену модела </w:t>
      </w:r>
      <w:r w:rsidR="006415F4" w:rsidRPr="00226F9D">
        <w:rPr>
          <w:rFonts w:ascii="Times New Roman" w:eastAsia="Calibri" w:hAnsi="Times New Roman" w:cs="Times New Roman"/>
          <w:lang w:val="sr-Cyrl-RS"/>
        </w:rPr>
        <w:t>ЈПП</w:t>
      </w:r>
      <w:r w:rsidR="001B731B"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које су планиране током ПР</w:t>
      </w:r>
      <w:r w:rsidR="000C226F" w:rsidRPr="00226F9D">
        <w:rPr>
          <w:rFonts w:ascii="Times New Roman" w:eastAsia="Calibri" w:hAnsi="Times New Roman" w:cs="Times New Roman"/>
          <w:lang w:val="sr-Cyrl-RS"/>
        </w:rPr>
        <w:t>С</w:t>
      </w:r>
      <w:r w:rsidRPr="00226F9D">
        <w:rPr>
          <w:rFonts w:ascii="Times New Roman" w:eastAsia="Calibri" w:hAnsi="Times New Roman" w:cs="Times New Roman"/>
          <w:lang w:val="sr-Cyrl-RS"/>
        </w:rPr>
        <w:t>ЛС 2021-2025, су у највећој мери</w:t>
      </w:r>
      <w:r w:rsidR="001B731B" w:rsidRPr="00226F9D">
        <w:rPr>
          <w:rFonts w:ascii="Times New Roman" w:eastAsia="Calibri" w:hAnsi="Times New Roman" w:cs="Times New Roman"/>
          <w:lang w:val="sr-Cyrl-RS"/>
        </w:rPr>
        <w:t xml:space="preserve"> завршене</w:t>
      </w:r>
      <w:r w:rsidR="00F01A19" w:rsidRPr="00226F9D">
        <w:rPr>
          <w:rFonts w:ascii="Times New Roman" w:eastAsia="Calibri" w:hAnsi="Times New Roman" w:cs="Times New Roman"/>
          <w:lang w:val="sr-Cyrl-RS"/>
        </w:rPr>
        <w:t>,</w:t>
      </w:r>
      <w:r w:rsidR="001B731B" w:rsidRPr="00226F9D">
        <w:rPr>
          <w:rFonts w:ascii="Times New Roman" w:eastAsia="Calibri" w:hAnsi="Times New Roman" w:cs="Times New Roman"/>
          <w:lang w:val="sr-Cyrl-RS"/>
        </w:rPr>
        <w:t xml:space="preserve"> односно </w:t>
      </w:r>
      <w:r w:rsidRPr="00226F9D">
        <w:rPr>
          <w:rFonts w:ascii="Times New Roman" w:eastAsia="Calibri" w:hAnsi="Times New Roman" w:cs="Times New Roman"/>
          <w:lang w:val="sr-Cyrl-RS"/>
        </w:rPr>
        <w:t>показатељи програма у овој области су</w:t>
      </w:r>
      <w:r w:rsidR="001B731B" w:rsidRPr="00226F9D">
        <w:rPr>
          <w:rFonts w:ascii="Times New Roman" w:eastAsia="Calibri" w:hAnsi="Times New Roman" w:cs="Times New Roman"/>
          <w:lang w:val="sr-Cyrl-RS"/>
        </w:rPr>
        <w:t xml:space="preserve"> остварен</w:t>
      </w:r>
      <w:r w:rsidRPr="00226F9D">
        <w:rPr>
          <w:rFonts w:ascii="Times New Roman" w:eastAsia="Calibri" w:hAnsi="Times New Roman" w:cs="Times New Roman"/>
          <w:lang w:val="sr-Cyrl-RS"/>
        </w:rPr>
        <w:t>и</w:t>
      </w:r>
      <w:r w:rsidR="001B731B" w:rsidRPr="00226F9D">
        <w:rPr>
          <w:rFonts w:ascii="Times New Roman" w:eastAsia="Calibri" w:hAnsi="Times New Roman" w:cs="Times New Roman"/>
          <w:lang w:val="sr-Cyrl-RS"/>
        </w:rPr>
        <w:t xml:space="preserve"> или значајно превазиђен</w:t>
      </w:r>
      <w:r w:rsidRPr="00226F9D">
        <w:rPr>
          <w:rFonts w:ascii="Times New Roman" w:eastAsia="Calibri" w:hAnsi="Times New Roman" w:cs="Times New Roman"/>
          <w:lang w:val="sr-Cyrl-RS"/>
        </w:rPr>
        <w:t>и</w:t>
      </w:r>
      <w:r w:rsidR="001B731B" w:rsidRPr="00226F9D">
        <w:rPr>
          <w:rFonts w:ascii="Times New Roman" w:eastAsia="Calibri" w:hAnsi="Times New Roman" w:cs="Times New Roman"/>
          <w:lang w:val="sr-Cyrl-RS"/>
        </w:rPr>
        <w:t xml:space="preserve">. Пружена је значајна подршка ЈЛС у спровођењу активности у области ЛЕР-а (саветодавна  и менторска подршка, умрежавање и размена знања, регионалне радионице, израда инструктивних материјала, стручна подршка за израду Програма за ЛЕР, и др.). Такође, континуирано су одржавани састанци са ЈЛС у циљу пружања подршке у свим фазама припреме и реализације пројеката ЈПП, а Комисија за јавно приватно партнерство је израдила и Приручник ради информисања и лакше реализације пројеката ЈПП који је јавно доступан и налази се на </w:t>
      </w:r>
      <w:r w:rsidR="0070186E" w:rsidRPr="00226F9D">
        <w:rPr>
          <w:rFonts w:ascii="Times New Roman" w:eastAsia="Calibri" w:hAnsi="Times New Roman" w:cs="Times New Roman"/>
          <w:lang w:val="sr-Cyrl-RS"/>
        </w:rPr>
        <w:t>интернет домену</w:t>
      </w:r>
      <w:r w:rsidR="001B731B" w:rsidRPr="00226F9D">
        <w:rPr>
          <w:rFonts w:ascii="Times New Roman" w:eastAsia="Calibri" w:hAnsi="Times New Roman" w:cs="Times New Roman"/>
          <w:lang w:val="sr-Cyrl-RS"/>
        </w:rPr>
        <w:t xml:space="preserve"> Комисије. Измене и допуне Закона о јавно-приватном партнерству и концесијама биле су у припреми у циљу пуне хармонизације нормативног оквира са директивама Европске уније 2014/23/ЕУ и 2014/24/ЕУ, али њихова реализација није спроведена.</w:t>
      </w:r>
    </w:p>
    <w:p w14:paraId="388A23E1" w14:textId="77777777" w:rsidR="0070186E" w:rsidRPr="00226F9D" w:rsidRDefault="0070186E" w:rsidP="006B59F4">
      <w:pPr>
        <w:spacing w:after="0" w:line="240" w:lineRule="auto"/>
        <w:jc w:val="both"/>
        <w:rPr>
          <w:rFonts w:ascii="Times New Roman" w:eastAsia="Calibri" w:hAnsi="Times New Roman" w:cs="Times New Roman"/>
          <w:lang w:val="sr-Cyrl-RS"/>
        </w:rPr>
      </w:pPr>
    </w:p>
    <w:p w14:paraId="6534DAA0" w14:textId="6A91CA8C" w:rsidR="0070186E" w:rsidRPr="00226F9D" w:rsidRDefault="0070186E" w:rsidP="006B59F4">
      <w:pPr>
        <w:spacing w:after="0" w:line="240" w:lineRule="auto"/>
        <w:jc w:val="both"/>
        <w:rPr>
          <w:rFonts w:ascii="Times New Roman" w:eastAsia="Times New Roman" w:hAnsi="Times New Roman" w:cs="Times New Roman"/>
          <w:lang w:val="sr-Cyrl-RS"/>
        </w:rPr>
      </w:pPr>
      <w:r w:rsidRPr="00226F9D">
        <w:rPr>
          <w:rFonts w:ascii="Times New Roman" w:eastAsia="Calibri" w:hAnsi="Times New Roman" w:cs="Times New Roman"/>
          <w:lang w:val="sr-Cyrl-RS"/>
        </w:rPr>
        <w:t>Област комуналних делатности у правном систему Републике Србије регулисана је великим бројем прописа, међу којима централно место заузима Закон о комуналним делатностима</w:t>
      </w:r>
      <w:r w:rsidR="00FE3C3B" w:rsidRPr="00226F9D">
        <w:rPr>
          <w:rStyle w:val="FootnoteReference"/>
          <w:rFonts w:ascii="Times New Roman" w:eastAsia="Calibri" w:hAnsi="Times New Roman" w:cs="Times New Roman"/>
          <w:lang w:val="sr-Cyrl-RS"/>
        </w:rPr>
        <w:footnoteReference w:id="61"/>
      </w:r>
      <w:r w:rsidRPr="00226F9D">
        <w:rPr>
          <w:rFonts w:ascii="Times New Roman" w:eastAsia="Calibri" w:hAnsi="Times New Roman" w:cs="Times New Roman"/>
          <w:lang w:val="sr-Cyrl-RS"/>
        </w:rPr>
        <w:t xml:space="preserve">. Поред њега, примену у овој области имају и прописи који се односе на јавна предузећа, јавно-приватно партнерство и концесије, улагања, средства у својини Републике Србије, локалну самоуправу, главни град, енергетику, управљање отпадом, водама, путевима, сахрањивање и гробља, трговину, одржавање стамбених зграда, јавне набавке, страна улагања и друге области. </w:t>
      </w:r>
      <w:r w:rsidR="000C0FF4" w:rsidRPr="00226F9D">
        <w:rPr>
          <w:rFonts w:ascii="Times New Roman" w:eastAsia="Calibri" w:hAnsi="Times New Roman" w:cs="Times New Roman"/>
          <w:lang w:val="sr-Cyrl-RS"/>
        </w:rPr>
        <w:t>Током спровођења претходног ПР</w:t>
      </w:r>
      <w:r w:rsidR="000C226F" w:rsidRPr="00226F9D">
        <w:rPr>
          <w:rFonts w:ascii="Times New Roman" w:eastAsia="Calibri" w:hAnsi="Times New Roman" w:cs="Times New Roman"/>
          <w:lang w:val="sr-Cyrl-RS"/>
        </w:rPr>
        <w:t>С</w:t>
      </w:r>
      <w:r w:rsidR="000C0FF4" w:rsidRPr="00226F9D">
        <w:rPr>
          <w:rFonts w:ascii="Times New Roman" w:eastAsia="Calibri" w:hAnsi="Times New Roman" w:cs="Times New Roman"/>
          <w:lang w:val="sr-Cyrl-RS"/>
        </w:rPr>
        <w:t xml:space="preserve">ЛС-а, у овој области локалних услуга остварене су значајне активности и резултати. Свакако највећи успех јесу </w:t>
      </w:r>
      <w:r w:rsidRPr="00226F9D">
        <w:rPr>
          <w:rFonts w:ascii="Times New Roman" w:eastAsia="Calibri" w:hAnsi="Times New Roman" w:cs="Times New Roman"/>
          <w:lang w:val="sr-Cyrl-RS"/>
        </w:rPr>
        <w:t>измене и допуне Закона о комуналним делатностима, усвојене током 2024. године</w:t>
      </w:r>
      <w:r w:rsidR="00EE66B0" w:rsidRPr="00226F9D">
        <w:rPr>
          <w:rFonts w:ascii="Times New Roman" w:eastAsia="Calibri" w:hAnsi="Times New Roman" w:cs="Times New Roman"/>
          <w:lang w:val="sr-Cyrl-RS"/>
        </w:rPr>
        <w:t>. Измене и допуне овог важног прописа</w:t>
      </w:r>
      <w:r w:rsidR="00404A28" w:rsidRPr="00226F9D">
        <w:rPr>
          <w:rFonts w:ascii="Times New Roman" w:eastAsia="Calibri" w:hAnsi="Times New Roman" w:cs="Times New Roman"/>
          <w:lang w:val="sr-Cyrl-RS"/>
        </w:rPr>
        <w:t xml:space="preserve"> </w:t>
      </w:r>
      <w:r w:rsidRPr="00226F9D">
        <w:rPr>
          <w:rFonts w:ascii="Times New Roman" w:eastAsia="Calibri" w:hAnsi="Times New Roman" w:cs="Times New Roman"/>
          <w:lang w:val="sr-Cyrl-RS"/>
        </w:rPr>
        <w:t xml:space="preserve">имају за циљ унапређење ефикасности, квалитета, правне сигурности и рационалности у обављању комуналних услуга, као и решавање проблема преклапања надлежности инспекцијских органа, односно унапређење поступка надзора. Проблеми у вршењу комуналних делатности најчешће се односе на недостатак стручног кадра, посебно у делатностима које захтевају инжењерску и технолошку стручност, као и на застарелу опрему и недовољне техничке капацитете. У том контексту, Закон предвиђа инструмент заједничког обављања или уступања комуналне </w:t>
      </w:r>
      <w:r w:rsidRPr="00226F9D">
        <w:rPr>
          <w:rFonts w:ascii="Times New Roman" w:eastAsia="Calibri" w:hAnsi="Times New Roman" w:cs="Times New Roman"/>
          <w:lang w:val="sr-Cyrl-RS"/>
        </w:rPr>
        <w:lastRenderedPageBreak/>
        <w:t>делатности, што треба да допринесе развоју, унапређењу и економичнијем обављању комуналних услуга, као и њиховој доступности. Уведена је и методологија за утврђивање цена комуналних услуга по јединственим принципима и правилима</w:t>
      </w:r>
      <w:r w:rsidR="00EE66B0" w:rsidRPr="00226F9D">
        <w:rPr>
          <w:rFonts w:ascii="Times New Roman" w:eastAsia="Calibri" w:hAnsi="Times New Roman" w:cs="Times New Roman"/>
          <w:lang w:val="sr-Cyrl-RS"/>
        </w:rPr>
        <w:t>, коју ће примењивати ЈЛС након што се изради подзаконски акт који ће уредити њен садржај</w:t>
      </w:r>
      <w:r w:rsidRPr="00226F9D">
        <w:rPr>
          <w:rFonts w:ascii="Times New Roman" w:eastAsia="Calibri" w:hAnsi="Times New Roman" w:cs="Times New Roman"/>
          <w:lang w:val="sr-Cyrl-RS"/>
        </w:rPr>
        <w:t xml:space="preserve">. Такође, </w:t>
      </w:r>
      <w:r w:rsidR="00773A12" w:rsidRPr="00226F9D">
        <w:rPr>
          <w:rFonts w:ascii="Times New Roman" w:eastAsia="Calibri" w:hAnsi="Times New Roman" w:cs="Times New Roman"/>
          <w:lang w:val="sr-Cyrl-RS"/>
        </w:rPr>
        <w:t xml:space="preserve">сада </w:t>
      </w:r>
      <w:r w:rsidRPr="00226F9D">
        <w:rPr>
          <w:rFonts w:ascii="Times New Roman" w:eastAsia="Calibri" w:hAnsi="Times New Roman" w:cs="Times New Roman"/>
          <w:lang w:val="sr-Cyrl-RS"/>
        </w:rPr>
        <w:t xml:space="preserve">локалне самоуправе имају обавезу да доносе Програм изградње комуналне инфраструктуре као основу за дугорочно одрживо планирање комуналних система,  и </w:t>
      </w:r>
      <w:r w:rsidR="00773A12" w:rsidRPr="00226F9D">
        <w:rPr>
          <w:rFonts w:ascii="Times New Roman" w:eastAsia="Calibri" w:hAnsi="Times New Roman" w:cs="Times New Roman"/>
          <w:lang w:val="sr-Cyrl-RS"/>
        </w:rPr>
        <w:t xml:space="preserve"> да припремају </w:t>
      </w:r>
      <w:r w:rsidRPr="00226F9D">
        <w:rPr>
          <w:rFonts w:ascii="Times New Roman" w:eastAsia="Calibri" w:hAnsi="Times New Roman" w:cs="Times New Roman"/>
          <w:lang w:val="sr-Cyrl-RS"/>
        </w:rPr>
        <w:t>Извештај о обављању комуналних делатности, на основу којих Министарство грађевинарства, саобраћаја и инфраструктуре стиче увид у квалитет и обухват пружања услуга, ефикасност вршилаца делатности, кретање цена, број запослених и ниво улагања у инфраструктуру. Министарство о својим налазима годишње обавештава Владу и јавност кроз сумарни извештај</w:t>
      </w:r>
      <w:r w:rsidRPr="00226F9D">
        <w:rPr>
          <w:rFonts w:ascii="Times New Roman" w:eastAsiaTheme="minorEastAsia" w:hAnsi="Times New Roman" w:cs="Times New Roman"/>
          <w:lang w:val="sr-Cyrl-RS"/>
        </w:rPr>
        <w:t>.</w:t>
      </w:r>
    </w:p>
    <w:p w14:paraId="37B41DDE" w14:textId="77777777" w:rsidR="0070186E" w:rsidRPr="00226F9D" w:rsidRDefault="0070186E" w:rsidP="006B59F4">
      <w:pPr>
        <w:spacing w:after="0" w:line="240" w:lineRule="auto"/>
        <w:jc w:val="both"/>
        <w:rPr>
          <w:rFonts w:ascii="Times New Roman" w:eastAsia="Calibri" w:hAnsi="Times New Roman" w:cs="Times New Roman"/>
          <w:lang w:val="sr-Cyrl-RS"/>
        </w:rPr>
      </w:pPr>
    </w:p>
    <w:p w14:paraId="2A9B89EE" w14:textId="390FE061" w:rsidR="0070186E" w:rsidRPr="00226F9D" w:rsidRDefault="00BA17D8"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Реформе у овој области је потребно наставити у </w:t>
      </w:r>
      <w:r w:rsidR="0070186E" w:rsidRPr="00226F9D">
        <w:rPr>
          <w:rFonts w:ascii="Times New Roman" w:eastAsia="Calibri" w:hAnsi="Times New Roman" w:cs="Times New Roman"/>
          <w:lang w:val="sr-Cyrl-RS"/>
        </w:rPr>
        <w:t>циљу ефективне имплементације новог законског оквира</w:t>
      </w:r>
      <w:r w:rsidRPr="00226F9D">
        <w:rPr>
          <w:rFonts w:ascii="Times New Roman" w:eastAsia="Calibri" w:hAnsi="Times New Roman" w:cs="Times New Roman"/>
          <w:lang w:val="sr-Cyrl-RS"/>
        </w:rPr>
        <w:t>. У</w:t>
      </w:r>
      <w:r w:rsidR="0070186E" w:rsidRPr="00226F9D">
        <w:rPr>
          <w:rFonts w:ascii="Times New Roman" w:eastAsia="Calibri" w:hAnsi="Times New Roman" w:cs="Times New Roman"/>
          <w:lang w:val="sr-Cyrl-RS"/>
        </w:rPr>
        <w:t xml:space="preserve"> првом реду </w:t>
      </w:r>
      <w:r w:rsidRPr="00226F9D">
        <w:rPr>
          <w:rFonts w:ascii="Times New Roman" w:eastAsia="Calibri" w:hAnsi="Times New Roman" w:cs="Times New Roman"/>
          <w:lang w:val="sr-Cyrl-RS"/>
        </w:rPr>
        <w:t>неопходна је израда</w:t>
      </w:r>
      <w:r w:rsidR="0070186E" w:rsidRPr="00226F9D">
        <w:rPr>
          <w:rFonts w:ascii="Times New Roman" w:eastAsia="Calibri" w:hAnsi="Times New Roman" w:cs="Times New Roman"/>
          <w:lang w:val="sr-Cyrl-RS"/>
        </w:rPr>
        <w:t xml:space="preserve"> подзаконског акта који уређује методологију за формирање цена комуналних услуга и подзаконског акта који ближе прописује садржину и начин доношења програма изградње и одржавања комуналне инфраструктуре. Обзиром на измене системског прописа који уређује комуналне делатности, као и примену застарелог прописа о гробљима и сахрањивању, </w:t>
      </w:r>
      <w:r w:rsidR="002F2ABE" w:rsidRPr="00226F9D">
        <w:rPr>
          <w:rFonts w:ascii="Times New Roman" w:eastAsia="Calibri" w:hAnsi="Times New Roman" w:cs="Times New Roman"/>
          <w:lang w:val="sr-Cyrl-RS"/>
        </w:rPr>
        <w:t>треба</w:t>
      </w:r>
      <w:r w:rsidR="0070186E" w:rsidRPr="00226F9D">
        <w:rPr>
          <w:rFonts w:ascii="Times New Roman" w:eastAsia="Calibri" w:hAnsi="Times New Roman" w:cs="Times New Roman"/>
          <w:lang w:val="sr-Cyrl-RS"/>
        </w:rPr>
        <w:t xml:space="preserve"> приступити </w:t>
      </w:r>
      <w:r w:rsidR="002F2ABE" w:rsidRPr="00226F9D">
        <w:rPr>
          <w:rFonts w:ascii="Times New Roman" w:eastAsia="Calibri" w:hAnsi="Times New Roman" w:cs="Times New Roman"/>
          <w:lang w:val="sr-Cyrl-RS"/>
        </w:rPr>
        <w:t xml:space="preserve">и </w:t>
      </w:r>
      <w:r w:rsidR="0070186E" w:rsidRPr="00226F9D">
        <w:rPr>
          <w:rFonts w:ascii="Times New Roman" w:eastAsia="Calibri" w:hAnsi="Times New Roman" w:cs="Times New Roman"/>
          <w:lang w:val="sr-Cyrl-RS"/>
        </w:rPr>
        <w:t>изради новог Закона о гробљима и сахрањивању.</w:t>
      </w:r>
      <w:r w:rsidR="002F2ABE" w:rsidRPr="00226F9D">
        <w:rPr>
          <w:rFonts w:ascii="Times New Roman" w:eastAsia="Calibri" w:hAnsi="Times New Roman" w:cs="Times New Roman"/>
          <w:lang w:val="sr-Cyrl-RS"/>
        </w:rPr>
        <w:t xml:space="preserve"> Након </w:t>
      </w:r>
      <w:r w:rsidR="0070186E" w:rsidRPr="00226F9D">
        <w:rPr>
          <w:rFonts w:ascii="Times New Roman" w:eastAsia="Calibri" w:hAnsi="Times New Roman" w:cs="Times New Roman"/>
          <w:lang w:val="sr-Cyrl-RS"/>
        </w:rPr>
        <w:t>доношења подзаконских аката</w:t>
      </w:r>
      <w:r w:rsidR="002F2ABE" w:rsidRPr="00226F9D">
        <w:rPr>
          <w:rFonts w:ascii="Times New Roman" w:eastAsia="Calibri" w:hAnsi="Times New Roman" w:cs="Times New Roman"/>
          <w:lang w:val="sr-Cyrl-RS"/>
        </w:rPr>
        <w:t xml:space="preserve"> биће потребна подршка локалним властима </w:t>
      </w:r>
      <w:r w:rsidR="009E0E54" w:rsidRPr="00226F9D">
        <w:rPr>
          <w:rFonts w:ascii="Times New Roman" w:eastAsia="Calibri" w:hAnsi="Times New Roman" w:cs="Times New Roman"/>
          <w:lang w:val="sr-Cyrl-RS"/>
        </w:rPr>
        <w:t xml:space="preserve">да примене нове важне одредбе овог системског Закона </w:t>
      </w:r>
      <w:r w:rsidR="0070186E" w:rsidRPr="00226F9D">
        <w:rPr>
          <w:rFonts w:ascii="Times New Roman" w:eastAsia="Calibri" w:hAnsi="Times New Roman" w:cs="Times New Roman"/>
          <w:lang w:val="sr-Cyrl-RS"/>
        </w:rPr>
        <w:t>(</w:t>
      </w:r>
      <w:r w:rsidR="006748C8" w:rsidRPr="00226F9D">
        <w:rPr>
          <w:rFonts w:ascii="Times New Roman" w:eastAsia="Calibri" w:hAnsi="Times New Roman" w:cs="Times New Roman"/>
          <w:lang w:val="sr-Cyrl-RS"/>
        </w:rPr>
        <w:t>кроз израду модела локалних аката и програма, израду инструктивних материјала и организацију обука, и др.).</w:t>
      </w:r>
    </w:p>
    <w:p w14:paraId="63E00176" w14:textId="481E67C9" w:rsidR="00291362" w:rsidRPr="00226F9D" w:rsidRDefault="00291362" w:rsidP="006B59F4">
      <w:pPr>
        <w:spacing w:after="0" w:line="240" w:lineRule="auto"/>
        <w:jc w:val="both"/>
        <w:rPr>
          <w:rFonts w:ascii="Times New Roman" w:eastAsia="Calibri" w:hAnsi="Times New Roman" w:cs="Times New Roman"/>
          <w:lang w:val="sr-Latn-RS"/>
        </w:rPr>
      </w:pPr>
    </w:p>
    <w:p w14:paraId="65D8C0A7" w14:textId="4763BDF4" w:rsidR="00BD0BD3" w:rsidRPr="00226F9D" w:rsidRDefault="00BD0BD3">
      <w:pPr>
        <w:rPr>
          <w:rFonts w:ascii="Times New Roman" w:eastAsia="Calibri" w:hAnsi="Times New Roman" w:cs="Times New Roman"/>
          <w:lang w:val="sr-Latn-RS"/>
        </w:rPr>
      </w:pPr>
      <w:r w:rsidRPr="00226F9D">
        <w:rPr>
          <w:rFonts w:ascii="Times New Roman" w:eastAsia="Calibri" w:hAnsi="Times New Roman" w:cs="Times New Roman"/>
          <w:lang w:val="sr-Latn-RS"/>
        </w:rPr>
        <w:br w:type="page"/>
      </w:r>
    </w:p>
    <w:p w14:paraId="342F090C" w14:textId="77777777" w:rsidR="00BD0BD3" w:rsidRPr="00226F9D" w:rsidRDefault="00BD0BD3" w:rsidP="00BD0BD3">
      <w:pPr>
        <w:rPr>
          <w:rFonts w:ascii="Times New Roman" w:hAnsi="Times New Roman" w:cs="Times New Roman"/>
          <w:lang w:val="sr-Cyrl-RS"/>
        </w:rPr>
      </w:pPr>
    </w:p>
    <w:p w14:paraId="0B7AF2B2" w14:textId="77777777" w:rsidR="00BD0BD3" w:rsidRPr="00226F9D" w:rsidRDefault="00BD0BD3" w:rsidP="00BD0BD3">
      <w:pPr>
        <w:rPr>
          <w:rFonts w:ascii="Times New Roman" w:hAnsi="Times New Roman" w:cs="Times New Roman"/>
          <w:lang w:val="sr-Cyrl-RS"/>
        </w:rPr>
      </w:pPr>
    </w:p>
    <w:p w14:paraId="6F1AFEC5" w14:textId="0D1D826D" w:rsidR="00291362" w:rsidRPr="00226F9D" w:rsidRDefault="00E847EF" w:rsidP="005B0999">
      <w:pPr>
        <w:pStyle w:val="Heading1"/>
        <w:rPr>
          <w:rFonts w:ascii="Times New Roman" w:hAnsi="Times New Roman" w:cs="Times New Roman"/>
        </w:rPr>
      </w:pPr>
      <w:bookmarkStart w:id="10" w:name="_Toc222753918"/>
      <w:r w:rsidRPr="00226F9D">
        <w:rPr>
          <w:rFonts w:ascii="Times New Roman" w:hAnsi="Times New Roman" w:cs="Times New Roman"/>
        </w:rPr>
        <w:t xml:space="preserve">III </w:t>
      </w:r>
      <w:r w:rsidR="00291362" w:rsidRPr="00226F9D">
        <w:rPr>
          <w:rFonts w:ascii="Times New Roman" w:hAnsi="Times New Roman" w:cs="Times New Roman"/>
        </w:rPr>
        <w:t>Визија</w:t>
      </w:r>
      <w:bookmarkEnd w:id="10"/>
    </w:p>
    <w:p w14:paraId="0162CE5B" w14:textId="77777777" w:rsidR="00291362" w:rsidRPr="00226F9D" w:rsidRDefault="00291362" w:rsidP="00090884">
      <w:pPr>
        <w:spacing w:after="0" w:line="240" w:lineRule="auto"/>
        <w:jc w:val="both"/>
        <w:rPr>
          <w:rFonts w:ascii="Times New Roman" w:hAnsi="Times New Roman" w:cs="Times New Roman"/>
          <w:sz w:val="22"/>
          <w:szCs w:val="22"/>
          <w:lang w:val="sr-Latn-RS"/>
        </w:rPr>
      </w:pPr>
    </w:p>
    <w:p w14:paraId="0587A52D" w14:textId="77777777" w:rsidR="00A36864" w:rsidRPr="00226F9D" w:rsidRDefault="00A36864" w:rsidP="00090884">
      <w:pPr>
        <w:spacing w:after="0" w:line="240" w:lineRule="auto"/>
        <w:jc w:val="both"/>
        <w:rPr>
          <w:rFonts w:ascii="Times New Roman" w:hAnsi="Times New Roman" w:cs="Times New Roman"/>
          <w:sz w:val="22"/>
          <w:szCs w:val="22"/>
          <w:lang w:val="sr-Latn-RS"/>
        </w:rPr>
      </w:pPr>
    </w:p>
    <w:p w14:paraId="79ACB1FD" w14:textId="77777777" w:rsidR="00291362" w:rsidRPr="00226F9D" w:rsidRDefault="00291362"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Визија ове реформе, као и у претходном </w:t>
      </w:r>
      <w:r w:rsidRPr="00226F9D">
        <w:rPr>
          <w:rFonts w:ascii="Times New Roman" w:eastAsia="Calibri" w:hAnsi="Times New Roman" w:cs="Times New Roman"/>
          <w:i/>
          <w:lang w:val="sr-Cyrl-RS"/>
        </w:rPr>
        <w:t>Програму</w:t>
      </w:r>
      <w:r w:rsidRPr="00226F9D">
        <w:rPr>
          <w:rFonts w:ascii="Times New Roman" w:eastAsia="Calibri" w:hAnsi="Times New Roman" w:cs="Times New Roman"/>
          <w:lang w:val="sr-Cyrl-RS"/>
        </w:rPr>
        <w:t xml:space="preserve"> јесте модерна, професионална, ефикасна и одговорна локална самоуправа. Локална самоуправа треба да буде у потпуности способна да ефективно спроводи изворне и поверене надлежности, финансијски што независнија и пружа квалитетне јавне услуге грађанима и привреди. Од јавне управе се очекује да примењује начела доброг управљања у свом раду и да својим деловањем унапређује квалитет живота грађана и доприноси равномерном развоју Републике Србије.</w:t>
      </w:r>
    </w:p>
    <w:p w14:paraId="57900F95" w14:textId="77777777" w:rsidR="00291362" w:rsidRPr="00226F9D" w:rsidRDefault="00291362" w:rsidP="00090884">
      <w:pPr>
        <w:spacing w:after="0" w:line="240" w:lineRule="auto"/>
        <w:jc w:val="both"/>
        <w:rPr>
          <w:rFonts w:ascii="Times New Roman" w:hAnsi="Times New Roman" w:cs="Times New Roman"/>
          <w:lang w:val="sr-Latn-RS"/>
        </w:rPr>
      </w:pPr>
    </w:p>
    <w:p w14:paraId="268A3BFC" w14:textId="2316541F" w:rsidR="00BD0BD3" w:rsidRPr="00226F9D" w:rsidRDefault="00BD0BD3">
      <w:pPr>
        <w:rPr>
          <w:rFonts w:ascii="Times New Roman" w:hAnsi="Times New Roman" w:cs="Times New Roman"/>
          <w:lang w:val="sr-Latn-RS"/>
        </w:rPr>
      </w:pPr>
      <w:r w:rsidRPr="00226F9D">
        <w:rPr>
          <w:rFonts w:ascii="Times New Roman" w:hAnsi="Times New Roman" w:cs="Times New Roman"/>
          <w:lang w:val="sr-Latn-RS"/>
        </w:rPr>
        <w:br w:type="page"/>
      </w:r>
    </w:p>
    <w:p w14:paraId="6C7AFFA7" w14:textId="77777777" w:rsidR="00BD0BD3" w:rsidRPr="00226F9D" w:rsidRDefault="00BD0BD3" w:rsidP="00BD0BD3">
      <w:pPr>
        <w:rPr>
          <w:rFonts w:ascii="Times New Roman" w:hAnsi="Times New Roman" w:cs="Times New Roman"/>
          <w:lang w:val="sr-Cyrl-RS"/>
        </w:rPr>
      </w:pPr>
    </w:p>
    <w:p w14:paraId="45AE8E85" w14:textId="77777777" w:rsidR="00BD0BD3" w:rsidRPr="00226F9D" w:rsidRDefault="00BD0BD3" w:rsidP="00BD0BD3">
      <w:pPr>
        <w:rPr>
          <w:rFonts w:ascii="Times New Roman" w:hAnsi="Times New Roman" w:cs="Times New Roman"/>
          <w:lang w:val="sr-Cyrl-RS"/>
        </w:rPr>
      </w:pPr>
    </w:p>
    <w:p w14:paraId="7D2F0C3E" w14:textId="071AA12C" w:rsidR="00291362" w:rsidRPr="00226F9D" w:rsidRDefault="00E847EF" w:rsidP="005B0999">
      <w:pPr>
        <w:pStyle w:val="Heading1"/>
        <w:rPr>
          <w:rFonts w:ascii="Times New Roman" w:hAnsi="Times New Roman" w:cs="Times New Roman"/>
        </w:rPr>
      </w:pPr>
      <w:bookmarkStart w:id="11" w:name="_Toc222753919"/>
      <w:r w:rsidRPr="00226F9D">
        <w:rPr>
          <w:rFonts w:ascii="Times New Roman" w:hAnsi="Times New Roman" w:cs="Times New Roman"/>
        </w:rPr>
        <w:t xml:space="preserve">IV </w:t>
      </w:r>
      <w:r w:rsidR="001566BA" w:rsidRPr="00226F9D">
        <w:rPr>
          <w:rFonts w:ascii="Times New Roman" w:hAnsi="Times New Roman" w:cs="Times New Roman"/>
        </w:rPr>
        <w:t>Општи циљ, п</w:t>
      </w:r>
      <w:r w:rsidR="00291362" w:rsidRPr="00226F9D">
        <w:rPr>
          <w:rFonts w:ascii="Times New Roman" w:hAnsi="Times New Roman" w:cs="Times New Roman"/>
        </w:rPr>
        <w:t>осебни циљеви и мере</w:t>
      </w:r>
      <w:bookmarkEnd w:id="11"/>
    </w:p>
    <w:p w14:paraId="7F4A8E06" w14:textId="77777777" w:rsidR="00291362" w:rsidRPr="00226F9D" w:rsidRDefault="00291362" w:rsidP="006B59F4">
      <w:pPr>
        <w:spacing w:after="0" w:line="240" w:lineRule="auto"/>
        <w:jc w:val="both"/>
        <w:rPr>
          <w:rFonts w:ascii="Times New Roman" w:eastAsia="Calibri" w:hAnsi="Times New Roman" w:cs="Times New Roman"/>
          <w:lang w:val="sr-Latn-RS"/>
        </w:rPr>
      </w:pPr>
    </w:p>
    <w:p w14:paraId="6D147626" w14:textId="77777777" w:rsidR="00A36864" w:rsidRPr="00226F9D" w:rsidRDefault="00A36864" w:rsidP="006B59F4">
      <w:pPr>
        <w:spacing w:after="0" w:line="240" w:lineRule="auto"/>
        <w:jc w:val="both"/>
        <w:rPr>
          <w:rFonts w:ascii="Times New Roman" w:eastAsia="Calibri" w:hAnsi="Times New Roman" w:cs="Times New Roman"/>
          <w:lang w:val="sr-Latn-RS"/>
        </w:rPr>
      </w:pPr>
    </w:p>
    <w:p w14:paraId="3BFFF32D" w14:textId="38B1707C" w:rsidR="00D55929" w:rsidRPr="00226F9D" w:rsidRDefault="00D55929" w:rsidP="006B59F4">
      <w:pPr>
        <w:spacing w:after="0" w:line="240" w:lineRule="auto"/>
        <w:jc w:val="both"/>
        <w:rPr>
          <w:rFonts w:ascii="Times New Roman" w:eastAsia="Calibri" w:hAnsi="Times New Roman" w:cs="Times New Roman"/>
          <w:lang w:val="sr-Latn-RS"/>
        </w:rPr>
      </w:pPr>
      <w:r w:rsidRPr="00226F9D">
        <w:rPr>
          <w:rFonts w:ascii="Times New Roman" w:eastAsia="Calibri" w:hAnsi="Times New Roman" w:cs="Times New Roman"/>
          <w:color w:val="000000"/>
          <w:kern w:val="0"/>
          <w:lang w:val="sr-Cyrl-RS"/>
          <w14:ligatures w14:val="none"/>
        </w:rPr>
        <w:t xml:space="preserve">Имајући у виду постизање ефеката и остварење резултата у претходном програмском периоду, потврђено </w:t>
      </w:r>
      <w:r w:rsidR="00451A9E" w:rsidRPr="00226F9D">
        <w:rPr>
          <w:rFonts w:ascii="Times New Roman" w:eastAsia="Calibri" w:hAnsi="Times New Roman" w:cs="Times New Roman"/>
          <w:color w:val="000000"/>
          <w:kern w:val="0"/>
          <w:lang w:val="sr-Cyrl-RS"/>
          <w14:ligatures w14:val="none"/>
        </w:rPr>
        <w:t xml:space="preserve">је </w:t>
      </w:r>
      <w:r w:rsidRPr="00226F9D">
        <w:rPr>
          <w:rFonts w:ascii="Times New Roman" w:eastAsia="Calibri" w:hAnsi="Times New Roman" w:cs="Times New Roman"/>
          <w:color w:val="000000"/>
          <w:kern w:val="0"/>
          <w:lang w:val="sr-Cyrl-RS"/>
          <w14:ligatures w14:val="none"/>
        </w:rPr>
        <w:t xml:space="preserve">да </w:t>
      </w:r>
      <w:r w:rsidR="00451A9E" w:rsidRPr="00226F9D">
        <w:rPr>
          <w:rFonts w:ascii="Times New Roman" w:eastAsia="Calibri" w:hAnsi="Times New Roman" w:cs="Times New Roman"/>
          <w:color w:val="000000"/>
          <w:kern w:val="0"/>
          <w:lang w:val="sr-Cyrl-RS"/>
          <w14:ligatures w14:val="none"/>
        </w:rPr>
        <w:t>претходно успостављен</w:t>
      </w:r>
      <w:r w:rsidR="00C83AFA" w:rsidRPr="00226F9D">
        <w:rPr>
          <w:rFonts w:ascii="Times New Roman" w:eastAsia="Calibri" w:hAnsi="Times New Roman" w:cs="Times New Roman"/>
          <w:color w:val="000000"/>
          <w:kern w:val="0"/>
          <w:lang w:val="sr-Cyrl-RS"/>
          <w14:ligatures w14:val="none"/>
        </w:rPr>
        <w:t xml:space="preserve">у </w:t>
      </w:r>
      <w:r w:rsidRPr="00226F9D">
        <w:rPr>
          <w:rFonts w:ascii="Times New Roman" w:eastAsia="Calibri" w:hAnsi="Times New Roman" w:cs="Times New Roman"/>
          <w:color w:val="000000"/>
          <w:kern w:val="0"/>
          <w:lang w:val="sr-Cyrl-RS"/>
          <w14:ligatures w14:val="none"/>
        </w:rPr>
        <w:t>основну структуру Програма</w:t>
      </w:r>
      <w:r w:rsidR="00C83AFA" w:rsidRPr="00226F9D">
        <w:rPr>
          <w:rFonts w:ascii="Times New Roman" w:eastAsia="Calibri" w:hAnsi="Times New Roman" w:cs="Times New Roman"/>
          <w:color w:val="000000"/>
          <w:kern w:val="0"/>
          <w:lang w:val="sr-Cyrl-RS"/>
          <w14:ligatures w14:val="none"/>
        </w:rPr>
        <w:t xml:space="preserve"> за реформу система локалне самоуправе</w:t>
      </w:r>
      <w:r w:rsidRPr="00226F9D">
        <w:rPr>
          <w:rFonts w:ascii="Times New Roman" w:eastAsia="Calibri" w:hAnsi="Times New Roman" w:cs="Times New Roman"/>
          <w:color w:val="000000"/>
          <w:kern w:val="0"/>
          <w:lang w:val="sr-Cyrl-RS"/>
          <w14:ligatures w14:val="none"/>
        </w:rPr>
        <w:t>, којим је дефинисан један општи и четири посебна циља, не треба мењати за наредни петогодишњи период.</w:t>
      </w:r>
    </w:p>
    <w:p w14:paraId="36C43E85" w14:textId="77777777" w:rsidR="002D1DC8" w:rsidRPr="00226F9D" w:rsidRDefault="002D1DC8" w:rsidP="006B59F4">
      <w:pPr>
        <w:spacing w:after="0" w:line="240" w:lineRule="auto"/>
        <w:jc w:val="both"/>
        <w:rPr>
          <w:rFonts w:ascii="Times New Roman" w:eastAsia="Calibri" w:hAnsi="Times New Roman" w:cs="Times New Roman"/>
          <w:lang w:val="sr-Cyrl-RS"/>
        </w:rPr>
      </w:pPr>
    </w:p>
    <w:p w14:paraId="6CB5D906" w14:textId="2BAE6200" w:rsidR="00B2766D" w:rsidRPr="00226F9D" w:rsidRDefault="00B2766D" w:rsidP="00711B88">
      <w:pPr>
        <w:pStyle w:val="Heading2"/>
        <w:numPr>
          <w:ilvl w:val="0"/>
          <w:numId w:val="29"/>
        </w:numPr>
        <w:rPr>
          <w:rFonts w:ascii="Times New Roman" w:hAnsi="Times New Roman" w:cs="Times New Roman"/>
        </w:rPr>
      </w:pPr>
      <w:bookmarkStart w:id="12" w:name="_Toc222753920"/>
      <w:r w:rsidRPr="00226F9D">
        <w:rPr>
          <w:rFonts w:ascii="Times New Roman" w:hAnsi="Times New Roman" w:cs="Times New Roman"/>
        </w:rPr>
        <w:t>Општи циљ</w:t>
      </w:r>
      <w:bookmarkEnd w:id="12"/>
      <w:r w:rsidRPr="00226F9D">
        <w:rPr>
          <w:rFonts w:ascii="Times New Roman" w:hAnsi="Times New Roman" w:cs="Times New Roman"/>
        </w:rPr>
        <w:t xml:space="preserve"> </w:t>
      </w:r>
    </w:p>
    <w:p w14:paraId="3254965A" w14:textId="77777777" w:rsidR="00B2766D" w:rsidRPr="00226F9D" w:rsidRDefault="00B2766D" w:rsidP="00090884">
      <w:pPr>
        <w:spacing w:after="0" w:line="240" w:lineRule="auto"/>
        <w:jc w:val="both"/>
        <w:rPr>
          <w:rFonts w:ascii="Times New Roman" w:eastAsia="Calibri" w:hAnsi="Times New Roman" w:cs="Times New Roman"/>
          <w:lang w:val="sr-Cyrl-RS"/>
        </w:rPr>
      </w:pPr>
    </w:p>
    <w:p w14:paraId="6A37837F" w14:textId="0014BDDC" w:rsidR="00291362" w:rsidRPr="00226F9D" w:rsidRDefault="00291362"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Општи циљ Програма за реформу система локалне самоуправе у Републици Србији утврђен је Стратегијом реформе јавне управе за период од 2021. до 2030. године, као Посебан циљ 8. и гласи: </w:t>
      </w:r>
      <w:r w:rsidRPr="00226F9D">
        <w:rPr>
          <w:rFonts w:ascii="Times New Roman" w:eastAsia="Calibri" w:hAnsi="Times New Roman" w:cs="Times New Roman"/>
          <w:i/>
          <w:lang w:val="sr-Cyrl-RS"/>
        </w:rPr>
        <w:t>Успостављање система локалне самоуправе који омогућава ефикасно и одрживо остваривање права грађана на локалну самоуправу.</w:t>
      </w:r>
      <w:r w:rsidRPr="00226F9D">
        <w:rPr>
          <w:rFonts w:ascii="Times New Roman" w:eastAsia="Calibri" w:hAnsi="Times New Roman" w:cs="Times New Roman"/>
          <w:lang w:val="sr-Cyrl-RS"/>
        </w:rPr>
        <w:t xml:space="preserve"> </w:t>
      </w:r>
    </w:p>
    <w:p w14:paraId="7F526354" w14:textId="77777777" w:rsidR="00E1593A" w:rsidRPr="00226F9D" w:rsidRDefault="00E1593A" w:rsidP="006B59F4">
      <w:pPr>
        <w:spacing w:after="0" w:line="240" w:lineRule="auto"/>
        <w:jc w:val="both"/>
        <w:rPr>
          <w:rFonts w:ascii="Times New Roman" w:eastAsia="Calibri" w:hAnsi="Times New Roman" w:cs="Times New Roman"/>
          <w:lang w:val="sr-Cyrl-RS"/>
        </w:rPr>
      </w:pPr>
    </w:p>
    <w:p w14:paraId="6EBCA123" w14:textId="77777777" w:rsidR="00291362" w:rsidRPr="00226F9D" w:rsidRDefault="00291362" w:rsidP="006B59F4">
      <w:pPr>
        <w:spacing w:after="0" w:line="240" w:lineRule="auto"/>
        <w:jc w:val="both"/>
        <w:rPr>
          <w:rFonts w:ascii="Times New Roman" w:hAnsi="Times New Roman" w:cs="Times New Roman"/>
          <w:color w:val="000000" w:themeColor="text1"/>
          <w:lang w:val="sr-Cyrl-RS" w:eastAsia="de-CH"/>
        </w:rPr>
      </w:pPr>
      <w:r w:rsidRPr="00226F9D">
        <w:rPr>
          <w:rFonts w:ascii="Times New Roman" w:hAnsi="Times New Roman" w:cs="Times New Roman"/>
          <w:color w:val="000000" w:themeColor="text1"/>
          <w:lang w:val="sr-Cyrl-RS" w:eastAsia="de-CH"/>
        </w:rPr>
        <w:t>Показатељи остварења општег циља Програма:</w:t>
      </w:r>
    </w:p>
    <w:p w14:paraId="363FE14F" w14:textId="77777777" w:rsidR="00E1593A" w:rsidRPr="00226F9D" w:rsidRDefault="00E1593A" w:rsidP="006B59F4">
      <w:pPr>
        <w:spacing w:after="0" w:line="240" w:lineRule="auto"/>
        <w:jc w:val="both"/>
        <w:rPr>
          <w:rFonts w:ascii="Times New Roman" w:hAnsi="Times New Roman" w:cs="Times New Roman"/>
          <w:color w:val="000000" w:themeColor="text1"/>
          <w:sz w:val="22"/>
          <w:szCs w:val="22"/>
          <w:lang w:val="sr-Cyrl-RS" w:eastAsia="de-CH"/>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AAFB4"/>
        <w:tblCellMar>
          <w:top w:w="57" w:type="dxa"/>
          <w:bottom w:w="57" w:type="dxa"/>
        </w:tblCellMar>
        <w:tblLook w:val="00A0" w:firstRow="1" w:lastRow="0" w:firstColumn="1" w:lastColumn="0" w:noHBand="0" w:noVBand="0"/>
      </w:tblPr>
      <w:tblGrid>
        <w:gridCol w:w="2113"/>
        <w:gridCol w:w="7509"/>
      </w:tblGrid>
      <w:tr w:rsidR="00291362" w:rsidRPr="00226F9D" w14:paraId="143A94E9" w14:textId="77777777" w:rsidTr="0089311B">
        <w:trPr>
          <w:trHeight w:val="219"/>
        </w:trPr>
        <w:tc>
          <w:tcPr>
            <w:tcW w:w="1098" w:type="pct"/>
            <w:tcBorders>
              <w:right w:val="single" w:sz="4" w:space="0" w:color="auto"/>
            </w:tcBorders>
            <w:shd w:val="clear" w:color="auto" w:fill="4AAFB4"/>
          </w:tcPr>
          <w:p w14:paraId="557E9B2C" w14:textId="77777777" w:rsidR="00291362" w:rsidRPr="00226F9D" w:rsidRDefault="00291362" w:rsidP="00090884">
            <w:pPr>
              <w:spacing w:after="0" w:line="240" w:lineRule="auto"/>
              <w:jc w:val="both"/>
              <w:rPr>
                <w:rFonts w:ascii="Times New Roman" w:hAnsi="Times New Roman" w:cs="Times New Roman"/>
                <w:b/>
                <w:bCs/>
                <w:color w:val="FFFFFF" w:themeColor="background1"/>
                <w:sz w:val="20"/>
                <w:szCs w:val="20"/>
                <w:lang w:val="sr-Cyrl-RS"/>
              </w:rPr>
            </w:pPr>
            <w:r w:rsidRPr="00226F9D">
              <w:rPr>
                <w:rFonts w:ascii="Times New Roman" w:hAnsi="Times New Roman" w:cs="Times New Roman"/>
                <w:b/>
                <w:bCs/>
                <w:color w:val="FFFFFF" w:themeColor="background1"/>
                <w:sz w:val="20"/>
                <w:szCs w:val="20"/>
                <w:lang w:val="sr-Cyrl-RS"/>
              </w:rPr>
              <w:t>Општи циљ</w:t>
            </w:r>
          </w:p>
        </w:tc>
        <w:tc>
          <w:tcPr>
            <w:tcW w:w="3902" w:type="pct"/>
            <w:tcBorders>
              <w:left w:val="single" w:sz="4" w:space="0" w:color="auto"/>
            </w:tcBorders>
          </w:tcPr>
          <w:p w14:paraId="7513D0B5" w14:textId="77777777" w:rsidR="00291362" w:rsidRPr="00226F9D" w:rsidRDefault="00291362"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 xml:space="preserve">Показатељи </w:t>
            </w:r>
          </w:p>
        </w:tc>
      </w:tr>
      <w:tr w:rsidR="00291362" w:rsidRPr="00226F9D" w14:paraId="569D7948" w14:textId="77777777" w:rsidTr="0089311B">
        <w:trPr>
          <w:trHeight w:val="1945"/>
        </w:trPr>
        <w:tc>
          <w:tcPr>
            <w:tcW w:w="1098" w:type="pct"/>
            <w:tcBorders>
              <w:right w:val="single" w:sz="4" w:space="0" w:color="auto"/>
            </w:tcBorders>
            <w:shd w:val="clear" w:color="auto" w:fill="4AAFB4"/>
          </w:tcPr>
          <w:p w14:paraId="266F6A84" w14:textId="77777777" w:rsidR="00291362" w:rsidRPr="00226F9D" w:rsidRDefault="00291362" w:rsidP="0089311B">
            <w:pPr>
              <w:spacing w:after="0" w:line="240" w:lineRule="auto"/>
              <w:rPr>
                <w:rFonts w:ascii="Times New Roman" w:hAnsi="Times New Roman" w:cs="Times New Roman"/>
                <w:color w:val="FFFFFF" w:themeColor="background1"/>
                <w:sz w:val="20"/>
                <w:szCs w:val="20"/>
                <w:lang w:val="sr-Cyrl-RS"/>
              </w:rPr>
            </w:pPr>
            <w:r w:rsidRPr="00226F9D">
              <w:rPr>
                <w:rFonts w:ascii="Times New Roman" w:hAnsi="Times New Roman" w:cs="Times New Roman"/>
                <w:i/>
                <w:iCs/>
                <w:color w:val="FFFFFF" w:themeColor="background1"/>
                <w:sz w:val="20"/>
                <w:szCs w:val="20"/>
                <w:lang w:val="sr-Cyrl-RS"/>
              </w:rPr>
              <w:t>Успостављање система локалне самоуправе који омогућава ефикасно и одрживо остваривање права грађана на локалну самоуправу</w:t>
            </w:r>
          </w:p>
        </w:tc>
        <w:tc>
          <w:tcPr>
            <w:tcW w:w="3902" w:type="pct"/>
            <w:tcBorders>
              <w:left w:val="single" w:sz="4" w:space="0" w:color="auto"/>
            </w:tcBorders>
          </w:tcPr>
          <w:p w14:paraId="5D641798" w14:textId="77777777" w:rsidR="00170845" w:rsidRPr="00226F9D" w:rsidRDefault="00170845"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СИГМА индикатор 14 (multilevel governance)</w:t>
            </w:r>
          </w:p>
          <w:p w14:paraId="63EA0A98" w14:textId="77777777" w:rsidR="00170845" w:rsidRPr="00226F9D" w:rsidRDefault="00170845"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iCs/>
                <w:sz w:val="20"/>
                <w:szCs w:val="20"/>
                <w:lang w:val="sr-Cyrl-RS"/>
              </w:rPr>
              <w:t>ПВ (2024): 76</w:t>
            </w:r>
          </w:p>
          <w:p w14:paraId="4457EA1D" w14:textId="1D1345A6" w:rsidR="00170845" w:rsidRPr="00226F9D" w:rsidRDefault="00170845"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ЦВ (2030): 85</w:t>
            </w:r>
          </w:p>
          <w:p w14:paraId="737C1C55" w14:textId="541F0036" w:rsidR="00291362" w:rsidRPr="00226F9D" w:rsidRDefault="00291362"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Удео расхода ЛС у консолидованим јавним расходима у Републици Србији</w:t>
            </w:r>
          </w:p>
          <w:p w14:paraId="7B57D539" w14:textId="7543B3BF" w:rsidR="00291362" w:rsidRPr="00226F9D" w:rsidRDefault="00291362"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iCs/>
                <w:sz w:val="20"/>
                <w:szCs w:val="20"/>
                <w:lang w:val="sr-Cyrl-RS"/>
              </w:rPr>
              <w:t>ПВ (202</w:t>
            </w:r>
            <w:r w:rsidR="00813890" w:rsidRPr="00226F9D">
              <w:rPr>
                <w:rFonts w:ascii="Times New Roman" w:hAnsi="Times New Roman" w:cs="Times New Roman"/>
                <w:iCs/>
                <w:sz w:val="20"/>
                <w:szCs w:val="20"/>
                <w:lang w:val="sr-Cyrl-RS"/>
              </w:rPr>
              <w:t>5</w:t>
            </w:r>
            <w:r w:rsidRPr="00226F9D">
              <w:rPr>
                <w:rFonts w:ascii="Times New Roman" w:hAnsi="Times New Roman" w:cs="Times New Roman"/>
                <w:iCs/>
                <w:sz w:val="20"/>
                <w:szCs w:val="20"/>
                <w:lang w:val="sr-Cyrl-RS"/>
              </w:rPr>
              <w:t xml:space="preserve">): </w:t>
            </w:r>
            <w:r w:rsidR="00773988" w:rsidRPr="00226F9D">
              <w:rPr>
                <w:rFonts w:ascii="Times New Roman" w:hAnsi="Times New Roman" w:cs="Times New Roman"/>
                <w:iCs/>
                <w:sz w:val="20"/>
                <w:szCs w:val="20"/>
                <w:lang w:val="sr-Cyrl-RS"/>
              </w:rPr>
              <w:t>10,90</w:t>
            </w:r>
            <w:r w:rsidR="00316A9E" w:rsidRPr="00226F9D">
              <w:rPr>
                <w:rFonts w:ascii="Times New Roman" w:hAnsi="Times New Roman" w:cs="Times New Roman"/>
                <w:iCs/>
                <w:sz w:val="20"/>
                <w:szCs w:val="20"/>
                <w:lang w:val="sr-Latn-RS"/>
              </w:rPr>
              <w:t>%</w:t>
            </w:r>
          </w:p>
          <w:p w14:paraId="739BDEB8" w14:textId="591C980C" w:rsidR="00291362" w:rsidRPr="00226F9D" w:rsidRDefault="00291362"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 xml:space="preserve">ЦВ (2030): </w:t>
            </w:r>
            <w:r w:rsidR="005068D0" w:rsidRPr="00226F9D">
              <w:rPr>
                <w:rFonts w:ascii="Times New Roman" w:hAnsi="Times New Roman" w:cs="Times New Roman"/>
                <w:iCs/>
                <w:sz w:val="20"/>
                <w:szCs w:val="20"/>
                <w:lang w:val="sr-Cyrl-RS"/>
              </w:rPr>
              <w:t>15%</w:t>
            </w:r>
          </w:p>
          <w:p w14:paraId="3DBC3227" w14:textId="77777777"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Капацитет ЈЛС за примену начела доброг управљања</w:t>
            </w:r>
          </w:p>
          <w:p w14:paraId="77DCDF00" w14:textId="41DFD888"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ПВ (202</w:t>
            </w:r>
            <w:r w:rsidR="006D000B" w:rsidRPr="00226F9D">
              <w:rPr>
                <w:rFonts w:ascii="Times New Roman" w:hAnsi="Times New Roman" w:cs="Times New Roman"/>
                <w:iCs/>
                <w:sz w:val="20"/>
                <w:szCs w:val="20"/>
                <w:lang w:val="sr-Cyrl-RS"/>
              </w:rPr>
              <w:t>3</w:t>
            </w:r>
            <w:r w:rsidRPr="00226F9D">
              <w:rPr>
                <w:rFonts w:ascii="Times New Roman" w:hAnsi="Times New Roman" w:cs="Times New Roman"/>
                <w:iCs/>
                <w:sz w:val="20"/>
                <w:szCs w:val="20"/>
                <w:lang w:val="sr-Cyrl-RS"/>
              </w:rPr>
              <w:t xml:space="preserve">): </w:t>
            </w:r>
            <w:r w:rsidR="00496261" w:rsidRPr="00226F9D">
              <w:rPr>
                <w:rFonts w:ascii="Times New Roman" w:hAnsi="Times New Roman" w:cs="Times New Roman"/>
                <w:iCs/>
                <w:sz w:val="20"/>
                <w:szCs w:val="20"/>
                <w:lang w:val="sr-Cyrl-RS"/>
              </w:rPr>
              <w:t>52,9</w:t>
            </w:r>
            <w:r w:rsidR="00ED0D8B" w:rsidRPr="00226F9D">
              <w:rPr>
                <w:rFonts w:ascii="Times New Roman" w:hAnsi="Times New Roman" w:cs="Times New Roman"/>
                <w:iCs/>
                <w:sz w:val="20"/>
                <w:szCs w:val="20"/>
                <w:lang w:val="sr-Cyrl-RS"/>
              </w:rPr>
              <w:t>%</w:t>
            </w:r>
          </w:p>
          <w:p w14:paraId="6F1A14D1" w14:textId="4382A349" w:rsidR="00291362" w:rsidRPr="00226F9D" w:rsidRDefault="00291362"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ЦВ (2030):</w:t>
            </w:r>
            <w:r w:rsidRPr="00226F9D" w:rsidDel="00203401">
              <w:rPr>
                <w:rFonts w:ascii="Times New Roman" w:hAnsi="Times New Roman" w:cs="Times New Roman"/>
                <w:sz w:val="20"/>
                <w:szCs w:val="20"/>
              </w:rPr>
              <w:t xml:space="preserve"> </w:t>
            </w:r>
            <w:r w:rsidR="002F7BE6" w:rsidRPr="00226F9D">
              <w:rPr>
                <w:rFonts w:ascii="Times New Roman" w:hAnsi="Times New Roman" w:cs="Times New Roman"/>
                <w:iCs/>
                <w:sz w:val="20"/>
                <w:szCs w:val="20"/>
              </w:rPr>
              <w:t>6</w:t>
            </w:r>
            <w:r w:rsidR="00C228A2" w:rsidRPr="00226F9D">
              <w:rPr>
                <w:rFonts w:ascii="Times New Roman" w:hAnsi="Times New Roman" w:cs="Times New Roman"/>
                <w:iCs/>
                <w:sz w:val="20"/>
                <w:szCs w:val="20"/>
              </w:rPr>
              <w:t>0,</w:t>
            </w:r>
            <w:r w:rsidR="002F7BE6" w:rsidRPr="00226F9D">
              <w:rPr>
                <w:rFonts w:ascii="Times New Roman" w:hAnsi="Times New Roman" w:cs="Times New Roman"/>
                <w:iCs/>
                <w:sz w:val="20"/>
                <w:szCs w:val="20"/>
              </w:rPr>
              <w:t>5</w:t>
            </w:r>
            <w:r w:rsidR="00F115E4" w:rsidRPr="00226F9D">
              <w:rPr>
                <w:rFonts w:ascii="Times New Roman" w:hAnsi="Times New Roman" w:cs="Times New Roman"/>
                <w:iCs/>
                <w:sz w:val="20"/>
                <w:szCs w:val="20"/>
              </w:rPr>
              <w:t>%</w:t>
            </w:r>
          </w:p>
        </w:tc>
      </w:tr>
    </w:tbl>
    <w:p w14:paraId="72429399" w14:textId="53B79B7F" w:rsidR="00291362" w:rsidRPr="00226F9D" w:rsidRDefault="006A25BB" w:rsidP="00A36864">
      <w:pPr>
        <w:spacing w:after="0" w:line="240" w:lineRule="auto"/>
        <w:rPr>
          <w:rFonts w:ascii="Times New Roman" w:eastAsia="Calibri" w:hAnsi="Times New Roman" w:cs="Times New Roman"/>
          <w:sz w:val="22"/>
          <w:szCs w:val="22"/>
          <w:lang w:val="sr-Cyrl-RS"/>
        </w:rPr>
      </w:pPr>
      <w:r w:rsidRPr="00226F9D">
        <w:rPr>
          <w:rFonts w:ascii="Times New Roman" w:eastAsia="Calibri" w:hAnsi="Times New Roman" w:cs="Times New Roman"/>
          <w:noProof/>
          <w:sz w:val="22"/>
          <w:szCs w:val="22"/>
          <w:u w:val="single"/>
        </w:rPr>
        <w:drawing>
          <wp:anchor distT="0" distB="0" distL="114300" distR="114300" simplePos="0" relativeHeight="251658251" behindDoc="0" locked="0" layoutInCell="1" allowOverlap="1" wp14:anchorId="392DF2AB" wp14:editId="287469CE">
            <wp:simplePos x="0" y="0"/>
            <wp:positionH relativeFrom="margin">
              <wp:align>left</wp:align>
            </wp:positionH>
            <wp:positionV relativeFrom="paragraph">
              <wp:posOffset>160020</wp:posOffset>
            </wp:positionV>
            <wp:extent cx="1086485" cy="794385"/>
            <wp:effectExtent l="0" t="0" r="0" b="5715"/>
            <wp:wrapSquare wrapText="bothSides"/>
            <wp:docPr id="309133888" name="Picture 1" descr="A colorful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33888" name="Picture 1" descr="A colorful circle with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0089" cy="796942"/>
                    </a:xfrm>
                    <a:prstGeom prst="rect">
                      <a:avLst/>
                    </a:prstGeom>
                  </pic:spPr>
                </pic:pic>
              </a:graphicData>
            </a:graphic>
            <wp14:sizeRelH relativeFrom="margin">
              <wp14:pctWidth>0</wp14:pctWidth>
            </wp14:sizeRelH>
            <wp14:sizeRelV relativeFrom="margin">
              <wp14:pctHeight>0</wp14:pctHeight>
            </wp14:sizeRelV>
          </wp:anchor>
        </w:drawing>
      </w:r>
    </w:p>
    <w:p w14:paraId="5FFE551F" w14:textId="1EAC9239" w:rsidR="00562526" w:rsidRPr="00226F9D" w:rsidRDefault="4412800B"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На нивоу општег као и посебних циљева </w:t>
      </w:r>
      <w:r w:rsidR="5BB0857B" w:rsidRPr="00226F9D">
        <w:rPr>
          <w:rFonts w:ascii="Times New Roman" w:eastAsia="Calibri" w:hAnsi="Times New Roman" w:cs="Times New Roman"/>
          <w:lang w:val="sr-Cyrl-RS"/>
        </w:rPr>
        <w:t xml:space="preserve">за нови програмски период – додатни нагласак </w:t>
      </w:r>
      <w:r w:rsidR="2F03D804" w:rsidRPr="00226F9D">
        <w:rPr>
          <w:rFonts w:ascii="Times New Roman" w:eastAsia="Calibri" w:hAnsi="Times New Roman" w:cs="Times New Roman"/>
          <w:lang w:val="sr-Cyrl-RS"/>
        </w:rPr>
        <w:t xml:space="preserve">ставља се </w:t>
      </w:r>
      <w:r w:rsidR="74724A4B" w:rsidRPr="00226F9D">
        <w:rPr>
          <w:rFonts w:ascii="Times New Roman" w:eastAsia="Calibri" w:hAnsi="Times New Roman" w:cs="Times New Roman"/>
          <w:lang w:val="sr-Cyrl-RS"/>
        </w:rPr>
        <w:t xml:space="preserve">на </w:t>
      </w:r>
      <w:r w:rsidR="0301AB37" w:rsidRPr="00226F9D">
        <w:rPr>
          <w:rFonts w:ascii="Times New Roman" w:eastAsia="Calibri" w:hAnsi="Times New Roman" w:cs="Times New Roman"/>
          <w:lang w:val="sr-Cyrl-RS"/>
        </w:rPr>
        <w:t xml:space="preserve">повезаност ових циљева </w:t>
      </w:r>
      <w:r w:rsidR="4147F913" w:rsidRPr="00226F9D">
        <w:rPr>
          <w:rFonts w:ascii="Times New Roman" w:eastAsia="Calibri" w:hAnsi="Times New Roman" w:cs="Times New Roman"/>
          <w:lang w:val="sr-Cyrl-RS"/>
        </w:rPr>
        <w:t>(</w:t>
      </w:r>
      <w:r w:rsidR="72C5A000" w:rsidRPr="00226F9D">
        <w:rPr>
          <w:rFonts w:ascii="Times New Roman" w:eastAsia="Calibri" w:hAnsi="Times New Roman" w:cs="Times New Roman"/>
          <w:lang w:val="sr-Cyrl-RS"/>
        </w:rPr>
        <w:t xml:space="preserve">и </w:t>
      </w:r>
      <w:r w:rsidR="0301AB37" w:rsidRPr="00226F9D">
        <w:rPr>
          <w:rFonts w:ascii="Times New Roman" w:eastAsia="Calibri" w:hAnsi="Times New Roman" w:cs="Times New Roman"/>
          <w:lang w:val="sr-Cyrl-RS"/>
        </w:rPr>
        <w:t>припадајући</w:t>
      </w:r>
      <w:r w:rsidR="72C5A000" w:rsidRPr="00226F9D">
        <w:rPr>
          <w:rFonts w:ascii="Times New Roman" w:eastAsia="Calibri" w:hAnsi="Times New Roman" w:cs="Times New Roman"/>
          <w:lang w:val="sr-Cyrl-RS"/>
        </w:rPr>
        <w:t>х</w:t>
      </w:r>
      <w:r w:rsidR="0301AB37" w:rsidRPr="00226F9D">
        <w:rPr>
          <w:rFonts w:ascii="Times New Roman" w:eastAsia="Calibri" w:hAnsi="Times New Roman" w:cs="Times New Roman"/>
          <w:lang w:val="sr-Cyrl-RS"/>
        </w:rPr>
        <w:t xml:space="preserve"> показатељ</w:t>
      </w:r>
      <w:r w:rsidR="72C5A000" w:rsidRPr="00226F9D">
        <w:rPr>
          <w:rFonts w:ascii="Times New Roman" w:eastAsia="Calibri" w:hAnsi="Times New Roman" w:cs="Times New Roman"/>
          <w:lang w:val="sr-Cyrl-RS"/>
        </w:rPr>
        <w:t>а</w:t>
      </w:r>
      <w:r w:rsidR="00AC3E46" w:rsidRPr="00226F9D">
        <w:rPr>
          <w:rStyle w:val="FootnoteReference"/>
          <w:rFonts w:ascii="Times New Roman" w:eastAsia="Calibri" w:hAnsi="Times New Roman" w:cs="Times New Roman"/>
          <w:lang w:val="sr-Cyrl-RS"/>
        </w:rPr>
        <w:footnoteReference w:id="62"/>
      </w:r>
      <w:r w:rsidR="4147F913" w:rsidRPr="00226F9D">
        <w:rPr>
          <w:rFonts w:ascii="Times New Roman" w:eastAsia="Calibri" w:hAnsi="Times New Roman" w:cs="Times New Roman"/>
          <w:lang w:val="sr-Cyrl-RS"/>
        </w:rPr>
        <w:t>)</w:t>
      </w:r>
      <w:r w:rsidR="0301AB37" w:rsidRPr="00226F9D">
        <w:rPr>
          <w:rFonts w:ascii="Times New Roman" w:eastAsia="Calibri" w:hAnsi="Times New Roman" w:cs="Times New Roman"/>
          <w:lang w:val="sr-Cyrl-RS"/>
        </w:rPr>
        <w:t xml:space="preserve"> </w:t>
      </w:r>
      <w:r w:rsidR="4147F913" w:rsidRPr="00226F9D">
        <w:rPr>
          <w:rFonts w:ascii="Times New Roman" w:eastAsia="Calibri" w:hAnsi="Times New Roman" w:cs="Times New Roman"/>
          <w:lang w:val="sr-Cyrl-RS"/>
        </w:rPr>
        <w:t xml:space="preserve">УН Агенди 2030 за одрживи развој </w:t>
      </w:r>
      <w:r w:rsidR="7C84DE60" w:rsidRPr="00226F9D">
        <w:rPr>
          <w:rFonts w:ascii="Times New Roman" w:eastAsia="Calibri" w:hAnsi="Times New Roman" w:cs="Times New Roman"/>
          <w:lang w:val="sr-Cyrl-RS"/>
        </w:rPr>
        <w:t>–</w:t>
      </w:r>
      <w:r w:rsidR="0301AB37" w:rsidRPr="00226F9D">
        <w:rPr>
          <w:rFonts w:ascii="Times New Roman" w:eastAsia="Calibri" w:hAnsi="Times New Roman" w:cs="Times New Roman"/>
          <w:lang w:val="sr-Cyrl-RS"/>
        </w:rPr>
        <w:t xml:space="preserve"> </w:t>
      </w:r>
      <w:r w:rsidR="1E830FB1" w:rsidRPr="00226F9D">
        <w:rPr>
          <w:rFonts w:ascii="Times New Roman" w:eastAsia="Calibri" w:hAnsi="Times New Roman" w:cs="Times New Roman"/>
          <w:lang w:val="sr-Cyrl-RS"/>
        </w:rPr>
        <w:t xml:space="preserve">односно </w:t>
      </w:r>
      <w:r w:rsidR="7C84DE60" w:rsidRPr="00226F9D">
        <w:rPr>
          <w:rFonts w:ascii="Times New Roman" w:eastAsia="Calibri" w:hAnsi="Times New Roman" w:cs="Times New Roman"/>
          <w:lang w:val="sr-Cyrl-RS"/>
        </w:rPr>
        <w:t xml:space="preserve">Циљевима </w:t>
      </w:r>
      <w:r w:rsidR="5427AA2E" w:rsidRPr="00226F9D">
        <w:rPr>
          <w:rFonts w:ascii="Times New Roman" w:eastAsia="Calibri" w:hAnsi="Times New Roman" w:cs="Times New Roman"/>
          <w:lang w:val="sr-Cyrl-RS"/>
        </w:rPr>
        <w:t xml:space="preserve">(и потциљевима) </w:t>
      </w:r>
      <w:r w:rsidR="7C84DE60" w:rsidRPr="00226F9D">
        <w:rPr>
          <w:rFonts w:ascii="Times New Roman" w:eastAsia="Calibri" w:hAnsi="Times New Roman" w:cs="Times New Roman"/>
          <w:lang w:val="sr-Cyrl-RS"/>
        </w:rPr>
        <w:t xml:space="preserve">одрживог </w:t>
      </w:r>
      <w:r w:rsidR="6D8CB7D3" w:rsidRPr="00226F9D">
        <w:rPr>
          <w:rFonts w:ascii="Times New Roman" w:eastAsia="Calibri" w:hAnsi="Times New Roman" w:cs="Times New Roman"/>
          <w:lang w:val="sr-Cyrl-RS"/>
        </w:rPr>
        <w:t xml:space="preserve">развоја </w:t>
      </w:r>
      <w:r w:rsidR="52693F58" w:rsidRPr="00226F9D">
        <w:rPr>
          <w:rFonts w:ascii="Times New Roman" w:eastAsia="Calibri" w:hAnsi="Times New Roman" w:cs="Times New Roman"/>
          <w:lang w:val="sr-Cyrl-RS"/>
        </w:rPr>
        <w:t>(ЦОР)</w:t>
      </w:r>
      <w:r w:rsidR="025E5402" w:rsidRPr="00226F9D">
        <w:rPr>
          <w:rFonts w:ascii="Times New Roman" w:eastAsia="Calibri" w:hAnsi="Times New Roman" w:cs="Times New Roman"/>
          <w:lang w:val="sr-Cyrl-RS"/>
        </w:rPr>
        <w:t xml:space="preserve">. </w:t>
      </w:r>
      <w:r w:rsidR="605C1210" w:rsidRPr="00226F9D">
        <w:rPr>
          <w:rFonts w:ascii="Times New Roman" w:eastAsia="Calibri" w:hAnsi="Times New Roman" w:cs="Times New Roman"/>
          <w:lang w:val="sr-Cyrl-RS"/>
        </w:rPr>
        <w:t xml:space="preserve">У смислу </w:t>
      </w:r>
      <w:r w:rsidR="4F1E5049" w:rsidRPr="00226F9D">
        <w:rPr>
          <w:rFonts w:ascii="Times New Roman" w:eastAsia="Calibri" w:hAnsi="Times New Roman" w:cs="Times New Roman"/>
          <w:b/>
          <w:bCs/>
          <w:lang w:val="sr-Cyrl-RS"/>
        </w:rPr>
        <w:t>општег циља</w:t>
      </w:r>
      <w:r w:rsidR="4F1E5049" w:rsidRPr="00226F9D">
        <w:rPr>
          <w:rFonts w:ascii="Times New Roman" w:eastAsia="Calibri" w:hAnsi="Times New Roman" w:cs="Times New Roman"/>
          <w:lang w:val="sr-Cyrl-RS"/>
        </w:rPr>
        <w:t xml:space="preserve"> ПРСЛС 202</w:t>
      </w:r>
      <w:r w:rsidR="3566BF17" w:rsidRPr="00226F9D">
        <w:rPr>
          <w:rFonts w:ascii="Times New Roman" w:eastAsia="Calibri" w:hAnsi="Times New Roman" w:cs="Times New Roman"/>
          <w:lang w:val="sr-Cyrl-RS"/>
        </w:rPr>
        <w:t>6</w:t>
      </w:r>
      <w:r w:rsidR="4F1E5049" w:rsidRPr="00226F9D">
        <w:rPr>
          <w:rFonts w:ascii="Times New Roman" w:eastAsia="Calibri" w:hAnsi="Times New Roman" w:cs="Times New Roman"/>
          <w:lang w:val="sr-Cyrl-RS"/>
        </w:rPr>
        <w:t>-2030</w:t>
      </w:r>
      <w:r w:rsidR="4685EC8F" w:rsidRPr="00226F9D">
        <w:rPr>
          <w:rFonts w:ascii="Times New Roman" w:eastAsia="Calibri" w:hAnsi="Times New Roman" w:cs="Times New Roman"/>
          <w:lang w:val="sr-Cyrl-RS"/>
        </w:rPr>
        <w:t xml:space="preserve">, </w:t>
      </w:r>
      <w:r w:rsidR="3C729B5B" w:rsidRPr="00226F9D">
        <w:rPr>
          <w:rFonts w:ascii="Times New Roman" w:eastAsia="Calibri" w:hAnsi="Times New Roman" w:cs="Times New Roman"/>
          <w:lang w:val="sr-Cyrl-RS"/>
        </w:rPr>
        <w:t>основни</w:t>
      </w:r>
      <w:r w:rsidR="4685EC8F" w:rsidRPr="00226F9D">
        <w:rPr>
          <w:rFonts w:ascii="Times New Roman" w:eastAsia="Calibri" w:hAnsi="Times New Roman" w:cs="Times New Roman"/>
          <w:lang w:val="sr-Cyrl-RS"/>
        </w:rPr>
        <w:t xml:space="preserve"> приказ ових веза је како следи:</w:t>
      </w:r>
    </w:p>
    <w:p w14:paraId="0C94E46A" w14:textId="77777777" w:rsidR="009B72B9" w:rsidRPr="00226F9D" w:rsidRDefault="009B72B9" w:rsidP="00090884">
      <w:pPr>
        <w:spacing w:after="0" w:line="240" w:lineRule="auto"/>
        <w:jc w:val="both"/>
        <w:rPr>
          <w:rFonts w:ascii="Times New Roman" w:eastAsia="Times New Roman" w:hAnsi="Times New Roman" w:cs="Times New Roman"/>
          <w:kern w:val="0"/>
          <w:lang w:val="sr-Latn-RS" w:eastAsia="en-GB"/>
          <w14:ligatures w14:val="none"/>
        </w:rPr>
      </w:pPr>
    </w:p>
    <w:p w14:paraId="3D3723F2" w14:textId="77777777" w:rsidR="0089311B" w:rsidRPr="00226F9D" w:rsidRDefault="0089311B" w:rsidP="00090884">
      <w:pPr>
        <w:spacing w:after="0" w:line="240" w:lineRule="auto"/>
        <w:jc w:val="both"/>
        <w:rPr>
          <w:rFonts w:ascii="Times New Roman" w:eastAsia="Times New Roman" w:hAnsi="Times New Roman" w:cs="Times New Roman"/>
          <w:kern w:val="0"/>
          <w:lang w:val="sr-Latn-RS" w:eastAsia="en-GB"/>
          <w14:ligatures w14:val="none"/>
        </w:rPr>
      </w:pPr>
    </w:p>
    <w:p w14:paraId="287F2124" w14:textId="77777777" w:rsidR="0089311B" w:rsidRPr="00226F9D" w:rsidRDefault="0089311B" w:rsidP="00090884">
      <w:pPr>
        <w:spacing w:after="0" w:line="240" w:lineRule="auto"/>
        <w:jc w:val="both"/>
        <w:rPr>
          <w:rFonts w:ascii="Times New Roman" w:eastAsia="Times New Roman" w:hAnsi="Times New Roman" w:cs="Times New Roman"/>
          <w:kern w:val="0"/>
          <w:lang w:val="sr-Latn-RS" w:eastAsia="en-GB"/>
          <w14:ligatures w14:val="none"/>
        </w:rPr>
      </w:pPr>
    </w:p>
    <w:p w14:paraId="690ABC62" w14:textId="77777777" w:rsidR="0089311B" w:rsidRPr="00226F9D" w:rsidRDefault="0089311B" w:rsidP="00090884">
      <w:pPr>
        <w:spacing w:after="0" w:line="240" w:lineRule="auto"/>
        <w:jc w:val="both"/>
        <w:rPr>
          <w:rFonts w:ascii="Times New Roman" w:eastAsia="Times New Roman" w:hAnsi="Times New Roman" w:cs="Times New Roman"/>
          <w:kern w:val="0"/>
          <w:lang w:val="sr-Latn-RS" w:eastAsia="en-GB"/>
          <w14:ligatures w14:val="none"/>
        </w:rPr>
      </w:pPr>
    </w:p>
    <w:p w14:paraId="7BA5CD6A" w14:textId="77777777" w:rsidR="00A36864" w:rsidRPr="00226F9D" w:rsidRDefault="00A36864" w:rsidP="00090884">
      <w:pPr>
        <w:spacing w:after="0" w:line="240" w:lineRule="auto"/>
        <w:jc w:val="both"/>
        <w:rPr>
          <w:rFonts w:ascii="Times New Roman" w:eastAsia="Times New Roman" w:hAnsi="Times New Roman" w:cs="Times New Roman"/>
          <w:kern w:val="0"/>
          <w:lang w:val="sr-Latn-RS" w:eastAsia="en-GB"/>
          <w14:ligatures w14:val="none"/>
        </w:rPr>
      </w:pPr>
    </w:p>
    <w:tbl>
      <w:tblPr>
        <w:tblW w:w="5000" w:type="pct"/>
        <w:tblInd w:w="-5" w:type="dxa"/>
        <w:tblCellMar>
          <w:top w:w="57" w:type="dxa"/>
          <w:bottom w:w="57" w:type="dxa"/>
        </w:tblCellMar>
        <w:tblLook w:val="04A0" w:firstRow="1" w:lastRow="0" w:firstColumn="1" w:lastColumn="0" w:noHBand="0" w:noVBand="1"/>
      </w:tblPr>
      <w:tblGrid>
        <w:gridCol w:w="1767"/>
        <w:gridCol w:w="7855"/>
      </w:tblGrid>
      <w:tr w:rsidR="00016570" w:rsidRPr="00226F9D" w14:paraId="7FCFB697" w14:textId="77777777" w:rsidTr="00CA471C">
        <w:trPr>
          <w:trHeight w:val="510"/>
        </w:trPr>
        <w:tc>
          <w:tcPr>
            <w:tcW w:w="1718" w:type="dxa"/>
            <w:tcBorders>
              <w:top w:val="single" w:sz="4" w:space="0" w:color="auto"/>
              <w:left w:val="single" w:sz="4" w:space="0" w:color="auto"/>
              <w:bottom w:val="single" w:sz="4" w:space="0" w:color="auto"/>
              <w:right w:val="single" w:sz="4" w:space="0" w:color="auto"/>
            </w:tcBorders>
            <w:shd w:val="clear" w:color="000000" w:fill="FFFFFF"/>
          </w:tcPr>
          <w:p w14:paraId="16DB7CFD" w14:textId="77777777" w:rsidR="00016570" w:rsidRPr="00226F9D" w:rsidRDefault="00016570"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tc>
        <w:tc>
          <w:tcPr>
            <w:tcW w:w="7638" w:type="dxa"/>
            <w:tcBorders>
              <w:top w:val="single" w:sz="4" w:space="0" w:color="auto"/>
              <w:left w:val="single" w:sz="4" w:space="0" w:color="auto"/>
              <w:bottom w:val="single" w:sz="4" w:space="0" w:color="auto"/>
              <w:right w:val="single" w:sz="4" w:space="0" w:color="auto"/>
            </w:tcBorders>
            <w:shd w:val="clear" w:color="000000" w:fill="FFFFFF"/>
          </w:tcPr>
          <w:p w14:paraId="7D56A39D" w14:textId="17A0D647" w:rsidR="00016570" w:rsidRPr="00226F9D" w:rsidRDefault="002B3297" w:rsidP="006B59F4">
            <w:pPr>
              <w:spacing w:after="0" w:line="240" w:lineRule="auto"/>
              <w:jc w:val="both"/>
              <w:rPr>
                <w:rFonts w:ascii="Times New Roman" w:eastAsia="Calibri" w:hAnsi="Times New Roman" w:cs="Times New Roman"/>
                <w:noProof/>
                <w:color w:val="00206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 xml:space="preserve">Планирани </w:t>
            </w:r>
            <w:r w:rsidR="002430EA" w:rsidRPr="00226F9D">
              <w:rPr>
                <w:rFonts w:ascii="Times New Roman" w:eastAsia="Times New Roman" w:hAnsi="Times New Roman" w:cs="Times New Roman"/>
                <w:i/>
                <w:iCs/>
                <w:color w:val="000000"/>
                <w:kern w:val="0"/>
                <w:sz w:val="20"/>
                <w:szCs w:val="20"/>
                <w:lang w:val="sr-Cyrl-RS" w:eastAsia="en-GB"/>
                <w14:ligatures w14:val="none"/>
              </w:rPr>
              <w:t xml:space="preserve">исходи (таргети) по потциљевима </w:t>
            </w:r>
            <w:r w:rsidR="004C64D7" w:rsidRPr="00226F9D">
              <w:rPr>
                <w:rFonts w:ascii="Times New Roman" w:eastAsia="Times New Roman" w:hAnsi="Times New Roman" w:cs="Times New Roman"/>
                <w:i/>
                <w:iCs/>
                <w:color w:val="000000"/>
                <w:kern w:val="0"/>
                <w:sz w:val="20"/>
                <w:szCs w:val="20"/>
                <w:lang w:val="sr-Cyrl-RS" w:eastAsia="en-GB"/>
                <w14:ligatures w14:val="none"/>
              </w:rPr>
              <w:t>УН Аге</w:t>
            </w:r>
            <w:r w:rsidR="0003487F" w:rsidRPr="00226F9D">
              <w:rPr>
                <w:rFonts w:ascii="Times New Roman" w:eastAsia="Times New Roman" w:hAnsi="Times New Roman" w:cs="Times New Roman"/>
                <w:i/>
                <w:iCs/>
                <w:color w:val="000000"/>
                <w:kern w:val="0"/>
                <w:sz w:val="20"/>
                <w:szCs w:val="20"/>
                <w:lang w:val="sr-Cyrl-RS" w:eastAsia="en-GB"/>
                <w14:ligatures w14:val="none"/>
              </w:rPr>
              <w:t>нде</w:t>
            </w:r>
            <w:r w:rsidR="004C64D7" w:rsidRPr="00226F9D">
              <w:rPr>
                <w:rFonts w:ascii="Times New Roman" w:eastAsia="Times New Roman" w:hAnsi="Times New Roman" w:cs="Times New Roman"/>
                <w:i/>
                <w:iCs/>
                <w:color w:val="000000"/>
                <w:kern w:val="0"/>
                <w:sz w:val="20"/>
                <w:szCs w:val="20"/>
                <w:lang w:val="sr-Cyrl-RS" w:eastAsia="en-GB"/>
                <w14:ligatures w14:val="none"/>
              </w:rPr>
              <w:t xml:space="preserve"> 2030 ко</w:t>
            </w:r>
            <w:r w:rsidR="00074206" w:rsidRPr="00226F9D">
              <w:rPr>
                <w:rFonts w:ascii="Times New Roman" w:eastAsia="Times New Roman" w:hAnsi="Times New Roman" w:cs="Times New Roman"/>
                <w:i/>
                <w:iCs/>
                <w:color w:val="000000"/>
                <w:kern w:val="0"/>
                <w:sz w:val="20"/>
                <w:szCs w:val="20"/>
                <w:lang w:val="sr-Cyrl-RS" w:eastAsia="en-GB"/>
                <w14:ligatures w14:val="none"/>
              </w:rPr>
              <w:t>мпатибилни са општим циљем ПРСЛС 202</w:t>
            </w:r>
            <w:r w:rsidR="00C6364B" w:rsidRPr="00226F9D">
              <w:rPr>
                <w:rFonts w:ascii="Times New Roman" w:eastAsia="Times New Roman" w:hAnsi="Times New Roman" w:cs="Times New Roman"/>
                <w:i/>
                <w:iCs/>
                <w:color w:val="000000"/>
                <w:kern w:val="0"/>
                <w:sz w:val="20"/>
                <w:szCs w:val="20"/>
                <w:lang w:val="sr-Cyrl-RS" w:eastAsia="en-GB"/>
                <w14:ligatures w14:val="none"/>
              </w:rPr>
              <w:t>6</w:t>
            </w:r>
            <w:r w:rsidR="00074206" w:rsidRPr="00226F9D">
              <w:rPr>
                <w:rFonts w:ascii="Times New Roman" w:eastAsia="Times New Roman" w:hAnsi="Times New Roman" w:cs="Times New Roman"/>
                <w:i/>
                <w:iCs/>
                <w:color w:val="000000"/>
                <w:kern w:val="0"/>
                <w:sz w:val="20"/>
                <w:szCs w:val="20"/>
                <w:lang w:val="sr-Cyrl-RS" w:eastAsia="en-GB"/>
                <w14:ligatures w14:val="none"/>
              </w:rPr>
              <w:t>-2030</w:t>
            </w:r>
          </w:p>
        </w:tc>
      </w:tr>
      <w:tr w:rsidR="000B6FC4" w:rsidRPr="00226F9D" w14:paraId="10324AC1" w14:textId="77777777" w:rsidTr="00CA471C">
        <w:trPr>
          <w:trHeight w:val="510"/>
        </w:trPr>
        <w:tc>
          <w:tcPr>
            <w:tcW w:w="1718" w:type="dxa"/>
            <w:tcBorders>
              <w:top w:val="single" w:sz="4" w:space="0" w:color="auto"/>
              <w:left w:val="single" w:sz="4" w:space="0" w:color="auto"/>
              <w:bottom w:val="single" w:sz="4" w:space="0" w:color="auto"/>
              <w:right w:val="single" w:sz="4" w:space="0" w:color="auto"/>
            </w:tcBorders>
            <w:shd w:val="clear" w:color="000000" w:fill="FFFFFF"/>
          </w:tcPr>
          <w:p w14:paraId="1B7CD79C" w14:textId="3A9B64A2"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lastRenderedPageBreak/>
              <w:t>ОПШТИ ЦИЉ</w:t>
            </w:r>
            <w:r w:rsidR="003C2BE6" w:rsidRPr="00226F9D">
              <w:rPr>
                <w:rFonts w:ascii="Times New Roman" w:eastAsia="Times New Roman" w:hAnsi="Times New Roman" w:cs="Times New Roman"/>
                <w:i/>
                <w:iCs/>
                <w:color w:val="000000"/>
                <w:kern w:val="0"/>
                <w:sz w:val="20"/>
                <w:szCs w:val="20"/>
                <w:lang w:val="sr-Cyrl-RS" w:eastAsia="en-GB"/>
                <w14:ligatures w14:val="none"/>
              </w:rPr>
              <w:t xml:space="preserve"> ПРСЛС 202</w:t>
            </w:r>
            <w:r w:rsidR="00CB124E" w:rsidRPr="00226F9D">
              <w:rPr>
                <w:rFonts w:ascii="Times New Roman" w:eastAsia="Times New Roman" w:hAnsi="Times New Roman" w:cs="Times New Roman"/>
                <w:i/>
                <w:iCs/>
                <w:color w:val="000000"/>
                <w:kern w:val="0"/>
                <w:sz w:val="20"/>
                <w:szCs w:val="20"/>
                <w:lang w:val="sr-Cyrl-RS" w:eastAsia="en-GB"/>
                <w14:ligatures w14:val="none"/>
              </w:rPr>
              <w:t>6</w:t>
            </w:r>
            <w:r w:rsidR="00C6364B" w:rsidRPr="00226F9D">
              <w:rPr>
                <w:rFonts w:ascii="Times New Roman" w:eastAsia="Times New Roman" w:hAnsi="Times New Roman" w:cs="Times New Roman"/>
                <w:i/>
                <w:iCs/>
                <w:color w:val="000000"/>
                <w:kern w:val="0"/>
                <w:sz w:val="20"/>
                <w:szCs w:val="20"/>
                <w:lang w:val="sr-Cyrl-RS" w:eastAsia="en-GB"/>
                <w14:ligatures w14:val="none"/>
              </w:rPr>
              <w:t xml:space="preserve"> - </w:t>
            </w:r>
            <w:r w:rsidR="003C2BE6" w:rsidRPr="00226F9D">
              <w:rPr>
                <w:rFonts w:ascii="Times New Roman" w:eastAsia="Times New Roman" w:hAnsi="Times New Roman" w:cs="Times New Roman"/>
                <w:i/>
                <w:iCs/>
                <w:color w:val="000000"/>
                <w:kern w:val="0"/>
                <w:sz w:val="20"/>
                <w:szCs w:val="20"/>
                <w:lang w:val="sr-Cyrl-RS" w:eastAsia="en-GB"/>
                <w14:ligatures w14:val="none"/>
              </w:rPr>
              <w:t>2030</w:t>
            </w:r>
            <w:r w:rsidRPr="00226F9D">
              <w:rPr>
                <w:rFonts w:ascii="Times New Roman" w:eastAsia="Times New Roman" w:hAnsi="Times New Roman" w:cs="Times New Roman"/>
                <w:i/>
                <w:iCs/>
                <w:color w:val="000000"/>
                <w:kern w:val="0"/>
                <w:sz w:val="20"/>
                <w:szCs w:val="20"/>
                <w:lang w:val="sr-Cyrl-RS" w:eastAsia="en-GB"/>
                <w14:ligatures w14:val="none"/>
              </w:rPr>
              <w:t xml:space="preserve">: </w:t>
            </w:r>
          </w:p>
          <w:p w14:paraId="1F68372B" w14:textId="77777777"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7C1928A3" w14:textId="77777777"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6C38E202" w14:textId="77777777"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5D435D09" w14:textId="77777777"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7C551B46" w14:textId="77777777" w:rsidR="000B6FC4" w:rsidRPr="00226F9D" w:rsidRDefault="000B6FC4" w:rsidP="00090884">
            <w:pPr>
              <w:spacing w:after="0" w:line="240" w:lineRule="auto"/>
              <w:jc w:val="both"/>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Успостављање система локалне самоуправе који омогућава ефикасно и одрживо остваривање права грађана на локалну самоуправу</w:t>
            </w:r>
          </w:p>
        </w:tc>
        <w:tc>
          <w:tcPr>
            <w:tcW w:w="7638" w:type="dxa"/>
            <w:tcBorders>
              <w:top w:val="single" w:sz="4" w:space="0" w:color="auto"/>
              <w:left w:val="single" w:sz="4" w:space="0" w:color="auto"/>
              <w:bottom w:val="single" w:sz="4" w:space="0" w:color="auto"/>
              <w:right w:val="single" w:sz="4" w:space="0" w:color="auto"/>
            </w:tcBorders>
            <w:shd w:val="clear" w:color="000000" w:fill="FFFFFF"/>
          </w:tcPr>
          <w:p w14:paraId="1FE81C3E" w14:textId="224D8436" w:rsidR="000B6FC4" w:rsidRPr="00226F9D" w:rsidRDefault="000B6FC4"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Calibri" w:hAnsi="Times New Roman" w:cs="Times New Roman"/>
                <w:noProof/>
                <w:color w:val="002060"/>
                <w:kern w:val="0"/>
                <w:sz w:val="20"/>
                <w:szCs w:val="20"/>
                <w14:ligatures w14:val="none"/>
              </w:rPr>
              <w:drawing>
                <wp:anchor distT="0" distB="0" distL="114300" distR="114300" simplePos="0" relativeHeight="251658245" behindDoc="0" locked="0" layoutInCell="1" allowOverlap="1" wp14:anchorId="746A8FD3" wp14:editId="04930E48">
                  <wp:simplePos x="0" y="0"/>
                  <wp:positionH relativeFrom="column">
                    <wp:posOffset>-25400</wp:posOffset>
                  </wp:positionH>
                  <wp:positionV relativeFrom="paragraph">
                    <wp:posOffset>27099</wp:posOffset>
                  </wp:positionV>
                  <wp:extent cx="605155" cy="664845"/>
                  <wp:effectExtent l="0" t="0" r="4445" b="0"/>
                  <wp:wrapSquare wrapText="bothSides"/>
                  <wp:docPr id="219" name="Picture 219" descr="A blue and white sign with a building and a magnifying gl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descr="A blue and white sign with a building and a magnifying glas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5155" cy="664845"/>
                          </a:xfrm>
                          <a:prstGeom prst="rect">
                            <a:avLst/>
                          </a:prstGeom>
                        </pic:spPr>
                      </pic:pic>
                    </a:graphicData>
                  </a:graphic>
                  <wp14:sizeRelH relativeFrom="margin">
                    <wp14:pctWidth>0</wp14:pctWidth>
                  </wp14:sizeRelH>
                  <wp14:sizeRelV relativeFrom="margin">
                    <wp14:pctHeight>0</wp14:pctHeight>
                  </wp14:sizeRelV>
                </wp:anchor>
              </w:drawing>
            </w:r>
            <w:r w:rsidRPr="00226F9D">
              <w:rPr>
                <w:rFonts w:ascii="Times New Roman" w:eastAsia="Calibri" w:hAnsi="Times New Roman" w:cs="Times New Roman"/>
                <w:color w:val="002060"/>
                <w:kern w:val="0"/>
                <w:sz w:val="20"/>
                <w:szCs w:val="20"/>
                <w:lang w:val="sr-Cyrl-CS"/>
                <w14:ligatures w14:val="none"/>
              </w:rPr>
              <w:t>16.6 Развити делотворне, одговорне и транспарентне институције на свим нивоима</w:t>
            </w:r>
          </w:p>
          <w:p w14:paraId="269032D8" w14:textId="77777777"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Latn-RS" w:eastAsia="en-GB"/>
                <w14:ligatures w14:val="none"/>
              </w:rPr>
            </w:pPr>
          </w:p>
          <w:p w14:paraId="2D7288FF" w14:textId="77777777" w:rsidR="00CA471C" w:rsidRPr="00226F9D" w:rsidRDefault="00CA471C" w:rsidP="00090884">
            <w:pPr>
              <w:spacing w:after="0" w:line="240" w:lineRule="auto"/>
              <w:jc w:val="both"/>
              <w:rPr>
                <w:rFonts w:ascii="Times New Roman" w:eastAsia="Times New Roman" w:hAnsi="Times New Roman" w:cs="Times New Roman"/>
                <w:i/>
                <w:iCs/>
                <w:color w:val="000000"/>
                <w:kern w:val="0"/>
                <w:sz w:val="20"/>
                <w:szCs w:val="20"/>
                <w:lang w:val="sr-Latn-RS" w:eastAsia="en-GB"/>
                <w14:ligatures w14:val="none"/>
              </w:rPr>
            </w:pPr>
          </w:p>
          <w:p w14:paraId="428F5DF7" w14:textId="77777777" w:rsidR="00CA471C" w:rsidRPr="00226F9D" w:rsidRDefault="00CA471C" w:rsidP="00090884">
            <w:pPr>
              <w:spacing w:after="0" w:line="240" w:lineRule="auto"/>
              <w:jc w:val="both"/>
              <w:rPr>
                <w:rFonts w:ascii="Times New Roman" w:eastAsia="Times New Roman" w:hAnsi="Times New Roman" w:cs="Times New Roman"/>
                <w:i/>
                <w:iCs/>
                <w:color w:val="000000"/>
                <w:kern w:val="0"/>
                <w:sz w:val="20"/>
                <w:szCs w:val="20"/>
                <w:lang w:val="sr-Latn-RS" w:eastAsia="en-GB"/>
                <w14:ligatures w14:val="none"/>
              </w:rPr>
            </w:pPr>
          </w:p>
          <w:p w14:paraId="5AFB0586" w14:textId="378639C3" w:rsidR="000B6FC4" w:rsidRPr="00226F9D" w:rsidRDefault="00410F64"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Calibri" w:hAnsi="Times New Roman" w:cs="Times New Roman"/>
                <w:noProof/>
                <w:kern w:val="0"/>
                <w:sz w:val="20"/>
                <w:szCs w:val="20"/>
                <w14:ligatures w14:val="none"/>
              </w:rPr>
              <w:drawing>
                <wp:anchor distT="0" distB="0" distL="114300" distR="114300" simplePos="0" relativeHeight="251658246" behindDoc="0" locked="0" layoutInCell="1" allowOverlap="1" wp14:anchorId="5A0C5EA8" wp14:editId="60567D80">
                  <wp:simplePos x="0" y="0"/>
                  <wp:positionH relativeFrom="column">
                    <wp:posOffset>-37465</wp:posOffset>
                  </wp:positionH>
                  <wp:positionV relativeFrom="paragraph">
                    <wp:posOffset>37894</wp:posOffset>
                  </wp:positionV>
                  <wp:extent cx="605155" cy="640715"/>
                  <wp:effectExtent l="0" t="0" r="4445" b="0"/>
                  <wp:wrapSquare wrapText="bothSides"/>
                  <wp:docPr id="220" name="Picture 220" descr="A blue and white sign with a group of people and a podiu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descr="A blue and white sign with a group of people and a podium&#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5155" cy="640715"/>
                          </a:xfrm>
                          <a:prstGeom prst="rect">
                            <a:avLst/>
                          </a:prstGeom>
                        </pic:spPr>
                      </pic:pic>
                    </a:graphicData>
                  </a:graphic>
                  <wp14:sizeRelH relativeFrom="margin">
                    <wp14:pctWidth>0</wp14:pctWidth>
                  </wp14:sizeRelH>
                  <wp14:sizeRelV relativeFrom="margin">
                    <wp14:pctHeight>0</wp14:pctHeight>
                  </wp14:sizeRelV>
                </wp:anchor>
              </w:drawing>
            </w:r>
            <w:r w:rsidR="000B6FC4" w:rsidRPr="00226F9D">
              <w:rPr>
                <w:rFonts w:ascii="Times New Roman" w:eastAsia="Calibri" w:hAnsi="Times New Roman" w:cs="Times New Roman"/>
                <w:color w:val="002060"/>
                <w:kern w:val="0"/>
                <w:sz w:val="20"/>
                <w:szCs w:val="20"/>
                <w:lang w:val="sr-Cyrl-CS"/>
                <w14:ligatures w14:val="none"/>
              </w:rPr>
              <w:t>16.7 Осигурати одговорно, инклузивно, партиципативно и репрезентативно доношење одлука на свим нивоима</w:t>
            </w:r>
          </w:p>
          <w:p w14:paraId="6B0FDE3D" w14:textId="77777777"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Latn-RS" w:eastAsia="en-GB"/>
                <w14:ligatures w14:val="none"/>
              </w:rPr>
            </w:pPr>
          </w:p>
          <w:p w14:paraId="6D2C0B8E" w14:textId="77777777" w:rsidR="00CA471C" w:rsidRPr="00226F9D" w:rsidRDefault="00CA471C" w:rsidP="00090884">
            <w:pPr>
              <w:spacing w:after="0" w:line="240" w:lineRule="auto"/>
              <w:jc w:val="both"/>
              <w:rPr>
                <w:rFonts w:ascii="Times New Roman" w:eastAsia="Times New Roman" w:hAnsi="Times New Roman" w:cs="Times New Roman"/>
                <w:i/>
                <w:iCs/>
                <w:color w:val="000000"/>
                <w:kern w:val="0"/>
                <w:sz w:val="20"/>
                <w:szCs w:val="20"/>
                <w:lang w:val="sr-Latn-RS" w:eastAsia="en-GB"/>
                <w14:ligatures w14:val="none"/>
              </w:rPr>
            </w:pPr>
          </w:p>
          <w:p w14:paraId="38F32B33" w14:textId="31CD1DEF" w:rsidR="00CA471C" w:rsidRPr="00226F9D" w:rsidRDefault="00CA471C" w:rsidP="006B59F4">
            <w:pPr>
              <w:spacing w:after="0" w:line="240" w:lineRule="auto"/>
              <w:jc w:val="both"/>
              <w:rPr>
                <w:rFonts w:ascii="Times New Roman" w:eastAsia="Calibri" w:hAnsi="Times New Roman" w:cs="Times New Roman"/>
                <w:color w:val="002060"/>
                <w:kern w:val="0"/>
                <w:sz w:val="20"/>
                <w:szCs w:val="20"/>
                <w:lang w:val="sr-Latn-RS"/>
                <w14:ligatures w14:val="none"/>
              </w:rPr>
            </w:pPr>
          </w:p>
          <w:p w14:paraId="26F71A92" w14:textId="25021A1D" w:rsidR="000B6FC4" w:rsidRPr="00226F9D" w:rsidRDefault="00CA471C"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Calibri" w:hAnsi="Times New Roman" w:cs="Times New Roman"/>
                <w:noProof/>
                <w:color w:val="002060"/>
                <w:kern w:val="0"/>
                <w:sz w:val="20"/>
                <w:szCs w:val="20"/>
                <w14:ligatures w14:val="none"/>
              </w:rPr>
              <w:drawing>
                <wp:anchor distT="0" distB="0" distL="114300" distR="114300" simplePos="0" relativeHeight="251658247" behindDoc="0" locked="0" layoutInCell="1" allowOverlap="1" wp14:anchorId="172BB416" wp14:editId="1DFCB581">
                  <wp:simplePos x="0" y="0"/>
                  <wp:positionH relativeFrom="column">
                    <wp:posOffset>-36830</wp:posOffset>
                  </wp:positionH>
                  <wp:positionV relativeFrom="paragraph">
                    <wp:posOffset>30909</wp:posOffset>
                  </wp:positionV>
                  <wp:extent cx="605155" cy="622935"/>
                  <wp:effectExtent l="0" t="0" r="4445" b="0"/>
                  <wp:wrapSquare wrapText="bothSides"/>
                  <wp:docPr id="224" name="Picture 224" descr="A blue and white sign with a group of people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descr="A blue and white sign with a group of people and a building&#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5155" cy="622935"/>
                          </a:xfrm>
                          <a:prstGeom prst="rect">
                            <a:avLst/>
                          </a:prstGeom>
                        </pic:spPr>
                      </pic:pic>
                    </a:graphicData>
                  </a:graphic>
                  <wp14:sizeRelH relativeFrom="margin">
                    <wp14:pctWidth>0</wp14:pctWidth>
                  </wp14:sizeRelH>
                  <wp14:sizeRelV relativeFrom="margin">
                    <wp14:pctHeight>0</wp14:pctHeight>
                  </wp14:sizeRelV>
                </wp:anchor>
              </w:drawing>
            </w:r>
            <w:r w:rsidR="000B6FC4" w:rsidRPr="00226F9D">
              <w:rPr>
                <w:rFonts w:ascii="Times New Roman" w:eastAsia="Calibri" w:hAnsi="Times New Roman" w:cs="Times New Roman"/>
                <w:color w:val="002060"/>
                <w:kern w:val="0"/>
                <w:sz w:val="20"/>
                <w:szCs w:val="20"/>
                <w:lang w:val="sr-Cyrl-CS"/>
                <w14:ligatures w14:val="none"/>
              </w:rPr>
              <w:t>16.а Оснажити релевантне (националне) институције, између осталог и преко међународне сарадње, за изградњу капацитета на свим нивоима, посебно у земљама у развоју, ради спречавања насиља и борбе против тероризма и криминала</w:t>
            </w:r>
            <w:r w:rsidR="000B6FC4" w:rsidRPr="00226F9D">
              <w:rPr>
                <w:rFonts w:ascii="Times New Roman" w:eastAsia="Times New Roman" w:hAnsi="Times New Roman" w:cs="Times New Roman"/>
                <w:i/>
                <w:iCs/>
                <w:color w:val="000000"/>
                <w:kern w:val="0"/>
                <w:sz w:val="20"/>
                <w:szCs w:val="20"/>
                <w:lang w:val="sr-Cyrl-RS" w:eastAsia="en-GB"/>
                <w14:ligatures w14:val="none"/>
              </w:rPr>
              <w:t xml:space="preserve"> </w:t>
            </w:r>
          </w:p>
          <w:p w14:paraId="70C316C6" w14:textId="28987990"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74D8B91" w14:textId="7C7C46D3" w:rsidR="000B6FC4" w:rsidRPr="00226F9D" w:rsidRDefault="00CA471C"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Calibri" w:hAnsi="Times New Roman" w:cs="Times New Roman"/>
                <w:noProof/>
                <w:color w:val="ED7D31"/>
                <w:kern w:val="0"/>
                <w:sz w:val="20"/>
                <w:szCs w:val="20"/>
                <w14:ligatures w14:val="none"/>
              </w:rPr>
              <w:drawing>
                <wp:anchor distT="0" distB="0" distL="114300" distR="114300" simplePos="0" relativeHeight="251658248" behindDoc="0" locked="0" layoutInCell="1" allowOverlap="1" wp14:anchorId="145DFD57" wp14:editId="3CDA74F3">
                  <wp:simplePos x="0" y="0"/>
                  <wp:positionH relativeFrom="column">
                    <wp:posOffset>-49530</wp:posOffset>
                  </wp:positionH>
                  <wp:positionV relativeFrom="paragraph">
                    <wp:posOffset>29639</wp:posOffset>
                  </wp:positionV>
                  <wp:extent cx="617220" cy="593725"/>
                  <wp:effectExtent l="0" t="0" r="5080" b="3175"/>
                  <wp:wrapSquare wrapText="bothSides"/>
                  <wp:docPr id="143" name="Picture 143" descr="A sign with people and buildin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descr="A sign with people and buildings&#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7220" cy="593725"/>
                          </a:xfrm>
                          <a:prstGeom prst="rect">
                            <a:avLst/>
                          </a:prstGeom>
                        </pic:spPr>
                      </pic:pic>
                    </a:graphicData>
                  </a:graphic>
                  <wp14:sizeRelH relativeFrom="margin">
                    <wp14:pctWidth>0</wp14:pctWidth>
                  </wp14:sizeRelH>
                  <wp14:sizeRelV relativeFrom="margin">
                    <wp14:pctHeight>0</wp14:pctHeight>
                  </wp14:sizeRelV>
                </wp:anchor>
              </w:drawing>
            </w:r>
            <w:r w:rsidR="000B6FC4" w:rsidRPr="00226F9D">
              <w:rPr>
                <w:rFonts w:ascii="Times New Roman" w:eastAsia="Calibri" w:hAnsi="Times New Roman" w:cs="Times New Roman"/>
                <w:color w:val="ED7D31"/>
                <w:kern w:val="0"/>
                <w:sz w:val="20"/>
                <w:szCs w:val="20"/>
                <w:lang w:val="sr-Cyrl-CS"/>
                <w14:ligatures w14:val="none"/>
              </w:rPr>
              <w:t>11.3 До 2030. унапредити инклузивну и одрживу урбанизацију и капацитете за партиципативно, интегрисано и одрживо планирање и управљање људским насељима у свим земљама</w:t>
            </w:r>
          </w:p>
          <w:p w14:paraId="44EFE0DD" w14:textId="77777777" w:rsidR="000B6FC4"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64A7B56B" w14:textId="05A487B2" w:rsidR="00410F64" w:rsidRPr="00226F9D" w:rsidRDefault="00CA471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Calibri" w:hAnsi="Times New Roman" w:cs="Times New Roman"/>
                <w:noProof/>
                <w:color w:val="002060"/>
                <w:kern w:val="0"/>
                <w:sz w:val="20"/>
                <w:szCs w:val="20"/>
                <w14:ligatures w14:val="none"/>
              </w:rPr>
              <w:drawing>
                <wp:anchor distT="0" distB="0" distL="114300" distR="114300" simplePos="0" relativeHeight="251658249" behindDoc="0" locked="0" layoutInCell="1" allowOverlap="1" wp14:anchorId="6DCF50FA" wp14:editId="6E56C2CF">
                  <wp:simplePos x="0" y="0"/>
                  <wp:positionH relativeFrom="column">
                    <wp:posOffset>-37465</wp:posOffset>
                  </wp:positionH>
                  <wp:positionV relativeFrom="paragraph">
                    <wp:posOffset>163195</wp:posOffset>
                  </wp:positionV>
                  <wp:extent cx="593090" cy="581660"/>
                  <wp:effectExtent l="0" t="0" r="3810" b="2540"/>
                  <wp:wrapSquare wrapText="bothSides"/>
                  <wp:docPr id="103" name="Picture 103" descr="A blue sign with white text and a building and stacks of coi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A blue sign with white text and a building and stacks of coins&#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3090" cy="581660"/>
                          </a:xfrm>
                          <a:prstGeom prst="rect">
                            <a:avLst/>
                          </a:prstGeom>
                        </pic:spPr>
                      </pic:pic>
                    </a:graphicData>
                  </a:graphic>
                  <wp14:sizeRelH relativeFrom="margin">
                    <wp14:pctWidth>0</wp14:pctWidth>
                  </wp14:sizeRelH>
                  <wp14:sizeRelV relativeFrom="margin">
                    <wp14:pctHeight>0</wp14:pctHeight>
                  </wp14:sizeRelV>
                </wp:anchor>
              </w:drawing>
            </w:r>
          </w:p>
          <w:p w14:paraId="2648B56E" w14:textId="08281B1B" w:rsidR="000B6FC4" w:rsidRPr="00226F9D" w:rsidRDefault="000B6FC4" w:rsidP="006B59F4">
            <w:pPr>
              <w:spacing w:after="0" w:line="240" w:lineRule="auto"/>
              <w:jc w:val="both"/>
              <w:rPr>
                <w:rFonts w:ascii="Times New Roman" w:eastAsia="Calibri" w:hAnsi="Times New Roman" w:cs="Times New Roman"/>
                <w:color w:val="002060"/>
                <w:kern w:val="0"/>
                <w:sz w:val="20"/>
                <w:szCs w:val="20"/>
                <w:lang w:val="sr-Cyrl-CS"/>
                <w14:ligatures w14:val="none"/>
              </w:rPr>
            </w:pPr>
            <w:r w:rsidRPr="00226F9D">
              <w:rPr>
                <w:rFonts w:ascii="Times New Roman" w:eastAsia="Calibri" w:hAnsi="Times New Roman" w:cs="Times New Roman"/>
                <w:color w:val="002060"/>
                <w:kern w:val="0"/>
                <w:sz w:val="20"/>
                <w:szCs w:val="20"/>
                <w:lang w:val="sr-Cyrl-CS"/>
                <w14:ligatures w14:val="none"/>
              </w:rPr>
              <w:t>17.1 Појачати мобилизацију домаћих ресурса, између осталог и преко међународне подршке за земље у развоју, како би се унапредили домаћи капацитети за прикупљање пореза и осталих прихода</w:t>
            </w:r>
          </w:p>
          <w:p w14:paraId="6F41CED2" w14:textId="77777777" w:rsidR="00CA471C" w:rsidRPr="00226F9D" w:rsidRDefault="00CA471C" w:rsidP="00090884">
            <w:pPr>
              <w:spacing w:after="0" w:line="240" w:lineRule="auto"/>
              <w:jc w:val="both"/>
              <w:rPr>
                <w:rFonts w:ascii="Times New Roman" w:eastAsia="Calibri" w:hAnsi="Times New Roman" w:cs="Times New Roman"/>
                <w:color w:val="002060"/>
                <w:kern w:val="0"/>
                <w:sz w:val="20"/>
                <w:szCs w:val="20"/>
                <w:lang w:val="sr-Cyrl-CS"/>
                <w14:ligatures w14:val="none"/>
              </w:rPr>
            </w:pPr>
          </w:p>
          <w:p w14:paraId="11F5A407" w14:textId="117C7930" w:rsidR="000B6FC4" w:rsidRPr="00226F9D" w:rsidRDefault="00410F64" w:rsidP="00090884">
            <w:pPr>
              <w:spacing w:after="0" w:line="240" w:lineRule="auto"/>
              <w:jc w:val="both"/>
              <w:rPr>
                <w:rFonts w:ascii="Times New Roman" w:eastAsia="Calibri" w:hAnsi="Times New Roman" w:cs="Times New Roman"/>
                <w:color w:val="002060"/>
                <w:kern w:val="0"/>
                <w:sz w:val="20"/>
                <w:szCs w:val="20"/>
                <w:lang w:val="sr-Cyrl-CS"/>
                <w14:ligatures w14:val="none"/>
              </w:rPr>
            </w:pPr>
            <w:r w:rsidRPr="00226F9D">
              <w:rPr>
                <w:rFonts w:ascii="Times New Roman" w:eastAsia="Calibri" w:hAnsi="Times New Roman" w:cs="Times New Roman"/>
                <w:noProof/>
                <w:color w:val="002060"/>
                <w:kern w:val="0"/>
                <w:sz w:val="20"/>
                <w:szCs w:val="20"/>
                <w14:ligatures w14:val="none"/>
              </w:rPr>
              <w:drawing>
                <wp:anchor distT="0" distB="0" distL="114300" distR="114300" simplePos="0" relativeHeight="251658250" behindDoc="0" locked="0" layoutInCell="1" allowOverlap="1" wp14:anchorId="6E89D271" wp14:editId="38ABF453">
                  <wp:simplePos x="0" y="0"/>
                  <wp:positionH relativeFrom="column">
                    <wp:posOffset>-60960</wp:posOffset>
                  </wp:positionH>
                  <wp:positionV relativeFrom="paragraph">
                    <wp:posOffset>137589</wp:posOffset>
                  </wp:positionV>
                  <wp:extent cx="628650" cy="593725"/>
                  <wp:effectExtent l="0" t="0" r="6350" b="3175"/>
                  <wp:wrapSquare wrapText="bothSides"/>
                  <wp:docPr id="109" name="Picture 109" descr="A blue and white sign with arrows and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descr="A blue and white sign with arrows and a circle&#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8650" cy="593725"/>
                          </a:xfrm>
                          <a:prstGeom prst="rect">
                            <a:avLst/>
                          </a:prstGeom>
                        </pic:spPr>
                      </pic:pic>
                    </a:graphicData>
                  </a:graphic>
                  <wp14:sizeRelH relativeFrom="margin">
                    <wp14:pctWidth>0</wp14:pctWidth>
                  </wp14:sizeRelH>
                  <wp14:sizeRelV relativeFrom="margin">
                    <wp14:pctHeight>0</wp14:pctHeight>
                  </wp14:sizeRelV>
                </wp:anchor>
              </w:drawing>
            </w:r>
          </w:p>
          <w:p w14:paraId="49139B1C" w14:textId="3D968FCD" w:rsidR="00AB2767" w:rsidRPr="00226F9D" w:rsidRDefault="000B6FC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Calibri" w:hAnsi="Times New Roman" w:cs="Times New Roman"/>
                <w:color w:val="002060"/>
                <w:kern w:val="0"/>
                <w:sz w:val="20"/>
                <w:szCs w:val="20"/>
                <w:lang w:val="sr-Cyrl-CS"/>
                <w14:ligatures w14:val="none"/>
              </w:rPr>
              <w:t>17.14 Унапредити кохерентност политика за потребе одрживог развоја</w:t>
            </w:r>
          </w:p>
        </w:tc>
      </w:tr>
    </w:tbl>
    <w:p w14:paraId="4963A90D" w14:textId="77777777" w:rsidR="00E8355E" w:rsidRPr="00226F9D" w:rsidRDefault="00E8355E" w:rsidP="006B59F4">
      <w:pPr>
        <w:spacing w:after="0" w:line="240" w:lineRule="auto"/>
        <w:jc w:val="both"/>
        <w:rPr>
          <w:rFonts w:ascii="Times New Roman" w:eastAsia="Calibri" w:hAnsi="Times New Roman" w:cs="Times New Roman"/>
          <w:lang w:val="sr-Latn-RS"/>
        </w:rPr>
      </w:pPr>
    </w:p>
    <w:p w14:paraId="2E90E8AD" w14:textId="77777777" w:rsidR="00A36864" w:rsidRPr="00226F9D" w:rsidRDefault="00A36864" w:rsidP="006B59F4">
      <w:pPr>
        <w:spacing w:after="0" w:line="240" w:lineRule="auto"/>
        <w:jc w:val="both"/>
        <w:rPr>
          <w:rFonts w:ascii="Times New Roman" w:eastAsia="Calibri" w:hAnsi="Times New Roman" w:cs="Times New Roman"/>
          <w:lang w:val="sr-Latn-RS"/>
        </w:rPr>
      </w:pPr>
    </w:p>
    <w:p w14:paraId="29856BB4" w14:textId="226919AB" w:rsidR="005B564A" w:rsidRPr="00226F9D" w:rsidRDefault="00BB2E53" w:rsidP="00711B88">
      <w:pPr>
        <w:pStyle w:val="Heading2"/>
        <w:numPr>
          <w:ilvl w:val="0"/>
          <w:numId w:val="29"/>
        </w:numPr>
        <w:rPr>
          <w:rFonts w:ascii="Times New Roman" w:eastAsia="Calibri" w:hAnsi="Times New Roman" w:cs="Times New Roman"/>
          <w:lang w:val="sr-Cyrl-RS"/>
        </w:rPr>
      </w:pPr>
      <w:bookmarkStart w:id="13" w:name="_Toc222753921"/>
      <w:r w:rsidRPr="00226F9D">
        <w:rPr>
          <w:rFonts w:ascii="Times New Roman" w:hAnsi="Times New Roman" w:cs="Times New Roman"/>
          <w:lang w:val="sr-Cyrl-RS"/>
        </w:rPr>
        <w:t xml:space="preserve">Поставка </w:t>
      </w:r>
      <w:r w:rsidR="003F0C99" w:rsidRPr="00226F9D">
        <w:rPr>
          <w:rFonts w:ascii="Times New Roman" w:hAnsi="Times New Roman" w:cs="Times New Roman"/>
          <w:lang w:val="sr-Cyrl-RS"/>
        </w:rPr>
        <w:t xml:space="preserve">Програма са становишта </w:t>
      </w:r>
      <w:r w:rsidR="009D0E45" w:rsidRPr="00226F9D">
        <w:rPr>
          <w:rFonts w:ascii="Times New Roman" w:hAnsi="Times New Roman" w:cs="Times New Roman"/>
          <w:lang w:val="sr-Cyrl-RS"/>
        </w:rPr>
        <w:t xml:space="preserve">анализе и избора </w:t>
      </w:r>
      <w:r w:rsidR="00E3588C" w:rsidRPr="00226F9D">
        <w:rPr>
          <w:rFonts w:ascii="Times New Roman" w:hAnsi="Times New Roman" w:cs="Times New Roman"/>
          <w:lang w:val="sr-Cyrl-RS"/>
        </w:rPr>
        <w:t>опција за достизање циљ</w:t>
      </w:r>
      <w:r w:rsidR="002554A0" w:rsidRPr="00226F9D">
        <w:rPr>
          <w:rFonts w:ascii="Times New Roman" w:hAnsi="Times New Roman" w:cs="Times New Roman"/>
          <w:lang w:val="sr-Cyrl-RS"/>
        </w:rPr>
        <w:t>ева</w:t>
      </w:r>
      <w:bookmarkEnd w:id="13"/>
    </w:p>
    <w:p w14:paraId="550B6BB7" w14:textId="77777777" w:rsidR="008119A4" w:rsidRPr="00226F9D" w:rsidRDefault="008119A4" w:rsidP="00090884">
      <w:pPr>
        <w:spacing w:after="0" w:line="240" w:lineRule="auto"/>
        <w:jc w:val="both"/>
        <w:rPr>
          <w:rFonts w:ascii="Times New Roman" w:eastAsiaTheme="majorEastAsia" w:hAnsi="Times New Roman" w:cs="Times New Roman"/>
          <w:b/>
          <w:bCs/>
          <w:color w:val="0F4761" w:themeColor="accent1" w:themeShade="BF"/>
          <w:kern w:val="0"/>
          <w:lang w:val="sr-Cyrl-RS"/>
          <w14:ligatures w14:val="none"/>
        </w:rPr>
      </w:pPr>
    </w:p>
    <w:p w14:paraId="6265B8DF" w14:textId="1F2F30A0" w:rsidR="005D6071" w:rsidRPr="00226F9D" w:rsidRDefault="00726629" w:rsidP="0082619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Приступ у погледу сагледав</w:t>
      </w:r>
      <w:r w:rsidR="00CB7D6D" w:rsidRPr="00226F9D">
        <w:rPr>
          <w:rFonts w:ascii="Times New Roman" w:eastAsia="Calibri" w:hAnsi="Times New Roman" w:cs="Times New Roman"/>
        </w:rPr>
        <w:t>a</w:t>
      </w:r>
      <w:r w:rsidRPr="00226F9D">
        <w:rPr>
          <w:rFonts w:ascii="Times New Roman" w:eastAsia="Calibri" w:hAnsi="Times New Roman" w:cs="Times New Roman"/>
          <w:lang w:val="sr-Cyrl-RS"/>
        </w:rPr>
        <w:t xml:space="preserve">ња </w:t>
      </w:r>
      <w:r w:rsidR="00B64FC7" w:rsidRPr="00226F9D">
        <w:rPr>
          <w:rFonts w:ascii="Times New Roman" w:eastAsia="Calibri" w:hAnsi="Times New Roman" w:cs="Times New Roman"/>
          <w:lang w:val="sr-Cyrl-RS"/>
        </w:rPr>
        <w:t xml:space="preserve">опција за </w:t>
      </w:r>
      <w:r w:rsidR="00D64093" w:rsidRPr="00226F9D">
        <w:rPr>
          <w:rFonts w:ascii="Times New Roman" w:eastAsia="Calibri" w:hAnsi="Times New Roman" w:cs="Times New Roman"/>
          <w:lang w:val="sr-Cyrl-RS"/>
        </w:rPr>
        <w:t xml:space="preserve">реформисање система локалне самоуправе </w:t>
      </w:r>
      <w:r w:rsidR="00674FE0" w:rsidRPr="00226F9D">
        <w:rPr>
          <w:rFonts w:ascii="Times New Roman" w:eastAsia="Calibri" w:hAnsi="Times New Roman" w:cs="Times New Roman"/>
          <w:lang w:val="sr-Cyrl-RS"/>
        </w:rPr>
        <w:t>на нивоу овог пр</w:t>
      </w:r>
      <w:r w:rsidR="00652CEE" w:rsidRPr="00226F9D">
        <w:rPr>
          <w:rFonts w:ascii="Times New Roman" w:eastAsia="Calibri" w:hAnsi="Times New Roman" w:cs="Times New Roman"/>
          <w:lang w:val="sr-Cyrl-RS"/>
        </w:rPr>
        <w:t>ограма</w:t>
      </w:r>
      <w:r w:rsidR="009056D3" w:rsidRPr="00226F9D">
        <w:rPr>
          <w:rFonts w:ascii="Times New Roman" w:eastAsia="Calibri" w:hAnsi="Times New Roman" w:cs="Times New Roman"/>
          <w:lang w:val="sr-Cyrl-RS"/>
        </w:rPr>
        <w:t xml:space="preserve">, најдиректније је заснован на закључцима </w:t>
      </w:r>
      <w:r w:rsidR="00DC5E3C" w:rsidRPr="00226F9D">
        <w:rPr>
          <w:rFonts w:ascii="Times New Roman" w:eastAsia="Calibri" w:hAnsi="Times New Roman" w:cs="Times New Roman"/>
          <w:i/>
          <w:iCs/>
          <w:lang w:val="sr-Latn-RS"/>
        </w:rPr>
        <w:t>ex-ante</w:t>
      </w:r>
      <w:r w:rsidR="00DC5E3C" w:rsidRPr="00226F9D">
        <w:rPr>
          <w:rFonts w:ascii="Times New Roman" w:eastAsia="Calibri" w:hAnsi="Times New Roman" w:cs="Times New Roman"/>
          <w:lang w:val="sr-Latn-RS"/>
        </w:rPr>
        <w:t xml:space="preserve"> </w:t>
      </w:r>
      <w:r w:rsidR="00DC5E3C" w:rsidRPr="00226F9D">
        <w:rPr>
          <w:rFonts w:ascii="Times New Roman" w:eastAsia="Calibri" w:hAnsi="Times New Roman" w:cs="Times New Roman"/>
          <w:lang w:val="sr-Cyrl-RS"/>
        </w:rPr>
        <w:t>анализе</w:t>
      </w:r>
      <w:r w:rsidR="009E38B9" w:rsidRPr="00226F9D">
        <w:rPr>
          <w:rFonts w:ascii="Times New Roman" w:eastAsia="Calibri" w:hAnsi="Times New Roman" w:cs="Times New Roman"/>
          <w:lang w:val="sr-Cyrl-RS"/>
        </w:rPr>
        <w:t xml:space="preserve"> из </w:t>
      </w:r>
      <w:r w:rsidR="000B3C4F" w:rsidRPr="00226F9D">
        <w:rPr>
          <w:rFonts w:ascii="Times New Roman" w:eastAsia="Calibri" w:hAnsi="Times New Roman" w:cs="Times New Roman"/>
          <w:lang w:val="sr-Cyrl-RS"/>
        </w:rPr>
        <w:t xml:space="preserve">претходно предоченог прегледа постојећег стања </w:t>
      </w:r>
      <w:r w:rsidR="004742AB" w:rsidRPr="00226F9D">
        <w:rPr>
          <w:rFonts w:ascii="Times New Roman" w:eastAsia="Calibri" w:hAnsi="Times New Roman" w:cs="Times New Roman"/>
          <w:lang w:val="sr-Cyrl-RS"/>
        </w:rPr>
        <w:t xml:space="preserve">и извештајним </w:t>
      </w:r>
      <w:r w:rsidR="00F46452" w:rsidRPr="00226F9D">
        <w:rPr>
          <w:rFonts w:ascii="Times New Roman" w:eastAsia="Calibri" w:hAnsi="Times New Roman" w:cs="Times New Roman"/>
          <w:lang w:val="sr-Cyrl-RS"/>
        </w:rPr>
        <w:t>информацијама о спровођењу ПРСЛС 2021-2025</w:t>
      </w:r>
      <w:r w:rsidR="00950815" w:rsidRPr="00226F9D">
        <w:rPr>
          <w:rFonts w:ascii="Times New Roman" w:eastAsia="Calibri" w:hAnsi="Times New Roman" w:cs="Times New Roman"/>
          <w:lang w:val="sr-Cyrl-RS"/>
        </w:rPr>
        <w:t xml:space="preserve">. </w:t>
      </w:r>
      <w:r w:rsidR="009839C0" w:rsidRPr="00226F9D">
        <w:rPr>
          <w:rFonts w:ascii="Times New Roman" w:eastAsia="Calibri" w:hAnsi="Times New Roman" w:cs="Times New Roman"/>
          <w:lang w:val="sr-Cyrl-RS"/>
        </w:rPr>
        <w:t xml:space="preserve">Имајући у виду </w:t>
      </w:r>
      <w:r w:rsidR="00EA4E12" w:rsidRPr="00226F9D">
        <w:rPr>
          <w:rFonts w:ascii="Times New Roman" w:eastAsia="Calibri" w:hAnsi="Times New Roman" w:cs="Times New Roman"/>
          <w:lang w:val="sr-Cyrl-RS"/>
        </w:rPr>
        <w:t>аргу</w:t>
      </w:r>
      <w:r w:rsidR="002C6D41" w:rsidRPr="00226F9D">
        <w:rPr>
          <w:rFonts w:ascii="Times New Roman" w:eastAsia="Calibri" w:hAnsi="Times New Roman" w:cs="Times New Roman"/>
          <w:lang w:val="sr-Cyrl-RS"/>
        </w:rPr>
        <w:t xml:space="preserve">ментовани и </w:t>
      </w:r>
      <w:r w:rsidR="00EA4E12" w:rsidRPr="00226F9D">
        <w:rPr>
          <w:rFonts w:ascii="Times New Roman" w:eastAsia="Calibri" w:hAnsi="Times New Roman" w:cs="Times New Roman"/>
          <w:lang w:val="sr-Cyrl-RS"/>
        </w:rPr>
        <w:t>потврђени став</w:t>
      </w:r>
      <w:r w:rsidR="009839C0" w:rsidRPr="00226F9D">
        <w:rPr>
          <w:rFonts w:ascii="Times New Roman" w:eastAsia="Calibri" w:hAnsi="Times New Roman" w:cs="Times New Roman"/>
          <w:lang w:val="sr-Cyrl-RS"/>
        </w:rPr>
        <w:t xml:space="preserve"> да општи као и </w:t>
      </w:r>
      <w:r w:rsidR="008119A4" w:rsidRPr="00226F9D">
        <w:rPr>
          <w:rFonts w:ascii="Times New Roman" w:eastAsia="Calibri" w:hAnsi="Times New Roman" w:cs="Times New Roman"/>
          <w:lang w:val="sr-Cyrl-RS"/>
        </w:rPr>
        <w:t>сви посебни циљеви</w:t>
      </w:r>
      <w:r w:rsidR="00BE33D6" w:rsidRPr="00226F9D">
        <w:rPr>
          <w:rFonts w:ascii="Times New Roman" w:eastAsia="Calibri" w:hAnsi="Times New Roman" w:cs="Times New Roman"/>
          <w:lang w:val="sr-Cyrl-RS"/>
        </w:rPr>
        <w:t xml:space="preserve"> претходног </w:t>
      </w:r>
      <w:r w:rsidR="00644FBE" w:rsidRPr="00226F9D">
        <w:rPr>
          <w:rFonts w:ascii="Times New Roman" w:eastAsia="Calibri" w:hAnsi="Times New Roman" w:cs="Times New Roman"/>
          <w:lang w:val="sr-Cyrl-RS"/>
        </w:rPr>
        <w:t xml:space="preserve">Програма остају </w:t>
      </w:r>
      <w:r w:rsidR="008119A4" w:rsidRPr="00226F9D">
        <w:rPr>
          <w:rFonts w:ascii="Times New Roman" w:eastAsia="Calibri" w:hAnsi="Times New Roman" w:cs="Times New Roman"/>
          <w:lang w:val="sr-Cyrl-RS"/>
        </w:rPr>
        <w:t>релевантни и актуелни за наредни програмски период</w:t>
      </w:r>
      <w:r w:rsidR="000B430E" w:rsidRPr="00226F9D">
        <w:rPr>
          <w:rFonts w:ascii="Times New Roman" w:eastAsia="Calibri" w:hAnsi="Times New Roman" w:cs="Times New Roman"/>
          <w:lang w:val="sr-Cyrl-RS"/>
        </w:rPr>
        <w:t xml:space="preserve">, уз одређене модификације на нивоу </w:t>
      </w:r>
      <w:r w:rsidR="008119A4" w:rsidRPr="00226F9D">
        <w:rPr>
          <w:rFonts w:ascii="Times New Roman" w:eastAsia="Calibri" w:hAnsi="Times New Roman" w:cs="Times New Roman"/>
          <w:lang w:val="sr-Cyrl-RS"/>
        </w:rPr>
        <w:t>мера,</w:t>
      </w:r>
      <w:r w:rsidR="00A76868" w:rsidRPr="00226F9D">
        <w:rPr>
          <w:rFonts w:ascii="Times New Roman" w:eastAsia="Calibri" w:hAnsi="Times New Roman" w:cs="Times New Roman"/>
          <w:lang w:val="sr-Cyrl-RS"/>
        </w:rPr>
        <w:t xml:space="preserve"> опредељен је</w:t>
      </w:r>
      <w:r w:rsidR="008119A4" w:rsidRPr="00226F9D">
        <w:rPr>
          <w:rFonts w:ascii="Times New Roman" w:eastAsia="Calibri" w:hAnsi="Times New Roman" w:cs="Times New Roman"/>
          <w:lang w:val="sr-Cyrl-RS"/>
        </w:rPr>
        <w:t xml:space="preserve"> наставак њиховог спровођења у наредном програмском циклусу.</w:t>
      </w:r>
      <w:r w:rsidR="00C8060B" w:rsidRPr="00226F9D">
        <w:rPr>
          <w:rFonts w:ascii="Times New Roman" w:eastAsia="Calibri" w:hAnsi="Times New Roman" w:cs="Times New Roman"/>
          <w:lang w:val="sr-Cyrl-RS"/>
        </w:rPr>
        <w:t xml:space="preserve"> </w:t>
      </w:r>
      <w:r w:rsidR="002138E0" w:rsidRPr="00226F9D">
        <w:rPr>
          <w:rFonts w:ascii="Times New Roman" w:eastAsia="Calibri" w:hAnsi="Times New Roman" w:cs="Times New Roman"/>
          <w:lang w:val="sr-Cyrl-RS"/>
        </w:rPr>
        <w:t xml:space="preserve">На нивоу циљева је стога адаптиран </w:t>
      </w:r>
      <w:r w:rsidR="005B19EF" w:rsidRPr="00226F9D">
        <w:rPr>
          <w:rFonts w:ascii="Times New Roman" w:eastAsia="Calibri" w:hAnsi="Times New Roman" w:cs="Times New Roman"/>
          <w:lang w:val="sr-Cyrl-RS"/>
        </w:rPr>
        <w:t xml:space="preserve">и актуелизован </w:t>
      </w:r>
      <w:r w:rsidR="002A38B6" w:rsidRPr="00226F9D">
        <w:rPr>
          <w:rFonts w:ascii="Times New Roman" w:eastAsia="Calibri" w:hAnsi="Times New Roman" w:cs="Times New Roman"/>
          <w:lang w:val="sr-Cyrl-RS"/>
        </w:rPr>
        <w:t>део показатеља</w:t>
      </w:r>
      <w:r w:rsidR="00A42F2A" w:rsidRPr="00226F9D">
        <w:rPr>
          <w:rFonts w:ascii="Times New Roman" w:eastAsia="Calibri" w:hAnsi="Times New Roman" w:cs="Times New Roman"/>
          <w:lang w:val="sr-Cyrl-RS"/>
        </w:rPr>
        <w:t xml:space="preserve">, уз задржавање </w:t>
      </w:r>
      <w:r w:rsidR="00FB1530" w:rsidRPr="00226F9D">
        <w:rPr>
          <w:rFonts w:ascii="Times New Roman" w:eastAsia="Calibri" w:hAnsi="Times New Roman" w:cs="Times New Roman"/>
          <w:lang w:val="sr-Cyrl-RS"/>
        </w:rPr>
        <w:t xml:space="preserve">основног курса жељене промене </w:t>
      </w:r>
      <w:r w:rsidR="00E75FF4" w:rsidRPr="00226F9D">
        <w:rPr>
          <w:rFonts w:ascii="Times New Roman" w:eastAsia="Calibri" w:hAnsi="Times New Roman" w:cs="Times New Roman"/>
          <w:lang w:val="sr-Cyrl-RS"/>
        </w:rPr>
        <w:t xml:space="preserve">и </w:t>
      </w:r>
      <w:r w:rsidR="00AF7EE9" w:rsidRPr="00226F9D">
        <w:rPr>
          <w:rFonts w:ascii="Times New Roman" w:eastAsia="Calibri" w:hAnsi="Times New Roman" w:cs="Times New Roman"/>
          <w:lang w:val="sr-Cyrl-RS"/>
        </w:rPr>
        <w:t>циљаних учинака</w:t>
      </w:r>
      <w:r w:rsidR="00CD7A6D" w:rsidRPr="00226F9D">
        <w:rPr>
          <w:rFonts w:ascii="Times New Roman" w:eastAsia="Calibri" w:hAnsi="Times New Roman" w:cs="Times New Roman"/>
          <w:lang w:val="sr-Cyrl-RS"/>
        </w:rPr>
        <w:t xml:space="preserve"> и уз пратећу консолидацију и </w:t>
      </w:r>
      <w:r w:rsidR="0069220D" w:rsidRPr="00226F9D">
        <w:rPr>
          <w:rFonts w:ascii="Times New Roman" w:eastAsia="Calibri" w:hAnsi="Times New Roman" w:cs="Times New Roman"/>
          <w:lang w:val="sr-Cyrl-RS"/>
        </w:rPr>
        <w:t>иновирање мера</w:t>
      </w:r>
      <w:r w:rsidR="002E366C" w:rsidRPr="00226F9D">
        <w:rPr>
          <w:rFonts w:ascii="Times New Roman" w:eastAsia="Calibri" w:hAnsi="Times New Roman" w:cs="Times New Roman"/>
          <w:lang w:val="sr-Cyrl-RS"/>
        </w:rPr>
        <w:t>.</w:t>
      </w:r>
    </w:p>
    <w:p w14:paraId="042420AE" w14:textId="77777777" w:rsidR="003C0C5A" w:rsidRPr="00226F9D" w:rsidRDefault="003C0C5A" w:rsidP="00826194">
      <w:pPr>
        <w:spacing w:after="0" w:line="240" w:lineRule="auto"/>
        <w:jc w:val="both"/>
        <w:rPr>
          <w:rFonts w:ascii="Times New Roman" w:eastAsia="Calibri" w:hAnsi="Times New Roman" w:cs="Times New Roman"/>
          <w:lang w:val="sr-Cyrl-RS"/>
        </w:rPr>
      </w:pPr>
    </w:p>
    <w:p w14:paraId="7D1FE06E" w14:textId="3ABE11F2" w:rsidR="008119A4" w:rsidRPr="00226F9D" w:rsidRDefault="7B9029B8" w:rsidP="0082619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У том смислу</w:t>
      </w:r>
      <w:r w:rsidR="7D447E0F" w:rsidRPr="00226F9D">
        <w:rPr>
          <w:rFonts w:ascii="Times New Roman" w:eastAsia="Calibri" w:hAnsi="Times New Roman" w:cs="Times New Roman"/>
          <w:lang w:val="sr-Cyrl-RS"/>
        </w:rPr>
        <w:t>,</w:t>
      </w:r>
      <w:r w:rsidRPr="00226F9D">
        <w:rPr>
          <w:rFonts w:ascii="Times New Roman" w:eastAsia="Calibri" w:hAnsi="Times New Roman" w:cs="Times New Roman"/>
          <w:lang w:val="sr-Cyrl-RS"/>
        </w:rPr>
        <w:t xml:space="preserve"> ПРСЛС 2026-2030 </w:t>
      </w:r>
      <w:r w:rsidR="521EFE01" w:rsidRPr="00226F9D">
        <w:rPr>
          <w:rFonts w:ascii="Times New Roman" w:eastAsia="Calibri" w:hAnsi="Times New Roman" w:cs="Times New Roman"/>
          <w:lang w:val="sr-Cyrl-RS"/>
        </w:rPr>
        <w:t xml:space="preserve">промовише </w:t>
      </w:r>
      <w:r w:rsidR="521EFE01" w:rsidRPr="00226F9D">
        <w:rPr>
          <w:rFonts w:ascii="Times New Roman" w:eastAsia="Calibri" w:hAnsi="Times New Roman" w:cs="Times New Roman"/>
          <w:i/>
          <w:iCs/>
          <w:lang w:val="sr-Cyrl-RS"/>
        </w:rPr>
        <w:t>умерен</w:t>
      </w:r>
      <w:r w:rsidR="1189188B" w:rsidRPr="00226F9D">
        <w:rPr>
          <w:rFonts w:ascii="Times New Roman" w:eastAsia="Calibri" w:hAnsi="Times New Roman" w:cs="Times New Roman"/>
          <w:i/>
          <w:iCs/>
          <w:lang w:val="sr-Cyrl-RS"/>
        </w:rPr>
        <w:t xml:space="preserve"> и изводљив реформски правац</w:t>
      </w:r>
      <w:r w:rsidR="1A06FEBD" w:rsidRPr="00226F9D">
        <w:rPr>
          <w:rFonts w:ascii="Times New Roman" w:eastAsia="Calibri" w:hAnsi="Times New Roman" w:cs="Times New Roman"/>
          <w:lang w:val="sr-Cyrl-RS"/>
        </w:rPr>
        <w:t xml:space="preserve">, </w:t>
      </w:r>
      <w:r w:rsidR="0BEFB6D0" w:rsidRPr="00226F9D">
        <w:rPr>
          <w:rFonts w:ascii="Times New Roman" w:eastAsia="Calibri" w:hAnsi="Times New Roman" w:cs="Times New Roman"/>
          <w:lang w:val="sr-Cyrl-RS"/>
        </w:rPr>
        <w:t xml:space="preserve">оријентисан ка </w:t>
      </w:r>
      <w:r w:rsidR="5642E9DD" w:rsidRPr="00226F9D">
        <w:rPr>
          <w:rFonts w:ascii="Times New Roman" w:eastAsia="Calibri" w:hAnsi="Times New Roman" w:cs="Times New Roman"/>
          <w:lang w:val="sr-Cyrl-RS"/>
        </w:rPr>
        <w:t xml:space="preserve">стабилизацији и унапређењу </w:t>
      </w:r>
      <w:r w:rsidR="7EF61C34" w:rsidRPr="00226F9D">
        <w:rPr>
          <w:rFonts w:ascii="Times New Roman" w:eastAsia="Calibri" w:hAnsi="Times New Roman" w:cs="Times New Roman"/>
          <w:lang w:val="sr-Cyrl-RS"/>
        </w:rPr>
        <w:t xml:space="preserve">система локалне самоуправе </w:t>
      </w:r>
      <w:r w:rsidR="4D5ACB0D" w:rsidRPr="00226F9D">
        <w:rPr>
          <w:rFonts w:ascii="Times New Roman" w:eastAsia="Calibri" w:hAnsi="Times New Roman" w:cs="Times New Roman"/>
          <w:lang w:val="sr-Cyrl-RS"/>
        </w:rPr>
        <w:t xml:space="preserve">и добробити </w:t>
      </w:r>
      <w:r w:rsidR="1D28704C" w:rsidRPr="00226F9D">
        <w:rPr>
          <w:rFonts w:ascii="Times New Roman" w:eastAsia="Calibri" w:hAnsi="Times New Roman" w:cs="Times New Roman"/>
          <w:lang w:val="sr-Cyrl-RS"/>
        </w:rPr>
        <w:t xml:space="preserve">грађана, </w:t>
      </w:r>
      <w:r w:rsidR="14483753" w:rsidRPr="00226F9D">
        <w:rPr>
          <w:rFonts w:ascii="Times New Roman" w:eastAsia="Calibri" w:hAnsi="Times New Roman" w:cs="Times New Roman"/>
          <w:lang w:val="sr-Cyrl-RS"/>
        </w:rPr>
        <w:t xml:space="preserve">надоградњом </w:t>
      </w:r>
      <w:r w:rsidR="0C805508" w:rsidRPr="00226F9D">
        <w:rPr>
          <w:rFonts w:ascii="Times New Roman" w:eastAsia="Calibri" w:hAnsi="Times New Roman" w:cs="Times New Roman"/>
          <w:lang w:val="sr-Cyrl-RS"/>
        </w:rPr>
        <w:t xml:space="preserve">потенцијала </w:t>
      </w:r>
      <w:r w:rsidR="2AB46F32" w:rsidRPr="00226F9D">
        <w:rPr>
          <w:rFonts w:ascii="Times New Roman" w:eastAsia="Calibri" w:hAnsi="Times New Roman" w:cs="Times New Roman"/>
          <w:lang w:val="sr-Cyrl-RS"/>
        </w:rPr>
        <w:t>препознатих</w:t>
      </w:r>
      <w:r w:rsidR="4CDFEF44" w:rsidRPr="00226F9D">
        <w:rPr>
          <w:rFonts w:ascii="Times New Roman" w:eastAsia="Calibri" w:hAnsi="Times New Roman" w:cs="Times New Roman"/>
          <w:lang w:val="sr-Cyrl-RS"/>
        </w:rPr>
        <w:t xml:space="preserve"> у пр</w:t>
      </w:r>
      <w:r w:rsidR="2AB46F32" w:rsidRPr="00226F9D">
        <w:rPr>
          <w:rFonts w:ascii="Times New Roman" w:eastAsia="Calibri" w:hAnsi="Times New Roman" w:cs="Times New Roman"/>
          <w:lang w:val="sr-Cyrl-RS"/>
        </w:rPr>
        <w:t>е</w:t>
      </w:r>
      <w:r w:rsidR="4CDFEF44" w:rsidRPr="00226F9D">
        <w:rPr>
          <w:rFonts w:ascii="Times New Roman" w:eastAsia="Calibri" w:hAnsi="Times New Roman" w:cs="Times New Roman"/>
          <w:lang w:val="sr-Cyrl-RS"/>
        </w:rPr>
        <w:t>тходном програмском периоду</w:t>
      </w:r>
      <w:r w:rsidR="2AB46F32" w:rsidRPr="00226F9D">
        <w:rPr>
          <w:rFonts w:ascii="Times New Roman" w:eastAsia="Calibri" w:hAnsi="Times New Roman" w:cs="Times New Roman"/>
          <w:lang w:val="sr-Cyrl-RS"/>
        </w:rPr>
        <w:t xml:space="preserve"> и даљим инсистирањем на </w:t>
      </w:r>
      <w:r w:rsidR="14341604" w:rsidRPr="00226F9D">
        <w:rPr>
          <w:rFonts w:ascii="Times New Roman" w:eastAsia="Calibri" w:hAnsi="Times New Roman" w:cs="Times New Roman"/>
          <w:lang w:val="sr-Cyrl-RS"/>
        </w:rPr>
        <w:t xml:space="preserve">усвајању и примени постулата </w:t>
      </w:r>
      <w:r w:rsidR="7C534010" w:rsidRPr="00226F9D">
        <w:rPr>
          <w:rFonts w:ascii="Times New Roman" w:eastAsia="Calibri" w:hAnsi="Times New Roman" w:cs="Times New Roman"/>
          <w:lang w:val="sr-Cyrl-RS"/>
        </w:rPr>
        <w:t xml:space="preserve">демократије и децентрализације </w:t>
      </w:r>
      <w:r w:rsidR="312CA6D9" w:rsidRPr="00226F9D">
        <w:rPr>
          <w:rFonts w:ascii="Times New Roman" w:eastAsia="Calibri" w:hAnsi="Times New Roman" w:cs="Times New Roman"/>
          <w:lang w:val="sr-Cyrl-RS"/>
        </w:rPr>
        <w:t xml:space="preserve">у складу са </w:t>
      </w:r>
      <w:r w:rsidR="010FC619" w:rsidRPr="00226F9D">
        <w:rPr>
          <w:rFonts w:ascii="Times New Roman" w:eastAsia="Calibri" w:hAnsi="Times New Roman" w:cs="Times New Roman"/>
          <w:lang w:val="sr-Cyrl-RS"/>
        </w:rPr>
        <w:t xml:space="preserve">вредносним системом </w:t>
      </w:r>
      <w:r w:rsidR="32ED037C" w:rsidRPr="00226F9D">
        <w:rPr>
          <w:rFonts w:ascii="Times New Roman" w:eastAsia="Calibri" w:hAnsi="Times New Roman" w:cs="Times New Roman"/>
          <w:lang w:val="sr-Cyrl-RS"/>
        </w:rPr>
        <w:t>у европском контексту.</w:t>
      </w:r>
      <w:r w:rsidR="492696C2" w:rsidRPr="00226F9D">
        <w:rPr>
          <w:rFonts w:ascii="Times New Roman" w:eastAsia="Calibri" w:hAnsi="Times New Roman" w:cs="Times New Roman"/>
          <w:lang w:val="sr-Cyrl-RS"/>
        </w:rPr>
        <w:t xml:space="preserve"> </w:t>
      </w:r>
      <w:r w:rsidR="2E74A90A" w:rsidRPr="00226F9D">
        <w:rPr>
          <w:rFonts w:ascii="Times New Roman" w:eastAsia="Calibri" w:hAnsi="Times New Roman" w:cs="Times New Roman"/>
          <w:lang w:val="sr-Cyrl-RS"/>
        </w:rPr>
        <w:t>Са методолошког становишта</w:t>
      </w:r>
      <w:r w:rsidR="009D6C18" w:rsidRPr="00226F9D">
        <w:rPr>
          <w:rStyle w:val="FootnoteReference"/>
          <w:rFonts w:ascii="Times New Roman" w:eastAsia="Calibri" w:hAnsi="Times New Roman" w:cs="Times New Roman"/>
        </w:rPr>
        <w:footnoteReference w:id="63"/>
      </w:r>
      <w:r w:rsidR="2E74A90A" w:rsidRPr="00226F9D">
        <w:rPr>
          <w:rFonts w:ascii="Times New Roman" w:eastAsia="Calibri" w:hAnsi="Times New Roman" w:cs="Times New Roman"/>
          <w:lang w:val="sr-Cyrl-RS"/>
        </w:rPr>
        <w:t xml:space="preserve"> стога </w:t>
      </w:r>
      <w:r w:rsidR="0F08C824" w:rsidRPr="00226F9D">
        <w:rPr>
          <w:rFonts w:ascii="Times New Roman" w:eastAsia="Calibri" w:hAnsi="Times New Roman" w:cs="Times New Roman"/>
          <w:lang w:val="sr-Cyrl-RS"/>
        </w:rPr>
        <w:t xml:space="preserve">није </w:t>
      </w:r>
      <w:r w:rsidR="3182C3BA" w:rsidRPr="00226F9D">
        <w:rPr>
          <w:rFonts w:ascii="Times New Roman" w:eastAsia="Calibri" w:hAnsi="Times New Roman" w:cs="Times New Roman"/>
          <w:lang w:val="sr-Cyrl-RS"/>
        </w:rPr>
        <w:t>врш</w:t>
      </w:r>
      <w:r w:rsidR="452CCC0A" w:rsidRPr="00226F9D">
        <w:rPr>
          <w:rFonts w:ascii="Times New Roman" w:eastAsia="Calibri" w:hAnsi="Times New Roman" w:cs="Times New Roman"/>
          <w:lang w:val="sr-Cyrl-RS"/>
        </w:rPr>
        <w:t>ена</w:t>
      </w:r>
      <w:r w:rsidR="3182C3BA" w:rsidRPr="00226F9D">
        <w:rPr>
          <w:rFonts w:ascii="Times New Roman" w:eastAsia="Calibri" w:hAnsi="Times New Roman" w:cs="Times New Roman"/>
          <w:lang w:val="sr-Cyrl-RS"/>
        </w:rPr>
        <w:t xml:space="preserve"> </w:t>
      </w:r>
      <w:r w:rsidR="297E9957" w:rsidRPr="00226F9D">
        <w:rPr>
          <w:rFonts w:ascii="Times New Roman" w:eastAsia="Calibri" w:hAnsi="Times New Roman" w:cs="Times New Roman"/>
          <w:lang w:val="sr-Cyrl-RS"/>
        </w:rPr>
        <w:t>комплетна ревизија</w:t>
      </w:r>
      <w:r w:rsidR="01815496" w:rsidRPr="00226F9D">
        <w:rPr>
          <w:rFonts w:ascii="Times New Roman" w:eastAsia="Calibri" w:hAnsi="Times New Roman" w:cs="Times New Roman"/>
          <w:lang w:val="sr-Cyrl-RS"/>
        </w:rPr>
        <w:t xml:space="preserve"> опција</w:t>
      </w:r>
      <w:r w:rsidR="4A419053" w:rsidRPr="00226F9D">
        <w:rPr>
          <w:rFonts w:ascii="Times New Roman" w:eastAsia="Calibri" w:hAnsi="Times New Roman" w:cs="Times New Roman"/>
          <w:lang w:val="sr-Cyrl-RS"/>
        </w:rPr>
        <w:t xml:space="preserve">, већ је у односу на претходно </w:t>
      </w:r>
      <w:r w:rsidR="126C4E91" w:rsidRPr="00226F9D">
        <w:rPr>
          <w:rFonts w:ascii="Times New Roman" w:eastAsia="Calibri" w:hAnsi="Times New Roman" w:cs="Times New Roman"/>
          <w:lang w:val="sr-Cyrl-RS"/>
        </w:rPr>
        <w:t xml:space="preserve">анализиране и </w:t>
      </w:r>
      <w:r w:rsidR="4A419053" w:rsidRPr="00226F9D">
        <w:rPr>
          <w:rFonts w:ascii="Times New Roman" w:eastAsia="Calibri" w:hAnsi="Times New Roman" w:cs="Times New Roman"/>
          <w:lang w:val="sr-Cyrl-RS"/>
        </w:rPr>
        <w:t xml:space="preserve">постављене сетове мера </w:t>
      </w:r>
      <w:r w:rsidR="6D0D6248" w:rsidRPr="00226F9D">
        <w:rPr>
          <w:rFonts w:ascii="Times New Roman" w:eastAsia="Calibri" w:hAnsi="Times New Roman" w:cs="Times New Roman"/>
          <w:lang w:val="sr-Cyrl-RS"/>
        </w:rPr>
        <w:t>у оквиру посебних циљева</w:t>
      </w:r>
      <w:r w:rsidR="7D53D133" w:rsidRPr="00226F9D">
        <w:rPr>
          <w:rFonts w:ascii="Times New Roman" w:eastAsia="Calibri" w:hAnsi="Times New Roman" w:cs="Times New Roman"/>
          <w:lang w:val="sr-Cyrl-RS"/>
        </w:rPr>
        <w:t>,</w:t>
      </w:r>
      <w:r w:rsidR="4ADB4660" w:rsidRPr="00226F9D">
        <w:rPr>
          <w:rFonts w:ascii="Times New Roman" w:eastAsia="Calibri" w:hAnsi="Times New Roman" w:cs="Times New Roman"/>
          <w:lang w:val="sr-Cyrl-RS"/>
        </w:rPr>
        <w:t xml:space="preserve"> аргументован и предочен</w:t>
      </w:r>
      <w:r w:rsidR="2E96D038" w:rsidRPr="00226F9D">
        <w:rPr>
          <w:rFonts w:ascii="Times New Roman" w:eastAsia="Calibri" w:hAnsi="Times New Roman" w:cs="Times New Roman"/>
          <w:lang w:val="sr-Cyrl-RS"/>
        </w:rPr>
        <w:t xml:space="preserve"> адаптирани приступ </w:t>
      </w:r>
      <w:r w:rsidR="21602436" w:rsidRPr="00226F9D">
        <w:rPr>
          <w:rFonts w:ascii="Times New Roman" w:eastAsia="Calibri" w:hAnsi="Times New Roman" w:cs="Times New Roman"/>
          <w:lang w:val="sr-Cyrl-RS"/>
        </w:rPr>
        <w:t xml:space="preserve">за постизање жељених промена током новог програмског периода. </w:t>
      </w:r>
      <w:r w:rsidR="4D14469F" w:rsidRPr="00226F9D">
        <w:rPr>
          <w:rFonts w:ascii="Times New Roman" w:eastAsia="Calibri" w:hAnsi="Times New Roman" w:cs="Times New Roman"/>
          <w:lang w:val="sr-Cyrl-RS"/>
        </w:rPr>
        <w:t>Ова ра</w:t>
      </w:r>
      <w:r w:rsidR="48A7B1D3" w:rsidRPr="00226F9D">
        <w:rPr>
          <w:rFonts w:ascii="Times New Roman" w:eastAsia="Calibri" w:hAnsi="Times New Roman" w:cs="Times New Roman"/>
          <w:lang w:val="sr-Cyrl-RS"/>
        </w:rPr>
        <w:t>з</w:t>
      </w:r>
      <w:r w:rsidR="4D14469F" w:rsidRPr="00226F9D">
        <w:rPr>
          <w:rFonts w:ascii="Times New Roman" w:eastAsia="Calibri" w:hAnsi="Times New Roman" w:cs="Times New Roman"/>
          <w:lang w:val="sr-Cyrl-RS"/>
        </w:rPr>
        <w:t xml:space="preserve">матрања </w:t>
      </w:r>
      <w:r w:rsidR="37406320" w:rsidRPr="00226F9D">
        <w:rPr>
          <w:rFonts w:ascii="Times New Roman" w:eastAsia="Calibri" w:hAnsi="Times New Roman" w:cs="Times New Roman"/>
          <w:lang w:val="sr-Cyrl-RS"/>
        </w:rPr>
        <w:t>изложена</w:t>
      </w:r>
      <w:r w:rsidR="4D14469F" w:rsidRPr="00226F9D">
        <w:rPr>
          <w:rFonts w:ascii="Times New Roman" w:eastAsia="Calibri" w:hAnsi="Times New Roman" w:cs="Times New Roman"/>
          <w:lang w:val="sr-Cyrl-RS"/>
        </w:rPr>
        <w:t xml:space="preserve"> су </w:t>
      </w:r>
      <w:r w:rsidR="4D14469F" w:rsidRPr="00226F9D">
        <w:rPr>
          <w:rFonts w:ascii="Times New Roman" w:eastAsia="Calibri" w:hAnsi="Times New Roman" w:cs="Times New Roman"/>
          <w:lang w:val="sr-Cyrl-RS"/>
        </w:rPr>
        <w:lastRenderedPageBreak/>
        <w:t xml:space="preserve">у наставку </w:t>
      </w:r>
      <w:r w:rsidR="37C9CD39" w:rsidRPr="00226F9D">
        <w:rPr>
          <w:rFonts w:ascii="Times New Roman" w:eastAsia="Calibri" w:hAnsi="Times New Roman" w:cs="Times New Roman"/>
          <w:lang w:val="sr-Cyrl-RS"/>
        </w:rPr>
        <w:t xml:space="preserve">текста </w:t>
      </w:r>
      <w:r w:rsidR="2A7D6E09" w:rsidRPr="00226F9D">
        <w:rPr>
          <w:rFonts w:ascii="Times New Roman" w:eastAsia="Calibri" w:hAnsi="Times New Roman" w:cs="Times New Roman"/>
          <w:lang w:val="sr-Cyrl-RS"/>
        </w:rPr>
        <w:t xml:space="preserve">на нивоу сваког од посебних циљева </w:t>
      </w:r>
      <w:r w:rsidR="24726302" w:rsidRPr="00226F9D">
        <w:rPr>
          <w:rFonts w:ascii="Times New Roman" w:eastAsia="Calibri" w:hAnsi="Times New Roman" w:cs="Times New Roman"/>
          <w:lang w:val="sr-Cyrl-RS"/>
        </w:rPr>
        <w:t xml:space="preserve">у форми сажетака </w:t>
      </w:r>
      <w:r w:rsidR="0C4DF251" w:rsidRPr="00226F9D">
        <w:rPr>
          <w:rFonts w:ascii="Times New Roman" w:eastAsia="Calibri" w:hAnsi="Times New Roman" w:cs="Times New Roman"/>
          <w:lang w:val="sr-Cyrl-RS"/>
        </w:rPr>
        <w:t>заснованих на</w:t>
      </w:r>
      <w:r w:rsidR="6587DC21" w:rsidRPr="00226F9D">
        <w:rPr>
          <w:rFonts w:ascii="Times New Roman" w:eastAsia="Calibri" w:hAnsi="Times New Roman" w:cs="Times New Roman"/>
          <w:lang w:val="sr-Cyrl-RS"/>
        </w:rPr>
        <w:t>:</w:t>
      </w:r>
      <w:r w:rsidR="0C4DF251" w:rsidRPr="00226F9D">
        <w:rPr>
          <w:rFonts w:ascii="Times New Roman" w:eastAsia="Calibri" w:hAnsi="Times New Roman" w:cs="Times New Roman"/>
          <w:lang w:val="sr-Cyrl-RS"/>
        </w:rPr>
        <w:t xml:space="preserve"> </w:t>
      </w:r>
      <w:r w:rsidR="51C58AC6" w:rsidRPr="00226F9D">
        <w:rPr>
          <w:rFonts w:ascii="Times New Roman" w:eastAsia="Calibri" w:hAnsi="Times New Roman" w:cs="Times New Roman"/>
          <w:lang w:val="sr-Cyrl-RS"/>
        </w:rPr>
        <w:t xml:space="preserve">детаљној обради и </w:t>
      </w:r>
      <w:r w:rsidR="306B5939" w:rsidRPr="00226F9D">
        <w:rPr>
          <w:rFonts w:ascii="Times New Roman" w:eastAsia="Calibri" w:hAnsi="Times New Roman" w:cs="Times New Roman"/>
          <w:lang w:val="sr-Cyrl-RS"/>
        </w:rPr>
        <w:t xml:space="preserve">анализи опција </w:t>
      </w:r>
      <w:r w:rsidR="200CD9B4" w:rsidRPr="00226F9D">
        <w:rPr>
          <w:rFonts w:ascii="Times New Roman" w:eastAsia="Calibri" w:hAnsi="Times New Roman" w:cs="Times New Roman"/>
          <w:lang w:val="sr-Cyrl-RS"/>
        </w:rPr>
        <w:t>из ПРСЛС 2021-2025</w:t>
      </w:r>
      <w:r w:rsidR="030B8BF1" w:rsidRPr="00226F9D">
        <w:rPr>
          <w:rFonts w:ascii="Times New Roman" w:eastAsia="Calibri" w:hAnsi="Times New Roman" w:cs="Times New Roman"/>
          <w:lang w:val="sr-Cyrl-RS"/>
        </w:rPr>
        <w:t xml:space="preserve">, критеријумима </w:t>
      </w:r>
      <w:r w:rsidR="10854B26" w:rsidRPr="00226F9D">
        <w:rPr>
          <w:rFonts w:ascii="Times New Roman" w:eastAsia="Calibri" w:hAnsi="Times New Roman" w:cs="Times New Roman"/>
          <w:lang w:val="sr-Cyrl-RS"/>
        </w:rPr>
        <w:t xml:space="preserve">претходно </w:t>
      </w:r>
      <w:r w:rsidR="030B8BF1" w:rsidRPr="00226F9D">
        <w:rPr>
          <w:rFonts w:ascii="Times New Roman" w:eastAsia="Calibri" w:hAnsi="Times New Roman" w:cs="Times New Roman"/>
          <w:lang w:val="sr-Cyrl-RS"/>
        </w:rPr>
        <w:t xml:space="preserve">опредељеним </w:t>
      </w:r>
      <w:r w:rsidR="6E21DE50" w:rsidRPr="00226F9D">
        <w:rPr>
          <w:rFonts w:ascii="Times New Roman" w:eastAsia="Calibri" w:hAnsi="Times New Roman" w:cs="Times New Roman"/>
          <w:lang w:val="sr-Cyrl-RS"/>
        </w:rPr>
        <w:t xml:space="preserve">за избор опција </w:t>
      </w:r>
      <w:r w:rsidR="52712D90" w:rsidRPr="00226F9D">
        <w:rPr>
          <w:rFonts w:ascii="Times New Roman" w:eastAsia="Calibri" w:hAnsi="Times New Roman" w:cs="Times New Roman"/>
          <w:lang w:val="sr-Cyrl-RS"/>
        </w:rPr>
        <w:t xml:space="preserve">и засебним </w:t>
      </w:r>
      <w:r w:rsidR="6587DC21" w:rsidRPr="00226F9D">
        <w:rPr>
          <w:rFonts w:ascii="Times New Roman" w:eastAsia="Calibri" w:hAnsi="Times New Roman" w:cs="Times New Roman"/>
          <w:lang w:val="sr-Cyrl-RS"/>
        </w:rPr>
        <w:t xml:space="preserve">упоредним </w:t>
      </w:r>
      <w:r w:rsidR="52712D90" w:rsidRPr="00226F9D">
        <w:rPr>
          <w:rFonts w:ascii="Times New Roman" w:eastAsia="Calibri" w:hAnsi="Times New Roman" w:cs="Times New Roman"/>
          <w:lang w:val="sr-Cyrl-RS"/>
        </w:rPr>
        <w:t>прегледима</w:t>
      </w:r>
      <w:r w:rsidR="10854B26" w:rsidRPr="00226F9D">
        <w:rPr>
          <w:rFonts w:ascii="Times New Roman" w:eastAsia="Calibri" w:hAnsi="Times New Roman" w:cs="Times New Roman"/>
          <w:lang w:val="sr-Cyrl-RS"/>
        </w:rPr>
        <w:t xml:space="preserve"> </w:t>
      </w:r>
      <w:r w:rsidR="470FA7A7" w:rsidRPr="00226F9D">
        <w:rPr>
          <w:rFonts w:ascii="Times New Roman" w:eastAsia="Calibri" w:hAnsi="Times New Roman" w:cs="Times New Roman"/>
          <w:lang w:val="sr-Cyrl-RS"/>
        </w:rPr>
        <w:t xml:space="preserve">претходних и нових сетова мера </w:t>
      </w:r>
      <w:r w:rsidR="712705A5" w:rsidRPr="00226F9D">
        <w:rPr>
          <w:rFonts w:ascii="Times New Roman" w:eastAsia="Calibri" w:hAnsi="Times New Roman" w:cs="Times New Roman"/>
          <w:lang w:val="sr-Cyrl-RS"/>
        </w:rPr>
        <w:t xml:space="preserve">кроз матрицу </w:t>
      </w:r>
      <w:r w:rsidR="1F2102EE" w:rsidRPr="00226F9D">
        <w:rPr>
          <w:rFonts w:ascii="Times New Roman" w:eastAsia="Calibri" w:hAnsi="Times New Roman" w:cs="Times New Roman"/>
          <w:lang w:val="sr-Cyrl-RS"/>
        </w:rPr>
        <w:t xml:space="preserve">нових руководећих питања </w:t>
      </w:r>
      <w:r w:rsidR="5A3D1D65" w:rsidRPr="00226F9D">
        <w:rPr>
          <w:rFonts w:ascii="Times New Roman" w:eastAsia="Calibri" w:hAnsi="Times New Roman" w:cs="Times New Roman"/>
          <w:lang w:val="sr-Cyrl-RS"/>
        </w:rPr>
        <w:t>за идентификацију опција</w:t>
      </w:r>
      <w:r w:rsidR="00730AC2" w:rsidRPr="00226F9D">
        <w:rPr>
          <w:rStyle w:val="FootnoteReference"/>
          <w:rFonts w:ascii="Times New Roman" w:eastAsia="Calibri" w:hAnsi="Times New Roman" w:cs="Times New Roman"/>
        </w:rPr>
        <w:footnoteReference w:id="64"/>
      </w:r>
      <w:r w:rsidR="59F24037" w:rsidRPr="00226F9D">
        <w:rPr>
          <w:rFonts w:ascii="Times New Roman" w:eastAsia="Calibri" w:hAnsi="Times New Roman" w:cs="Times New Roman"/>
          <w:lang w:val="sr-Cyrl-RS"/>
        </w:rPr>
        <w:t>.</w:t>
      </w:r>
      <w:r w:rsidR="52712D90" w:rsidRPr="00226F9D">
        <w:rPr>
          <w:rFonts w:ascii="Times New Roman" w:eastAsia="Calibri" w:hAnsi="Times New Roman" w:cs="Times New Roman"/>
          <w:lang w:val="sr-Cyrl-RS"/>
        </w:rPr>
        <w:t xml:space="preserve"> </w:t>
      </w:r>
      <w:r w:rsidR="7D53D133" w:rsidRPr="00226F9D">
        <w:rPr>
          <w:rFonts w:ascii="Times New Roman" w:eastAsia="Calibri" w:hAnsi="Times New Roman" w:cs="Times New Roman"/>
          <w:lang w:val="sr-Cyrl-RS"/>
        </w:rPr>
        <w:t xml:space="preserve"> </w:t>
      </w:r>
      <w:r w:rsidR="4ADB4660" w:rsidRPr="00226F9D">
        <w:rPr>
          <w:rFonts w:ascii="Times New Roman" w:eastAsia="Calibri" w:hAnsi="Times New Roman" w:cs="Times New Roman"/>
          <w:lang w:val="sr-Cyrl-RS"/>
        </w:rPr>
        <w:t xml:space="preserve"> </w:t>
      </w:r>
    </w:p>
    <w:p w14:paraId="7D0FD22A" w14:textId="77777777" w:rsidR="005B7458" w:rsidRPr="00226F9D" w:rsidRDefault="005B7458" w:rsidP="00826194">
      <w:pPr>
        <w:spacing w:after="0" w:line="240" w:lineRule="auto"/>
        <w:jc w:val="both"/>
        <w:rPr>
          <w:rFonts w:ascii="Times New Roman" w:eastAsia="Calibri" w:hAnsi="Times New Roman" w:cs="Times New Roman"/>
          <w:color w:val="EE0000"/>
          <w:lang w:val="sr-Cyrl-RS"/>
        </w:rPr>
      </w:pPr>
    </w:p>
    <w:p w14:paraId="32069082" w14:textId="58D43B62" w:rsidR="00804DFD" w:rsidRPr="00226F9D" w:rsidRDefault="3E0EB501" w:rsidP="0082619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У погледу </w:t>
      </w:r>
      <w:r w:rsidR="115FBD7A" w:rsidRPr="00226F9D">
        <w:rPr>
          <w:rFonts w:ascii="Times New Roman" w:eastAsia="Calibri" w:hAnsi="Times New Roman" w:cs="Times New Roman"/>
          <w:b/>
          <w:bCs/>
          <w:i/>
          <w:iCs/>
          <w:lang w:val="sr-Cyrl-RS"/>
        </w:rPr>
        <w:t>кључни</w:t>
      </w:r>
      <w:r w:rsidR="45814552" w:rsidRPr="00226F9D">
        <w:rPr>
          <w:rFonts w:ascii="Times New Roman" w:eastAsia="Calibri" w:hAnsi="Times New Roman" w:cs="Times New Roman"/>
          <w:b/>
          <w:bCs/>
          <w:i/>
          <w:iCs/>
          <w:lang w:val="sr-Cyrl-RS"/>
        </w:rPr>
        <w:t>х</w:t>
      </w:r>
      <w:r w:rsidR="115FBD7A" w:rsidRPr="00226F9D">
        <w:rPr>
          <w:rFonts w:ascii="Times New Roman" w:eastAsia="Calibri" w:hAnsi="Times New Roman" w:cs="Times New Roman"/>
          <w:b/>
          <w:bCs/>
          <w:i/>
          <w:iCs/>
          <w:lang w:val="sr-Cyrl-RS"/>
        </w:rPr>
        <w:t xml:space="preserve"> ризи</w:t>
      </w:r>
      <w:r w:rsidR="45814552" w:rsidRPr="00226F9D">
        <w:rPr>
          <w:rFonts w:ascii="Times New Roman" w:eastAsia="Calibri" w:hAnsi="Times New Roman" w:cs="Times New Roman"/>
          <w:b/>
          <w:bCs/>
          <w:i/>
          <w:iCs/>
          <w:lang w:val="sr-Cyrl-RS"/>
        </w:rPr>
        <w:t>ка</w:t>
      </w:r>
      <w:r w:rsidR="115FBD7A" w:rsidRPr="00226F9D">
        <w:rPr>
          <w:rFonts w:ascii="Times New Roman" w:eastAsia="Calibri" w:hAnsi="Times New Roman" w:cs="Times New Roman"/>
          <w:lang w:val="sr-Cyrl-RS"/>
        </w:rPr>
        <w:t xml:space="preserve"> </w:t>
      </w:r>
      <w:r w:rsidR="4A2EBB9C" w:rsidRPr="00226F9D">
        <w:rPr>
          <w:rFonts w:ascii="Times New Roman" w:eastAsia="Calibri" w:hAnsi="Times New Roman" w:cs="Times New Roman"/>
          <w:lang w:val="sr-Cyrl-RS"/>
        </w:rPr>
        <w:t xml:space="preserve">у односу на </w:t>
      </w:r>
      <w:r w:rsidR="419D1005" w:rsidRPr="00226F9D">
        <w:rPr>
          <w:rFonts w:ascii="Times New Roman" w:eastAsia="Calibri" w:hAnsi="Times New Roman" w:cs="Times New Roman"/>
          <w:lang w:val="sr-Cyrl-RS"/>
        </w:rPr>
        <w:t xml:space="preserve">општи циљ </w:t>
      </w:r>
      <w:r w:rsidR="50415956" w:rsidRPr="00226F9D">
        <w:rPr>
          <w:rFonts w:ascii="Times New Roman" w:eastAsia="Calibri" w:hAnsi="Times New Roman" w:cs="Times New Roman"/>
          <w:lang w:val="sr-Cyrl-RS"/>
        </w:rPr>
        <w:t xml:space="preserve">Програма </w:t>
      </w:r>
      <w:r w:rsidR="419D1005" w:rsidRPr="00226F9D">
        <w:rPr>
          <w:rFonts w:ascii="Times New Roman" w:eastAsia="Calibri" w:hAnsi="Times New Roman" w:cs="Times New Roman"/>
          <w:lang w:val="sr-Cyrl-RS"/>
        </w:rPr>
        <w:t xml:space="preserve">и </w:t>
      </w:r>
      <w:r w:rsidR="40B18886" w:rsidRPr="00226F9D">
        <w:rPr>
          <w:rFonts w:ascii="Times New Roman" w:eastAsia="Calibri" w:hAnsi="Times New Roman" w:cs="Times New Roman"/>
          <w:lang w:val="sr-Cyrl-RS"/>
        </w:rPr>
        <w:t xml:space="preserve">имајући у виду </w:t>
      </w:r>
      <w:r w:rsidR="50415956" w:rsidRPr="00226F9D">
        <w:rPr>
          <w:rFonts w:ascii="Times New Roman" w:eastAsia="Calibri" w:hAnsi="Times New Roman" w:cs="Times New Roman"/>
          <w:lang w:val="sr-Cyrl-RS"/>
        </w:rPr>
        <w:t xml:space="preserve">делимично измењени </w:t>
      </w:r>
      <w:r w:rsidR="03E9F603" w:rsidRPr="00226F9D">
        <w:rPr>
          <w:rFonts w:ascii="Times New Roman" w:eastAsia="Calibri" w:hAnsi="Times New Roman" w:cs="Times New Roman"/>
          <w:lang w:val="sr-Cyrl-RS"/>
        </w:rPr>
        <w:t xml:space="preserve">пратећи </w:t>
      </w:r>
      <w:r w:rsidR="50415956" w:rsidRPr="00226F9D">
        <w:rPr>
          <w:rFonts w:ascii="Times New Roman" w:eastAsia="Calibri" w:hAnsi="Times New Roman" w:cs="Times New Roman"/>
          <w:lang w:val="sr-Cyrl-RS"/>
        </w:rPr>
        <w:t>сет показатеља</w:t>
      </w:r>
      <w:r w:rsidR="28047FD6" w:rsidRPr="00226F9D">
        <w:rPr>
          <w:rFonts w:ascii="Times New Roman" w:eastAsia="Calibri" w:hAnsi="Times New Roman" w:cs="Times New Roman"/>
          <w:lang w:val="sr-Cyrl-RS"/>
        </w:rPr>
        <w:t>, основна разматрања су</w:t>
      </w:r>
      <w:r w:rsidR="3C23C4B2" w:rsidRPr="00226F9D">
        <w:rPr>
          <w:rFonts w:ascii="Times New Roman" w:eastAsia="Calibri" w:hAnsi="Times New Roman" w:cs="Times New Roman"/>
          <w:lang w:val="sr-Cyrl-RS"/>
        </w:rPr>
        <w:t xml:space="preserve"> како следи</w:t>
      </w:r>
      <w:r w:rsidR="00964369" w:rsidRPr="00226F9D">
        <w:rPr>
          <w:rStyle w:val="FootnoteReference"/>
          <w:rFonts w:ascii="Times New Roman" w:eastAsia="Calibri" w:hAnsi="Times New Roman" w:cs="Times New Roman"/>
          <w:lang w:val="sr-Cyrl-RS"/>
        </w:rPr>
        <w:footnoteReference w:id="65"/>
      </w:r>
      <w:r w:rsidR="277885C9" w:rsidRPr="00226F9D">
        <w:rPr>
          <w:rFonts w:ascii="Times New Roman" w:eastAsia="Calibri" w:hAnsi="Times New Roman" w:cs="Times New Roman"/>
          <w:lang w:val="sr-Cyrl-RS"/>
        </w:rPr>
        <w:t>:</w:t>
      </w:r>
    </w:p>
    <w:p w14:paraId="43AAAC4F" w14:textId="77777777" w:rsidR="005E69DA" w:rsidRPr="00226F9D" w:rsidRDefault="005E69DA" w:rsidP="00826194">
      <w:pPr>
        <w:spacing w:after="0" w:line="240" w:lineRule="auto"/>
        <w:jc w:val="both"/>
        <w:rPr>
          <w:rFonts w:ascii="Times New Roman" w:eastAsia="Calibri" w:hAnsi="Times New Roman" w:cs="Times New Roman"/>
          <w:lang w:val="sr-Cyrl-RS"/>
        </w:rPr>
      </w:pPr>
    </w:p>
    <w:p w14:paraId="11BA56E0" w14:textId="26B8BC03" w:rsidR="009621C6" w:rsidRPr="00226F9D" w:rsidRDefault="00B21FD8" w:rsidP="00826194">
      <w:pPr>
        <w:spacing w:after="0" w:line="240" w:lineRule="auto"/>
        <w:jc w:val="both"/>
        <w:rPr>
          <w:rFonts w:ascii="Times New Roman" w:eastAsia="Calibri" w:hAnsi="Times New Roman" w:cs="Times New Roman"/>
          <w:color w:val="EE0000"/>
          <w:lang w:val="sr-Cyrl-RS"/>
        </w:rPr>
      </w:pPr>
      <w:r w:rsidRPr="00226F9D">
        <w:rPr>
          <w:rFonts w:ascii="Times New Roman" w:eastAsia="Calibri" w:hAnsi="Times New Roman" w:cs="Times New Roman"/>
          <w:color w:val="EE0000"/>
          <w:lang w:val="sr-Cyrl-RS"/>
        </w:rPr>
        <w:t xml:space="preserve"> </w:t>
      </w:r>
      <w:r w:rsidR="00651B4C" w:rsidRPr="00226F9D">
        <w:rPr>
          <w:rFonts w:ascii="Times New Roman" w:eastAsia="Calibri" w:hAnsi="Times New Roman" w:cs="Times New Roman"/>
          <w:color w:val="EE0000"/>
          <w:lang w:val="sr-Cyrl-RS"/>
        </w:rPr>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696"/>
        <w:gridCol w:w="1947"/>
        <w:gridCol w:w="3208"/>
        <w:gridCol w:w="2771"/>
      </w:tblGrid>
      <w:tr w:rsidR="001B3537" w:rsidRPr="00226F9D" w14:paraId="1849FA3C" w14:textId="77777777" w:rsidTr="00CD7A78">
        <w:tc>
          <w:tcPr>
            <w:tcW w:w="881" w:type="pct"/>
            <w:shd w:val="clear" w:color="auto" w:fill="FFFFFF" w:themeFill="background1"/>
          </w:tcPr>
          <w:p w14:paraId="023D15E7" w14:textId="77777777" w:rsidR="001B3537" w:rsidRPr="00226F9D" w:rsidRDefault="001B3537" w:rsidP="005F5666">
            <w:pPr>
              <w:spacing w:after="0" w:line="240" w:lineRule="auto"/>
              <w:jc w:val="center"/>
              <w:rPr>
                <w:rFonts w:ascii="Times New Roman" w:eastAsia="Calibri" w:hAnsi="Times New Roman" w:cs="Times New Roman"/>
                <w:b/>
                <w:bCs/>
                <w:kern w:val="0"/>
                <w:sz w:val="20"/>
                <w:szCs w:val="20"/>
                <w:lang w:val="sr-Cyrl-RS"/>
                <w14:ligatures w14:val="none"/>
              </w:rPr>
            </w:pPr>
            <w:r w:rsidRPr="00226F9D">
              <w:rPr>
                <w:rFonts w:ascii="Times New Roman" w:eastAsia="Calibri" w:hAnsi="Times New Roman" w:cs="Times New Roman"/>
                <w:b/>
                <w:bCs/>
                <w:kern w:val="0"/>
                <w:sz w:val="20"/>
                <w:szCs w:val="20"/>
                <w:lang w:val="sr-Cyrl-RS"/>
                <w14:ligatures w14:val="none"/>
              </w:rPr>
              <w:t>Општи циљ</w:t>
            </w:r>
          </w:p>
        </w:tc>
        <w:tc>
          <w:tcPr>
            <w:tcW w:w="1012" w:type="pct"/>
            <w:shd w:val="clear" w:color="auto" w:fill="FFFFFF" w:themeFill="background1"/>
          </w:tcPr>
          <w:p w14:paraId="7C7DDF6F" w14:textId="7AD7F806" w:rsidR="001B3537" w:rsidRPr="00226F9D" w:rsidRDefault="004B0DDB" w:rsidP="005F5666">
            <w:pPr>
              <w:spacing w:after="0" w:line="240" w:lineRule="auto"/>
              <w:jc w:val="center"/>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w:t>
            </w:r>
            <w:r w:rsidR="00071BEE" w:rsidRPr="00226F9D">
              <w:rPr>
                <w:rFonts w:ascii="Times New Roman" w:eastAsia="Times New Roman" w:hAnsi="Times New Roman" w:cs="Times New Roman"/>
                <w:b/>
                <w:bCs/>
                <w:kern w:val="0"/>
                <w:sz w:val="20"/>
                <w:szCs w:val="20"/>
                <w:lang w:val="sr-Cyrl-RS"/>
                <w14:ligatures w14:val="none"/>
              </w:rPr>
              <w:t>оказатељи</w:t>
            </w:r>
          </w:p>
        </w:tc>
        <w:tc>
          <w:tcPr>
            <w:tcW w:w="1667" w:type="pct"/>
            <w:shd w:val="clear" w:color="auto" w:fill="FFFFFF" w:themeFill="background1"/>
          </w:tcPr>
          <w:p w14:paraId="6770DFD6" w14:textId="694CB182" w:rsidR="001B3537" w:rsidRPr="00226F9D" w:rsidRDefault="004B0DDB" w:rsidP="005F5666">
            <w:pPr>
              <w:spacing w:after="0" w:line="240" w:lineRule="auto"/>
              <w:jc w:val="center"/>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О</w:t>
            </w:r>
            <w:r w:rsidR="001B3537" w:rsidRPr="00226F9D">
              <w:rPr>
                <w:rFonts w:ascii="Times New Roman" w:eastAsia="Times New Roman" w:hAnsi="Times New Roman" w:cs="Times New Roman"/>
                <w:b/>
                <w:bCs/>
                <w:kern w:val="0"/>
                <w:sz w:val="20"/>
                <w:szCs w:val="20"/>
                <w:lang w:val="sr-Cyrl-RS"/>
                <w14:ligatures w14:val="none"/>
              </w:rPr>
              <w:t>пис ризика</w:t>
            </w:r>
          </w:p>
        </w:tc>
        <w:tc>
          <w:tcPr>
            <w:tcW w:w="1440" w:type="pct"/>
            <w:shd w:val="clear" w:color="auto" w:fill="FFFFFF" w:themeFill="background1"/>
          </w:tcPr>
          <w:p w14:paraId="70481491" w14:textId="1E670B4E" w:rsidR="001B3537" w:rsidRPr="00226F9D" w:rsidRDefault="004B0DDB" w:rsidP="005F5666">
            <w:pPr>
              <w:spacing w:after="0" w:line="240" w:lineRule="auto"/>
              <w:jc w:val="center"/>
              <w:rPr>
                <w:rFonts w:ascii="Times New Roman" w:eastAsia="Calibri"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У</w:t>
            </w:r>
            <w:r w:rsidR="001B3537" w:rsidRPr="00226F9D">
              <w:rPr>
                <w:rFonts w:ascii="Times New Roman" w:eastAsia="Times New Roman" w:hAnsi="Times New Roman" w:cs="Times New Roman"/>
                <w:b/>
                <w:bCs/>
                <w:kern w:val="0"/>
                <w:sz w:val="20"/>
                <w:szCs w:val="20"/>
                <w:lang w:val="sr-Cyrl-RS"/>
                <w14:ligatures w14:val="none"/>
              </w:rPr>
              <w:t>блажавање ризика</w:t>
            </w:r>
          </w:p>
        </w:tc>
      </w:tr>
      <w:tr w:rsidR="009621C6" w:rsidRPr="00226F9D" w14:paraId="5A68758C" w14:textId="77777777" w:rsidTr="00CD7A78">
        <w:tc>
          <w:tcPr>
            <w:tcW w:w="881" w:type="pct"/>
            <w:vMerge w:val="restart"/>
          </w:tcPr>
          <w:p w14:paraId="17ABB4DD" w14:textId="77777777" w:rsidR="009621C6" w:rsidRPr="00226F9D" w:rsidRDefault="009621C6" w:rsidP="005F2AFC">
            <w:pPr>
              <w:spacing w:after="0" w:line="240" w:lineRule="auto"/>
              <w:rPr>
                <w:rFonts w:ascii="Times New Roman" w:eastAsia="Times New Roman" w:hAnsi="Times New Roman" w:cs="Times New Roman"/>
                <w:bCs/>
                <w:iCs/>
                <w:color w:val="000000"/>
                <w:kern w:val="24"/>
                <w:sz w:val="20"/>
                <w:szCs w:val="20"/>
                <w:lang w:val="sr-Cyrl-RS"/>
                <w14:ligatures w14:val="none"/>
              </w:rPr>
            </w:pPr>
          </w:p>
          <w:p w14:paraId="69119780" w14:textId="40299E53" w:rsidR="009621C6" w:rsidRPr="00226F9D" w:rsidRDefault="009621C6" w:rsidP="005F2AFC">
            <w:pPr>
              <w:spacing w:after="0" w:line="240" w:lineRule="auto"/>
              <w:rPr>
                <w:rFonts w:ascii="Times New Roman" w:eastAsia="Calibri" w:hAnsi="Times New Roman" w:cs="Times New Roman"/>
                <w:b/>
                <w:bCs/>
                <w:kern w:val="0"/>
                <w:sz w:val="20"/>
                <w:szCs w:val="20"/>
                <w:lang w:val="sr-Cyrl-RS"/>
                <w14:ligatures w14:val="none"/>
              </w:rPr>
            </w:pPr>
            <w:r w:rsidRPr="00226F9D">
              <w:rPr>
                <w:rFonts w:ascii="Times New Roman" w:eastAsia="Times New Roman" w:hAnsi="Times New Roman" w:cs="Times New Roman"/>
                <w:bCs/>
                <w:iCs/>
                <w:color w:val="000000"/>
                <w:kern w:val="24"/>
                <w:sz w:val="20"/>
                <w:szCs w:val="20"/>
                <w:lang w:val="sr-Cyrl-RS"/>
                <w14:ligatures w14:val="none"/>
              </w:rPr>
              <w:t>Успостављање система локалне самоуправе који омогућава ефикасно и одрживо остваривање права грађана на локалну самоуправу</w:t>
            </w:r>
          </w:p>
        </w:tc>
        <w:tc>
          <w:tcPr>
            <w:tcW w:w="1012" w:type="pct"/>
          </w:tcPr>
          <w:p w14:paraId="62EE032F" w14:textId="3512ADC8" w:rsidR="009621C6" w:rsidRPr="00226F9D" w:rsidRDefault="00071BEE" w:rsidP="005F2AFC">
            <w:pPr>
              <w:spacing w:after="0" w:line="240" w:lineRule="auto"/>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СИГМА индикатор 14 (multilevel governance)</w:t>
            </w:r>
          </w:p>
        </w:tc>
        <w:tc>
          <w:tcPr>
            <w:tcW w:w="1667" w:type="pct"/>
          </w:tcPr>
          <w:p w14:paraId="074212B8" w14:textId="003BCED9" w:rsidR="009621C6" w:rsidRPr="00226F9D" w:rsidRDefault="004C2057" w:rsidP="005F2AFC">
            <w:pPr>
              <w:spacing w:after="0" w:line="240" w:lineRule="auto"/>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Недовољно јасна</w:t>
            </w:r>
            <w:r w:rsidR="003D0A4F" w:rsidRPr="00226F9D">
              <w:rPr>
                <w:rFonts w:ascii="Times New Roman" w:eastAsia="Times New Roman" w:hAnsi="Times New Roman" w:cs="Times New Roman"/>
                <w:kern w:val="0"/>
                <w:sz w:val="20"/>
                <w:szCs w:val="20"/>
                <w:lang w:val="sr-Cyrl-RS"/>
                <w14:ligatures w14:val="none"/>
              </w:rPr>
              <w:t xml:space="preserve"> расподела </w:t>
            </w:r>
            <w:r w:rsidR="00292C95" w:rsidRPr="00226F9D">
              <w:rPr>
                <w:rFonts w:ascii="Times New Roman" w:eastAsia="Times New Roman" w:hAnsi="Times New Roman" w:cs="Times New Roman"/>
                <w:kern w:val="0"/>
                <w:sz w:val="20"/>
                <w:szCs w:val="20"/>
                <w:lang w:val="sr-Cyrl-RS"/>
                <w14:ligatures w14:val="none"/>
              </w:rPr>
              <w:t xml:space="preserve">појединих аспеката одговорности и надлежности између нивоа власти </w:t>
            </w:r>
            <w:r w:rsidR="002A6375" w:rsidRPr="00226F9D">
              <w:rPr>
                <w:rFonts w:ascii="Times New Roman" w:eastAsia="Times New Roman" w:hAnsi="Times New Roman" w:cs="Times New Roman"/>
                <w:kern w:val="0"/>
                <w:sz w:val="20"/>
                <w:szCs w:val="20"/>
                <w:lang w:val="sr-Cyrl-RS"/>
                <w14:ligatures w14:val="none"/>
              </w:rPr>
              <w:t xml:space="preserve">и </w:t>
            </w:r>
            <w:r w:rsidR="00197756" w:rsidRPr="00226F9D">
              <w:rPr>
                <w:rFonts w:ascii="Times New Roman" w:eastAsia="Times New Roman" w:hAnsi="Times New Roman" w:cs="Times New Roman"/>
                <w:kern w:val="0"/>
                <w:sz w:val="20"/>
                <w:szCs w:val="20"/>
                <w:lang w:val="sr-Cyrl-RS"/>
                <w14:ligatures w14:val="none"/>
              </w:rPr>
              <w:t>недовољна координација</w:t>
            </w:r>
          </w:p>
        </w:tc>
        <w:tc>
          <w:tcPr>
            <w:tcW w:w="1440" w:type="pct"/>
          </w:tcPr>
          <w:p w14:paraId="0CD4CA7B" w14:textId="08306C5B" w:rsidR="009621C6" w:rsidRPr="00226F9D" w:rsidRDefault="0045270A" w:rsidP="005F2AFC">
            <w:pPr>
              <w:spacing w:after="0" w:line="240" w:lineRule="auto"/>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Предвиђен</w:t>
            </w:r>
            <w:r w:rsidR="000D68F0" w:rsidRPr="00226F9D">
              <w:rPr>
                <w:rFonts w:ascii="Times New Roman" w:eastAsia="Times New Roman" w:hAnsi="Times New Roman" w:cs="Times New Roman"/>
                <w:kern w:val="0"/>
                <w:sz w:val="20"/>
                <w:szCs w:val="20"/>
                <w:lang w:val="sr-Cyrl-RS"/>
                <w14:ligatures w14:val="none"/>
              </w:rPr>
              <w:t>е детаљне анализе правног оквира</w:t>
            </w:r>
            <w:r w:rsidR="00410B4D" w:rsidRPr="00226F9D">
              <w:rPr>
                <w:rFonts w:ascii="Times New Roman" w:eastAsia="Times New Roman" w:hAnsi="Times New Roman" w:cs="Times New Roman"/>
                <w:kern w:val="0"/>
                <w:sz w:val="20"/>
                <w:szCs w:val="20"/>
                <w:lang w:val="sr-Cyrl-RS"/>
                <w14:ligatures w14:val="none"/>
              </w:rPr>
              <w:t>, његове измене и допуне у правцу</w:t>
            </w:r>
            <w:r w:rsidR="00C57129" w:rsidRPr="00226F9D">
              <w:rPr>
                <w:rFonts w:ascii="Times New Roman" w:hAnsi="Times New Roman" w:cs="Times New Roman"/>
                <w:sz w:val="20"/>
                <w:szCs w:val="20"/>
                <w:lang w:val="sr-Cyrl-RS"/>
              </w:rPr>
              <w:t xml:space="preserve"> </w:t>
            </w:r>
            <w:r w:rsidR="000B7F72" w:rsidRPr="00226F9D">
              <w:rPr>
                <w:rFonts w:ascii="Times New Roman" w:eastAsia="Times New Roman" w:hAnsi="Times New Roman" w:cs="Times New Roman"/>
                <w:kern w:val="0"/>
                <w:sz w:val="20"/>
                <w:szCs w:val="20"/>
                <w:lang w:val="sr-Cyrl-RS"/>
                <w14:ligatures w14:val="none"/>
              </w:rPr>
              <w:t xml:space="preserve">изградње </w:t>
            </w:r>
            <w:r w:rsidR="00C57129" w:rsidRPr="00226F9D">
              <w:rPr>
                <w:rFonts w:ascii="Times New Roman" w:eastAsia="Times New Roman" w:hAnsi="Times New Roman" w:cs="Times New Roman"/>
                <w:kern w:val="0"/>
                <w:sz w:val="20"/>
                <w:szCs w:val="20"/>
                <w:lang w:val="sr-Cyrl-RS"/>
                <w14:ligatures w14:val="none"/>
              </w:rPr>
              <w:t xml:space="preserve">снажнијег и функционалнијег система </w:t>
            </w:r>
            <w:r w:rsidR="000B7F72" w:rsidRPr="00226F9D">
              <w:rPr>
                <w:rFonts w:ascii="Times New Roman" w:eastAsia="Times New Roman" w:hAnsi="Times New Roman" w:cs="Times New Roman"/>
                <w:kern w:val="0"/>
                <w:sz w:val="20"/>
                <w:szCs w:val="20"/>
                <w:lang w:val="sr-Cyrl-RS"/>
                <w14:ligatures w14:val="none"/>
              </w:rPr>
              <w:t xml:space="preserve">ЛС </w:t>
            </w:r>
            <w:r w:rsidR="001C4202" w:rsidRPr="00226F9D">
              <w:rPr>
                <w:rFonts w:ascii="Times New Roman" w:eastAsia="Times New Roman" w:hAnsi="Times New Roman" w:cs="Times New Roman"/>
                <w:kern w:val="0"/>
                <w:sz w:val="20"/>
                <w:szCs w:val="20"/>
                <w:lang w:val="sr-Cyrl-RS"/>
                <w14:ligatures w14:val="none"/>
              </w:rPr>
              <w:t xml:space="preserve">и </w:t>
            </w:r>
            <w:r w:rsidR="00B510DB" w:rsidRPr="00226F9D">
              <w:rPr>
                <w:rFonts w:ascii="Times New Roman" w:eastAsia="Times New Roman" w:hAnsi="Times New Roman" w:cs="Times New Roman"/>
                <w:kern w:val="0"/>
                <w:sz w:val="20"/>
                <w:szCs w:val="20"/>
                <w:lang w:val="sr-Cyrl-RS"/>
                <w14:ligatures w14:val="none"/>
              </w:rPr>
              <w:t>усклађивања са ЕПЛС</w:t>
            </w:r>
            <w:r w:rsidR="00C57129" w:rsidRPr="00226F9D">
              <w:rPr>
                <w:rFonts w:ascii="Times New Roman" w:eastAsia="Times New Roman" w:hAnsi="Times New Roman" w:cs="Times New Roman"/>
                <w:kern w:val="0"/>
                <w:sz w:val="20"/>
                <w:szCs w:val="20"/>
                <w:lang w:val="sr-Cyrl-RS"/>
                <w14:ligatures w14:val="none"/>
              </w:rPr>
              <w:t xml:space="preserve"> </w:t>
            </w:r>
            <w:r w:rsidR="00410B4D" w:rsidRPr="00226F9D">
              <w:rPr>
                <w:rFonts w:ascii="Times New Roman" w:eastAsia="Times New Roman" w:hAnsi="Times New Roman" w:cs="Times New Roman"/>
                <w:kern w:val="0"/>
                <w:sz w:val="20"/>
                <w:szCs w:val="20"/>
                <w:lang w:val="sr-Cyrl-RS"/>
                <w14:ligatures w14:val="none"/>
              </w:rPr>
              <w:t xml:space="preserve">  </w:t>
            </w:r>
            <w:r w:rsidR="000D68F0" w:rsidRPr="00226F9D">
              <w:rPr>
                <w:rFonts w:ascii="Times New Roman" w:eastAsia="Times New Roman" w:hAnsi="Times New Roman" w:cs="Times New Roman"/>
                <w:kern w:val="0"/>
                <w:sz w:val="20"/>
                <w:szCs w:val="20"/>
                <w:lang w:val="sr-Cyrl-RS"/>
                <w14:ligatures w14:val="none"/>
              </w:rPr>
              <w:t xml:space="preserve"> </w:t>
            </w:r>
          </w:p>
        </w:tc>
      </w:tr>
      <w:tr w:rsidR="009621C6" w:rsidRPr="00226F9D" w14:paraId="1ED41D8A" w14:textId="77777777" w:rsidTr="00CD7A78">
        <w:tc>
          <w:tcPr>
            <w:tcW w:w="881" w:type="pct"/>
            <w:vMerge/>
          </w:tcPr>
          <w:p w14:paraId="1795FF38" w14:textId="77777777" w:rsidR="009621C6" w:rsidRPr="00226F9D" w:rsidRDefault="009621C6" w:rsidP="005F2AFC">
            <w:pPr>
              <w:spacing w:after="0" w:line="240" w:lineRule="auto"/>
              <w:rPr>
                <w:rFonts w:ascii="Times New Roman" w:eastAsia="Times New Roman" w:hAnsi="Times New Roman" w:cs="Times New Roman"/>
                <w:bCs/>
                <w:iCs/>
                <w:color w:val="000000"/>
                <w:kern w:val="24"/>
                <w:sz w:val="20"/>
                <w:szCs w:val="20"/>
                <w:lang w:val="sr-Cyrl-RS"/>
                <w14:ligatures w14:val="none"/>
              </w:rPr>
            </w:pPr>
          </w:p>
        </w:tc>
        <w:tc>
          <w:tcPr>
            <w:tcW w:w="1012" w:type="pct"/>
          </w:tcPr>
          <w:p w14:paraId="706CD6D7" w14:textId="75C98D93" w:rsidR="009621C6" w:rsidRPr="00226F9D" w:rsidRDefault="009905F4" w:rsidP="005F2AFC">
            <w:pPr>
              <w:spacing w:after="0" w:line="240" w:lineRule="auto"/>
              <w:rPr>
                <w:rFonts w:ascii="Times New Roman" w:eastAsia="Calibri" w:hAnsi="Times New Roman" w:cs="Times New Roman"/>
                <w:kern w:val="0"/>
                <w:sz w:val="20"/>
                <w:szCs w:val="20"/>
                <w:lang w:val="sr-Cyrl-RS"/>
                <w14:ligatures w14:val="none"/>
              </w:rPr>
            </w:pPr>
            <w:r w:rsidRPr="00226F9D">
              <w:rPr>
                <w:rFonts w:ascii="Times New Roman" w:eastAsia="Calibri" w:hAnsi="Times New Roman" w:cs="Times New Roman"/>
                <w:kern w:val="0"/>
                <w:sz w:val="20"/>
                <w:szCs w:val="20"/>
                <w:lang w:val="sr-Cyrl-RS"/>
                <w14:ligatures w14:val="none"/>
              </w:rPr>
              <w:t>Удео расхода ЛС у консолидованим јавним расходима у Републици Србији</w:t>
            </w:r>
          </w:p>
        </w:tc>
        <w:tc>
          <w:tcPr>
            <w:tcW w:w="1667" w:type="pct"/>
          </w:tcPr>
          <w:p w14:paraId="1A7AEB98" w14:textId="37DB7AE1" w:rsidR="009621C6" w:rsidRPr="00226F9D" w:rsidRDefault="0092480B" w:rsidP="005F2AFC">
            <w:pPr>
              <w:spacing w:after="0" w:line="240" w:lineRule="auto"/>
              <w:rPr>
                <w:rFonts w:ascii="Times New Roman" w:eastAsia="Calibri" w:hAnsi="Times New Roman" w:cs="Times New Roman"/>
                <w:kern w:val="0"/>
                <w:sz w:val="20"/>
                <w:szCs w:val="20"/>
                <w:lang w:val="sr-Cyrl-RS"/>
                <w14:ligatures w14:val="none"/>
              </w:rPr>
            </w:pPr>
            <w:r w:rsidRPr="00226F9D">
              <w:rPr>
                <w:rFonts w:ascii="Times New Roman" w:eastAsia="Calibri" w:hAnsi="Times New Roman" w:cs="Times New Roman"/>
                <w:kern w:val="0"/>
                <w:sz w:val="20"/>
                <w:szCs w:val="20"/>
                <w:lang w:val="sr-Cyrl-RS"/>
                <w14:ligatures w14:val="none"/>
              </w:rPr>
              <w:t>С</w:t>
            </w:r>
            <w:r w:rsidR="00B23BA7" w:rsidRPr="00226F9D">
              <w:rPr>
                <w:rFonts w:ascii="Times New Roman" w:eastAsia="Calibri" w:hAnsi="Times New Roman" w:cs="Times New Roman"/>
                <w:kern w:val="0"/>
                <w:sz w:val="20"/>
                <w:szCs w:val="20"/>
                <w:lang w:val="sr-Cyrl-RS"/>
                <w14:ligatures w14:val="none"/>
              </w:rPr>
              <w:t xml:space="preserve">лабљење </w:t>
            </w:r>
            <w:r w:rsidR="00045A66" w:rsidRPr="00226F9D">
              <w:rPr>
                <w:rFonts w:ascii="Times New Roman" w:eastAsia="Calibri" w:hAnsi="Times New Roman" w:cs="Times New Roman"/>
                <w:kern w:val="0"/>
                <w:sz w:val="20"/>
                <w:szCs w:val="20"/>
                <w:lang w:val="sr-Cyrl-RS"/>
                <w14:ligatures w14:val="none"/>
              </w:rPr>
              <w:t>финанс</w:t>
            </w:r>
            <w:r w:rsidR="00486459" w:rsidRPr="00226F9D">
              <w:rPr>
                <w:rFonts w:ascii="Times New Roman" w:eastAsia="Calibri" w:hAnsi="Times New Roman" w:cs="Times New Roman"/>
                <w:kern w:val="0"/>
                <w:sz w:val="20"/>
                <w:szCs w:val="20"/>
                <w:lang w:val="sr-Cyrl-RS"/>
                <w14:ligatures w14:val="none"/>
              </w:rPr>
              <w:t>и</w:t>
            </w:r>
            <w:r w:rsidR="00045A66" w:rsidRPr="00226F9D">
              <w:rPr>
                <w:rFonts w:ascii="Times New Roman" w:eastAsia="Calibri" w:hAnsi="Times New Roman" w:cs="Times New Roman"/>
                <w:kern w:val="0"/>
                <w:sz w:val="20"/>
                <w:szCs w:val="20"/>
                <w:lang w:val="sr-Cyrl-RS"/>
                <w14:ligatures w14:val="none"/>
              </w:rPr>
              <w:t xml:space="preserve">јске позиције ЛС </w:t>
            </w:r>
            <w:r w:rsidR="00547462" w:rsidRPr="00226F9D">
              <w:rPr>
                <w:rFonts w:ascii="Times New Roman" w:eastAsia="Calibri" w:hAnsi="Times New Roman" w:cs="Times New Roman"/>
                <w:kern w:val="0"/>
                <w:sz w:val="20"/>
                <w:szCs w:val="20"/>
                <w:lang w:val="sr-Cyrl-RS"/>
                <w14:ligatures w14:val="none"/>
              </w:rPr>
              <w:t xml:space="preserve">и </w:t>
            </w:r>
            <w:r w:rsidR="00C77C68" w:rsidRPr="00226F9D">
              <w:rPr>
                <w:rFonts w:ascii="Times New Roman" w:eastAsia="Calibri" w:hAnsi="Times New Roman" w:cs="Times New Roman"/>
                <w:kern w:val="0"/>
                <w:sz w:val="20"/>
                <w:szCs w:val="20"/>
                <w:lang w:val="sr-Cyrl-RS"/>
                <w14:ligatures w14:val="none"/>
              </w:rPr>
              <w:t>ограниченост</w:t>
            </w:r>
            <w:r w:rsidRPr="00226F9D">
              <w:rPr>
                <w:rFonts w:ascii="Times New Roman" w:eastAsia="Calibri" w:hAnsi="Times New Roman" w:cs="Times New Roman"/>
                <w:kern w:val="0"/>
                <w:sz w:val="20"/>
                <w:szCs w:val="20"/>
                <w:lang w:val="sr-Cyrl-RS"/>
                <w14:ligatures w14:val="none"/>
              </w:rPr>
              <w:t xml:space="preserve"> средстава за </w:t>
            </w:r>
            <w:r w:rsidR="00A87BF0" w:rsidRPr="00226F9D">
              <w:rPr>
                <w:rFonts w:ascii="Times New Roman" w:eastAsia="Calibri" w:hAnsi="Times New Roman" w:cs="Times New Roman"/>
                <w:kern w:val="0"/>
                <w:sz w:val="20"/>
                <w:szCs w:val="20"/>
                <w:lang w:val="sr-Cyrl-RS"/>
                <w14:ligatures w14:val="none"/>
              </w:rPr>
              <w:t>ефективно</w:t>
            </w:r>
            <w:r w:rsidR="00FD6842" w:rsidRPr="00226F9D">
              <w:rPr>
                <w:rFonts w:ascii="Times New Roman" w:eastAsia="Calibri" w:hAnsi="Times New Roman" w:cs="Times New Roman"/>
                <w:kern w:val="0"/>
                <w:sz w:val="20"/>
                <w:szCs w:val="20"/>
                <w:lang w:val="sr-Cyrl-RS"/>
                <w14:ligatures w14:val="none"/>
              </w:rPr>
              <w:t xml:space="preserve"> спровођење</w:t>
            </w:r>
            <w:r w:rsidR="00A87BF0" w:rsidRPr="00226F9D">
              <w:rPr>
                <w:rFonts w:ascii="Times New Roman" w:eastAsia="Calibri" w:hAnsi="Times New Roman" w:cs="Times New Roman"/>
                <w:kern w:val="0"/>
                <w:sz w:val="20"/>
                <w:szCs w:val="20"/>
                <w:lang w:val="sr-Cyrl-RS"/>
                <w14:ligatures w14:val="none"/>
              </w:rPr>
              <w:t xml:space="preserve"> надлежности и </w:t>
            </w:r>
            <w:r w:rsidR="0087516F" w:rsidRPr="00226F9D">
              <w:rPr>
                <w:rFonts w:ascii="Times New Roman" w:eastAsia="Calibri" w:hAnsi="Times New Roman" w:cs="Times New Roman"/>
                <w:kern w:val="0"/>
                <w:sz w:val="20"/>
                <w:szCs w:val="20"/>
                <w:lang w:val="sr-Cyrl-RS"/>
                <w14:ligatures w14:val="none"/>
              </w:rPr>
              <w:t xml:space="preserve">за </w:t>
            </w:r>
            <w:r w:rsidR="00A87BF0" w:rsidRPr="00226F9D">
              <w:rPr>
                <w:rFonts w:ascii="Times New Roman" w:eastAsia="Calibri" w:hAnsi="Times New Roman" w:cs="Times New Roman"/>
                <w:kern w:val="0"/>
                <w:sz w:val="20"/>
                <w:szCs w:val="20"/>
                <w:lang w:val="sr-Cyrl-RS"/>
                <w14:ligatures w14:val="none"/>
              </w:rPr>
              <w:t>учешће у развојним иницијативама</w:t>
            </w:r>
            <w:r w:rsidR="0087516F" w:rsidRPr="00226F9D">
              <w:rPr>
                <w:rFonts w:ascii="Times New Roman" w:eastAsia="Calibri" w:hAnsi="Times New Roman" w:cs="Times New Roman"/>
                <w:kern w:val="0"/>
                <w:sz w:val="20"/>
                <w:szCs w:val="20"/>
                <w:lang w:val="sr-Cyrl-RS"/>
                <w14:ligatures w14:val="none"/>
              </w:rPr>
              <w:t xml:space="preserve"> </w:t>
            </w:r>
            <w:r w:rsidR="00E758B4" w:rsidRPr="00226F9D">
              <w:rPr>
                <w:rFonts w:ascii="Times New Roman" w:eastAsia="Calibri" w:hAnsi="Times New Roman" w:cs="Times New Roman"/>
                <w:kern w:val="0"/>
                <w:sz w:val="20"/>
                <w:szCs w:val="20"/>
                <w:lang w:val="sr-Cyrl-RS"/>
                <w14:ligatures w14:val="none"/>
              </w:rPr>
              <w:t>и инвестицијама</w:t>
            </w:r>
            <w:r w:rsidR="0087516F" w:rsidRPr="00226F9D">
              <w:rPr>
                <w:rFonts w:ascii="Times New Roman" w:eastAsia="Calibri" w:hAnsi="Times New Roman" w:cs="Times New Roman"/>
                <w:kern w:val="0"/>
                <w:sz w:val="20"/>
                <w:szCs w:val="20"/>
                <w:lang w:val="sr-Cyrl-RS"/>
                <w14:ligatures w14:val="none"/>
              </w:rPr>
              <w:t xml:space="preserve"> </w:t>
            </w:r>
            <w:r w:rsidR="00A87BF0" w:rsidRPr="00226F9D">
              <w:rPr>
                <w:rFonts w:ascii="Times New Roman" w:eastAsia="Calibri" w:hAnsi="Times New Roman" w:cs="Times New Roman"/>
                <w:kern w:val="0"/>
                <w:sz w:val="20"/>
                <w:szCs w:val="20"/>
                <w:lang w:val="sr-Cyrl-RS"/>
                <w14:ligatures w14:val="none"/>
              </w:rPr>
              <w:t xml:space="preserve"> </w:t>
            </w:r>
          </w:p>
        </w:tc>
        <w:tc>
          <w:tcPr>
            <w:tcW w:w="1440" w:type="pct"/>
          </w:tcPr>
          <w:p w14:paraId="78ACF8DD" w14:textId="2BEB1C90" w:rsidR="009621C6" w:rsidRPr="00226F9D" w:rsidRDefault="0030775A" w:rsidP="005F2AFC">
            <w:pPr>
              <w:spacing w:after="0" w:line="240" w:lineRule="auto"/>
              <w:rPr>
                <w:rFonts w:ascii="Times New Roman" w:eastAsia="Calibri" w:hAnsi="Times New Roman" w:cs="Times New Roman"/>
                <w:kern w:val="0"/>
                <w:sz w:val="20"/>
                <w:szCs w:val="20"/>
                <w:lang w:val="sr-Cyrl-RS"/>
                <w14:ligatures w14:val="none"/>
              </w:rPr>
            </w:pPr>
            <w:r w:rsidRPr="00226F9D">
              <w:rPr>
                <w:rFonts w:ascii="Times New Roman" w:eastAsia="Calibri" w:hAnsi="Times New Roman" w:cs="Times New Roman"/>
                <w:kern w:val="0"/>
                <w:sz w:val="20"/>
                <w:szCs w:val="20"/>
                <w:lang w:val="sr-Cyrl-RS"/>
                <w14:ligatures w14:val="none"/>
              </w:rPr>
              <w:t>П</w:t>
            </w:r>
            <w:r w:rsidR="00844274" w:rsidRPr="00226F9D">
              <w:rPr>
                <w:rFonts w:ascii="Times New Roman" w:eastAsia="Calibri" w:hAnsi="Times New Roman" w:cs="Times New Roman"/>
                <w:kern w:val="0"/>
                <w:sz w:val="20"/>
                <w:szCs w:val="20"/>
                <w:lang w:val="sr-Cyrl-RS"/>
                <w14:ligatures w14:val="none"/>
              </w:rPr>
              <w:t xml:space="preserve">ланирана </w:t>
            </w:r>
            <w:r w:rsidR="00E22E75" w:rsidRPr="00226F9D">
              <w:rPr>
                <w:rFonts w:ascii="Times New Roman" w:eastAsia="Calibri" w:hAnsi="Times New Roman" w:cs="Times New Roman"/>
                <w:kern w:val="0"/>
                <w:sz w:val="20"/>
                <w:szCs w:val="20"/>
                <w:lang w:val="sr-Cyrl-RS"/>
                <w14:ligatures w14:val="none"/>
              </w:rPr>
              <w:t xml:space="preserve">системска </w:t>
            </w:r>
            <w:r w:rsidR="00844274" w:rsidRPr="00226F9D">
              <w:rPr>
                <w:rFonts w:ascii="Times New Roman" w:eastAsia="Calibri" w:hAnsi="Times New Roman" w:cs="Times New Roman"/>
                <w:kern w:val="0"/>
                <w:sz w:val="20"/>
                <w:szCs w:val="20"/>
                <w:lang w:val="sr-Cyrl-RS"/>
                <w14:ligatures w14:val="none"/>
              </w:rPr>
              <w:t xml:space="preserve">унапређења у </w:t>
            </w:r>
            <w:r w:rsidR="00E22E75" w:rsidRPr="00226F9D">
              <w:rPr>
                <w:rFonts w:ascii="Times New Roman" w:eastAsia="Calibri" w:hAnsi="Times New Roman" w:cs="Times New Roman"/>
                <w:kern w:val="0"/>
                <w:sz w:val="20"/>
                <w:szCs w:val="20"/>
                <w:lang w:val="sr-Cyrl-RS"/>
                <w14:ligatures w14:val="none"/>
              </w:rPr>
              <w:t>домену</w:t>
            </w:r>
            <w:r w:rsidR="00844274" w:rsidRPr="00226F9D">
              <w:rPr>
                <w:rFonts w:ascii="Times New Roman" w:eastAsia="Calibri" w:hAnsi="Times New Roman" w:cs="Times New Roman"/>
                <w:kern w:val="0"/>
                <w:sz w:val="20"/>
                <w:szCs w:val="20"/>
                <w:lang w:val="sr-Cyrl-RS"/>
                <w14:ligatures w14:val="none"/>
              </w:rPr>
              <w:t xml:space="preserve"> финансирања </w:t>
            </w:r>
            <w:r w:rsidR="00E22E75" w:rsidRPr="00226F9D">
              <w:rPr>
                <w:rFonts w:ascii="Times New Roman" w:eastAsia="Calibri" w:hAnsi="Times New Roman" w:cs="Times New Roman"/>
                <w:kern w:val="0"/>
                <w:sz w:val="20"/>
                <w:szCs w:val="20"/>
                <w:lang w:val="sr-Cyrl-RS"/>
                <w14:ligatures w14:val="none"/>
              </w:rPr>
              <w:t xml:space="preserve">ЛС заснована </w:t>
            </w:r>
            <w:r w:rsidR="00232949" w:rsidRPr="00226F9D">
              <w:rPr>
                <w:rFonts w:ascii="Times New Roman" w:eastAsia="Calibri" w:hAnsi="Times New Roman" w:cs="Times New Roman"/>
                <w:kern w:val="0"/>
                <w:sz w:val="20"/>
                <w:szCs w:val="20"/>
                <w:lang w:val="sr-Cyrl-RS"/>
                <w14:ligatures w14:val="none"/>
              </w:rPr>
              <w:t>на анализама</w:t>
            </w:r>
          </w:p>
        </w:tc>
      </w:tr>
      <w:tr w:rsidR="009621C6" w:rsidRPr="00226F9D" w14:paraId="18CD76CD" w14:textId="77777777" w:rsidTr="00CD7A78">
        <w:tc>
          <w:tcPr>
            <w:tcW w:w="881" w:type="pct"/>
            <w:vMerge/>
          </w:tcPr>
          <w:p w14:paraId="72BB03E3" w14:textId="77777777" w:rsidR="009621C6" w:rsidRPr="00226F9D" w:rsidRDefault="009621C6" w:rsidP="005F2AFC">
            <w:pPr>
              <w:spacing w:after="0" w:line="240" w:lineRule="auto"/>
              <w:rPr>
                <w:rFonts w:ascii="Times New Roman" w:eastAsia="Times New Roman" w:hAnsi="Times New Roman" w:cs="Times New Roman"/>
                <w:bCs/>
                <w:iCs/>
                <w:color w:val="000000"/>
                <w:kern w:val="24"/>
                <w:sz w:val="20"/>
                <w:szCs w:val="20"/>
                <w:lang w:val="sr-Cyrl-RS"/>
                <w14:ligatures w14:val="none"/>
              </w:rPr>
            </w:pPr>
          </w:p>
        </w:tc>
        <w:tc>
          <w:tcPr>
            <w:tcW w:w="1012" w:type="pct"/>
          </w:tcPr>
          <w:p w14:paraId="0B911560" w14:textId="4A79AF76" w:rsidR="009621C6" w:rsidRPr="00226F9D" w:rsidRDefault="005F5666" w:rsidP="005F2AFC">
            <w:pPr>
              <w:spacing w:after="0" w:line="240" w:lineRule="auto"/>
              <w:rPr>
                <w:rFonts w:ascii="Times New Roman" w:eastAsia="Calibri" w:hAnsi="Times New Roman" w:cs="Times New Roman"/>
                <w:kern w:val="0"/>
                <w:sz w:val="20"/>
                <w:szCs w:val="20"/>
                <w:lang w:val="sr-Cyrl-RS"/>
                <w14:ligatures w14:val="none"/>
              </w:rPr>
            </w:pPr>
            <w:r w:rsidRPr="00226F9D">
              <w:rPr>
                <w:rFonts w:ascii="Times New Roman" w:eastAsia="Calibri" w:hAnsi="Times New Roman" w:cs="Times New Roman"/>
                <w:kern w:val="0"/>
                <w:sz w:val="20"/>
                <w:szCs w:val="20"/>
                <w:lang w:val="sr-Cyrl-RS"/>
                <w14:ligatures w14:val="none"/>
              </w:rPr>
              <w:t>Капацитет ЈЛС за примену начела доброг управљања</w:t>
            </w:r>
          </w:p>
        </w:tc>
        <w:tc>
          <w:tcPr>
            <w:tcW w:w="1667" w:type="pct"/>
          </w:tcPr>
          <w:p w14:paraId="055C0795" w14:textId="77777777" w:rsidR="00FD7F1E" w:rsidRPr="00226F9D" w:rsidRDefault="00FD7F1E" w:rsidP="00FD7F1E">
            <w:pPr>
              <w:spacing w:after="0" w:line="240" w:lineRule="auto"/>
              <w:jc w:val="center"/>
              <w:rPr>
                <w:rFonts w:ascii="Times New Roman" w:eastAsia="Calibri" w:hAnsi="Times New Roman" w:cs="Times New Roman"/>
                <w:kern w:val="0"/>
                <w:sz w:val="20"/>
                <w:szCs w:val="20"/>
                <w:lang w:val="sr-Cyrl-RS"/>
                <w14:ligatures w14:val="none"/>
              </w:rPr>
            </w:pPr>
          </w:p>
          <w:p w14:paraId="07BEC838" w14:textId="77777777" w:rsidR="00FD7F1E" w:rsidRPr="00226F9D" w:rsidRDefault="00FD7F1E" w:rsidP="00FD7F1E">
            <w:pPr>
              <w:spacing w:after="0" w:line="240" w:lineRule="auto"/>
              <w:jc w:val="center"/>
              <w:rPr>
                <w:rFonts w:ascii="Times New Roman" w:eastAsia="Calibri" w:hAnsi="Times New Roman" w:cs="Times New Roman"/>
                <w:kern w:val="0"/>
                <w:sz w:val="20"/>
                <w:szCs w:val="20"/>
                <w:lang w:val="sr-Cyrl-RS"/>
                <w14:ligatures w14:val="none"/>
              </w:rPr>
            </w:pPr>
          </w:p>
          <w:p w14:paraId="57EDCBBB" w14:textId="369B880A" w:rsidR="009621C6" w:rsidRPr="00226F9D" w:rsidRDefault="00FD7F1E" w:rsidP="00FD7F1E">
            <w:pPr>
              <w:spacing w:after="0" w:line="240" w:lineRule="auto"/>
              <w:jc w:val="center"/>
              <w:rPr>
                <w:rFonts w:ascii="Times New Roman" w:eastAsia="Calibri" w:hAnsi="Times New Roman" w:cs="Times New Roman"/>
                <w:kern w:val="0"/>
                <w:sz w:val="20"/>
                <w:szCs w:val="20"/>
                <w:lang w:val="sr-Cyrl-RS"/>
                <w14:ligatures w14:val="none"/>
              </w:rPr>
            </w:pPr>
            <w:r w:rsidRPr="00226F9D">
              <w:rPr>
                <w:rFonts w:ascii="Times New Roman" w:eastAsia="Calibri" w:hAnsi="Times New Roman" w:cs="Times New Roman"/>
                <w:kern w:val="0"/>
                <w:sz w:val="20"/>
                <w:szCs w:val="20"/>
                <w:lang w:val="sr-Cyrl-RS"/>
                <w14:ligatures w14:val="none"/>
              </w:rPr>
              <w:t>/</w:t>
            </w:r>
          </w:p>
        </w:tc>
        <w:tc>
          <w:tcPr>
            <w:tcW w:w="1440" w:type="pct"/>
          </w:tcPr>
          <w:p w14:paraId="2AEF4146" w14:textId="77777777" w:rsidR="00525839" w:rsidRPr="00226F9D" w:rsidRDefault="00525839" w:rsidP="00525839">
            <w:pPr>
              <w:spacing w:after="0" w:line="240" w:lineRule="auto"/>
              <w:jc w:val="center"/>
              <w:rPr>
                <w:rFonts w:ascii="Times New Roman" w:eastAsia="Calibri" w:hAnsi="Times New Roman" w:cs="Times New Roman"/>
                <w:kern w:val="0"/>
                <w:sz w:val="20"/>
                <w:szCs w:val="20"/>
                <w:lang w:val="sr-Cyrl-RS"/>
                <w14:ligatures w14:val="none"/>
              </w:rPr>
            </w:pPr>
          </w:p>
          <w:p w14:paraId="3C50C66B" w14:textId="77777777" w:rsidR="00525839" w:rsidRPr="00226F9D" w:rsidRDefault="00525839" w:rsidP="00525839">
            <w:pPr>
              <w:spacing w:after="0" w:line="240" w:lineRule="auto"/>
              <w:jc w:val="center"/>
              <w:rPr>
                <w:rFonts w:ascii="Times New Roman" w:eastAsia="Calibri" w:hAnsi="Times New Roman" w:cs="Times New Roman"/>
                <w:kern w:val="0"/>
                <w:sz w:val="20"/>
                <w:szCs w:val="20"/>
                <w:lang w:val="sr-Cyrl-RS"/>
                <w14:ligatures w14:val="none"/>
              </w:rPr>
            </w:pPr>
          </w:p>
          <w:p w14:paraId="58ADA630" w14:textId="37A7D2DA" w:rsidR="009621C6" w:rsidRPr="00226F9D" w:rsidRDefault="00525839" w:rsidP="00525839">
            <w:pPr>
              <w:spacing w:after="0" w:line="240" w:lineRule="auto"/>
              <w:jc w:val="center"/>
              <w:rPr>
                <w:rFonts w:ascii="Times New Roman" w:eastAsia="Calibri" w:hAnsi="Times New Roman" w:cs="Times New Roman"/>
                <w:kern w:val="0"/>
                <w:sz w:val="20"/>
                <w:szCs w:val="20"/>
                <w:lang w:val="sr-Cyrl-RS"/>
                <w14:ligatures w14:val="none"/>
              </w:rPr>
            </w:pPr>
            <w:r w:rsidRPr="00226F9D">
              <w:rPr>
                <w:rFonts w:ascii="Times New Roman" w:eastAsia="Calibri" w:hAnsi="Times New Roman" w:cs="Times New Roman"/>
                <w:kern w:val="0"/>
                <w:sz w:val="20"/>
                <w:szCs w:val="20"/>
                <w:lang w:val="sr-Cyrl-RS"/>
                <w14:ligatures w14:val="none"/>
              </w:rPr>
              <w:t>/</w:t>
            </w:r>
          </w:p>
        </w:tc>
      </w:tr>
    </w:tbl>
    <w:p w14:paraId="0B9B1A29" w14:textId="77777777" w:rsidR="005F2AFC" w:rsidRPr="00226F9D" w:rsidRDefault="005F2AFC" w:rsidP="00826194">
      <w:pPr>
        <w:spacing w:after="0" w:line="240" w:lineRule="auto"/>
        <w:jc w:val="both"/>
        <w:rPr>
          <w:rFonts w:ascii="Times New Roman" w:eastAsia="Calibri" w:hAnsi="Times New Roman" w:cs="Times New Roman"/>
          <w:color w:val="EE0000"/>
          <w:lang w:val="sr-Cyrl-RS"/>
        </w:rPr>
      </w:pPr>
    </w:p>
    <w:p w14:paraId="004A9BFC" w14:textId="77777777" w:rsidR="002D20BD" w:rsidRPr="00226F9D" w:rsidRDefault="00BF7C3A" w:rsidP="003A7DAF">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Први препознати ризик </w:t>
      </w:r>
      <w:r w:rsidR="00954C14" w:rsidRPr="00226F9D">
        <w:rPr>
          <w:rFonts w:ascii="Times New Roman" w:eastAsia="Calibri" w:hAnsi="Times New Roman" w:cs="Times New Roman"/>
          <w:lang w:val="sr-Cyrl-RS"/>
        </w:rPr>
        <w:t xml:space="preserve">у вези је са </w:t>
      </w:r>
      <w:r w:rsidR="003934F2" w:rsidRPr="00226F9D">
        <w:rPr>
          <w:rFonts w:ascii="Times New Roman" w:eastAsia="Calibri" w:hAnsi="Times New Roman" w:cs="Times New Roman"/>
          <w:lang w:val="sr-Cyrl-RS"/>
        </w:rPr>
        <w:t xml:space="preserve">аспектима </w:t>
      </w:r>
      <w:r w:rsidR="00A35162" w:rsidRPr="00226F9D">
        <w:rPr>
          <w:rFonts w:ascii="Times New Roman" w:eastAsia="Calibri" w:hAnsi="Times New Roman" w:cs="Times New Roman"/>
          <w:lang w:val="sr-Cyrl-RS"/>
        </w:rPr>
        <w:t xml:space="preserve">организације, </w:t>
      </w:r>
      <w:r w:rsidR="00E82779" w:rsidRPr="00226F9D">
        <w:rPr>
          <w:rFonts w:ascii="Times New Roman" w:eastAsia="Calibri" w:hAnsi="Times New Roman" w:cs="Times New Roman"/>
          <w:lang w:val="sr-Cyrl-RS"/>
        </w:rPr>
        <w:t xml:space="preserve">одговорности и надзора у управљању и спровођењу надлежности кроз координацију </w:t>
      </w:r>
      <w:r w:rsidR="0089187F" w:rsidRPr="00226F9D">
        <w:rPr>
          <w:rFonts w:ascii="Times New Roman" w:eastAsia="Calibri" w:hAnsi="Times New Roman" w:cs="Times New Roman"/>
          <w:lang w:val="sr-Cyrl-RS"/>
        </w:rPr>
        <w:t>нивоа власти</w:t>
      </w:r>
      <w:r w:rsidR="00562C8A" w:rsidRPr="00226F9D">
        <w:rPr>
          <w:rFonts w:ascii="Times New Roman" w:eastAsia="Calibri" w:hAnsi="Times New Roman" w:cs="Times New Roman"/>
          <w:lang w:val="sr-Cyrl-RS"/>
        </w:rPr>
        <w:t xml:space="preserve">. </w:t>
      </w:r>
      <w:r w:rsidR="00B92184" w:rsidRPr="00226F9D">
        <w:rPr>
          <w:rFonts w:ascii="Times New Roman" w:eastAsia="Calibri" w:hAnsi="Times New Roman" w:cs="Times New Roman"/>
          <w:lang w:val="sr-Cyrl-RS"/>
        </w:rPr>
        <w:t xml:space="preserve">Постављен је у односу на елементе показатеља </w:t>
      </w:r>
      <w:r w:rsidR="00C03ECC" w:rsidRPr="00226F9D">
        <w:rPr>
          <w:rFonts w:ascii="Times New Roman" w:eastAsia="Calibri" w:hAnsi="Times New Roman" w:cs="Times New Roman"/>
          <w:lang w:val="sr-Cyrl-RS"/>
        </w:rPr>
        <w:t xml:space="preserve">који разрађује и прати СИГМА </w:t>
      </w:r>
      <w:r w:rsidR="00657183" w:rsidRPr="00226F9D">
        <w:rPr>
          <w:rFonts w:ascii="Times New Roman" w:eastAsia="Calibri" w:hAnsi="Times New Roman" w:cs="Times New Roman"/>
          <w:lang w:val="sr-Cyrl-RS"/>
        </w:rPr>
        <w:t>(по</w:t>
      </w:r>
      <w:r w:rsidR="008C49B0" w:rsidRPr="00226F9D">
        <w:rPr>
          <w:rFonts w:ascii="Times New Roman" w:eastAsia="Calibri" w:hAnsi="Times New Roman" w:cs="Times New Roman"/>
          <w:lang w:val="sr-Cyrl-RS"/>
        </w:rPr>
        <w:t>јашњено у</w:t>
      </w:r>
      <w:r w:rsidR="00657183" w:rsidRPr="00226F9D">
        <w:rPr>
          <w:rFonts w:ascii="Times New Roman" w:eastAsia="Calibri" w:hAnsi="Times New Roman" w:cs="Times New Roman"/>
          <w:lang w:val="sr-Cyrl-RS"/>
        </w:rPr>
        <w:t xml:space="preserve"> пасош</w:t>
      </w:r>
      <w:r w:rsidR="008C49B0" w:rsidRPr="00226F9D">
        <w:rPr>
          <w:rFonts w:ascii="Times New Roman" w:eastAsia="Calibri" w:hAnsi="Times New Roman" w:cs="Times New Roman"/>
          <w:lang w:val="sr-Cyrl-RS"/>
        </w:rPr>
        <w:t>у</w:t>
      </w:r>
      <w:r w:rsidR="00657183" w:rsidRPr="00226F9D">
        <w:rPr>
          <w:rFonts w:ascii="Times New Roman" w:eastAsia="Calibri" w:hAnsi="Times New Roman" w:cs="Times New Roman"/>
          <w:lang w:val="sr-Cyrl-RS"/>
        </w:rPr>
        <w:t xml:space="preserve"> показатеља) </w:t>
      </w:r>
      <w:r w:rsidR="00C03ECC" w:rsidRPr="00226F9D">
        <w:rPr>
          <w:rFonts w:ascii="Times New Roman" w:eastAsia="Calibri" w:hAnsi="Times New Roman" w:cs="Times New Roman"/>
          <w:lang w:val="sr-Cyrl-RS"/>
        </w:rPr>
        <w:t xml:space="preserve">и у вези је са остваривањем кључних </w:t>
      </w:r>
      <w:r w:rsidR="00881D46" w:rsidRPr="00226F9D">
        <w:rPr>
          <w:rFonts w:ascii="Times New Roman" w:eastAsia="Calibri" w:hAnsi="Times New Roman" w:cs="Times New Roman"/>
          <w:lang w:val="sr-Cyrl-RS"/>
        </w:rPr>
        <w:t xml:space="preserve">европских </w:t>
      </w:r>
      <w:r w:rsidR="00C03ECC" w:rsidRPr="00226F9D">
        <w:rPr>
          <w:rFonts w:ascii="Times New Roman" w:eastAsia="Calibri" w:hAnsi="Times New Roman" w:cs="Times New Roman"/>
          <w:lang w:val="sr-Cyrl-RS"/>
        </w:rPr>
        <w:t xml:space="preserve">постулата </w:t>
      </w:r>
      <w:r w:rsidR="00881D46" w:rsidRPr="00226F9D">
        <w:rPr>
          <w:rFonts w:ascii="Times New Roman" w:eastAsia="Calibri" w:hAnsi="Times New Roman" w:cs="Times New Roman"/>
          <w:lang w:val="sr-Cyrl-RS"/>
        </w:rPr>
        <w:t xml:space="preserve">и стандарда </w:t>
      </w:r>
      <w:r w:rsidR="007900F9" w:rsidRPr="00226F9D">
        <w:rPr>
          <w:rFonts w:ascii="Times New Roman" w:eastAsia="Calibri" w:hAnsi="Times New Roman" w:cs="Times New Roman"/>
          <w:lang w:val="sr-Cyrl-RS"/>
        </w:rPr>
        <w:t>за локалну самоуправу ка којима се оријентише и Република Србија</w:t>
      </w:r>
      <w:r w:rsidR="0045653A" w:rsidRPr="00226F9D">
        <w:rPr>
          <w:rFonts w:ascii="Times New Roman" w:eastAsia="Calibri" w:hAnsi="Times New Roman" w:cs="Times New Roman"/>
          <w:lang w:val="sr-Cyrl-RS"/>
        </w:rPr>
        <w:t xml:space="preserve">. Имајући у виду да </w:t>
      </w:r>
      <w:r w:rsidR="004D66F0" w:rsidRPr="00226F9D">
        <w:rPr>
          <w:rFonts w:ascii="Times New Roman" w:eastAsia="Calibri" w:hAnsi="Times New Roman" w:cs="Times New Roman"/>
          <w:lang w:val="sr-Cyrl-RS"/>
        </w:rPr>
        <w:t xml:space="preserve">је </w:t>
      </w:r>
      <w:r w:rsidR="00AB61D2" w:rsidRPr="00226F9D">
        <w:rPr>
          <w:rFonts w:ascii="Times New Roman" w:eastAsia="Calibri" w:hAnsi="Times New Roman" w:cs="Times New Roman"/>
          <w:lang w:val="sr-Cyrl-RS"/>
        </w:rPr>
        <w:t xml:space="preserve">комплетан ПРСЛС 2026-2030 </w:t>
      </w:r>
      <w:r w:rsidR="007F64E5" w:rsidRPr="00226F9D">
        <w:rPr>
          <w:rFonts w:ascii="Times New Roman" w:eastAsia="Calibri" w:hAnsi="Times New Roman" w:cs="Times New Roman"/>
          <w:lang w:val="sr-Cyrl-RS"/>
        </w:rPr>
        <w:t xml:space="preserve">садржински усмерен </w:t>
      </w:r>
      <w:r w:rsidR="00DC0E7C" w:rsidRPr="00226F9D">
        <w:rPr>
          <w:rFonts w:ascii="Times New Roman" w:eastAsia="Calibri" w:hAnsi="Times New Roman" w:cs="Times New Roman"/>
          <w:lang w:val="sr-Cyrl-RS"/>
        </w:rPr>
        <w:t xml:space="preserve">ка успостављању функционалнијег </w:t>
      </w:r>
      <w:r w:rsidR="003238AF" w:rsidRPr="00226F9D">
        <w:rPr>
          <w:rFonts w:ascii="Times New Roman" w:eastAsia="Calibri" w:hAnsi="Times New Roman" w:cs="Times New Roman"/>
          <w:lang w:val="sr-Cyrl-RS"/>
        </w:rPr>
        <w:t>система ЛС</w:t>
      </w:r>
      <w:r w:rsidR="00C129BE" w:rsidRPr="00226F9D">
        <w:rPr>
          <w:rFonts w:ascii="Times New Roman" w:eastAsia="Calibri" w:hAnsi="Times New Roman" w:cs="Times New Roman"/>
          <w:lang w:val="sr-Cyrl-RS"/>
        </w:rPr>
        <w:t xml:space="preserve">, </w:t>
      </w:r>
      <w:r w:rsidR="00107EBD" w:rsidRPr="00226F9D">
        <w:rPr>
          <w:rFonts w:ascii="Times New Roman" w:eastAsia="Calibri" w:hAnsi="Times New Roman" w:cs="Times New Roman"/>
          <w:lang w:val="sr-Cyrl-RS"/>
        </w:rPr>
        <w:t xml:space="preserve">спровођење </w:t>
      </w:r>
      <w:r w:rsidR="00C129BE" w:rsidRPr="00226F9D">
        <w:rPr>
          <w:rFonts w:ascii="Times New Roman" w:eastAsia="Calibri" w:hAnsi="Times New Roman" w:cs="Times New Roman"/>
          <w:lang w:val="sr-Cyrl-RS"/>
        </w:rPr>
        <w:t>мер</w:t>
      </w:r>
      <w:r w:rsidR="00107EBD" w:rsidRPr="00226F9D">
        <w:rPr>
          <w:rFonts w:ascii="Times New Roman" w:eastAsia="Calibri" w:hAnsi="Times New Roman" w:cs="Times New Roman"/>
          <w:lang w:val="sr-Cyrl-RS"/>
        </w:rPr>
        <w:t>а</w:t>
      </w:r>
      <w:r w:rsidR="00C129BE" w:rsidRPr="00226F9D">
        <w:rPr>
          <w:rFonts w:ascii="Times New Roman" w:eastAsia="Calibri" w:hAnsi="Times New Roman" w:cs="Times New Roman"/>
          <w:lang w:val="sr-Cyrl-RS"/>
        </w:rPr>
        <w:t xml:space="preserve"> унутар посебних циљева, а посебно адап</w:t>
      </w:r>
      <w:r w:rsidR="00727C2D" w:rsidRPr="00226F9D">
        <w:rPr>
          <w:rFonts w:ascii="Times New Roman" w:eastAsia="Calibri" w:hAnsi="Times New Roman" w:cs="Times New Roman"/>
          <w:lang w:val="sr-Cyrl-RS"/>
        </w:rPr>
        <w:t>т</w:t>
      </w:r>
      <w:r w:rsidR="00C129BE" w:rsidRPr="00226F9D">
        <w:rPr>
          <w:rFonts w:ascii="Times New Roman" w:eastAsia="Calibri" w:hAnsi="Times New Roman" w:cs="Times New Roman"/>
          <w:lang w:val="sr-Cyrl-RS"/>
        </w:rPr>
        <w:t xml:space="preserve">ације </w:t>
      </w:r>
      <w:r w:rsidR="00727C2D" w:rsidRPr="00226F9D">
        <w:rPr>
          <w:rFonts w:ascii="Times New Roman" w:eastAsia="Calibri" w:hAnsi="Times New Roman" w:cs="Times New Roman"/>
          <w:lang w:val="sr-Cyrl-RS"/>
        </w:rPr>
        <w:t xml:space="preserve">правног оквира и </w:t>
      </w:r>
      <w:r w:rsidR="00616E0E" w:rsidRPr="00226F9D">
        <w:rPr>
          <w:rFonts w:ascii="Times New Roman" w:eastAsia="Calibri" w:hAnsi="Times New Roman" w:cs="Times New Roman"/>
          <w:lang w:val="sr-Cyrl-RS"/>
        </w:rPr>
        <w:t>сагледавање могућих унапређења ка доследнијем усклађивању са ЕПЛС под првим посебним циљем</w:t>
      </w:r>
      <w:r w:rsidR="008E5255" w:rsidRPr="00226F9D">
        <w:rPr>
          <w:rFonts w:ascii="Times New Roman" w:eastAsia="Calibri" w:hAnsi="Times New Roman" w:cs="Times New Roman"/>
          <w:lang w:val="sr-Cyrl-RS"/>
        </w:rPr>
        <w:t xml:space="preserve"> </w:t>
      </w:r>
      <w:r w:rsidR="00C0683F" w:rsidRPr="00226F9D">
        <w:rPr>
          <w:rFonts w:ascii="Times New Roman" w:eastAsia="Calibri" w:hAnsi="Times New Roman" w:cs="Times New Roman"/>
          <w:lang w:val="sr-Cyrl-RS"/>
        </w:rPr>
        <w:t>– адресирају овај ризик</w:t>
      </w:r>
      <w:r w:rsidR="002A398F" w:rsidRPr="00226F9D">
        <w:rPr>
          <w:rFonts w:ascii="Times New Roman" w:eastAsia="Calibri" w:hAnsi="Times New Roman" w:cs="Times New Roman"/>
          <w:lang w:val="sr-Cyrl-RS"/>
        </w:rPr>
        <w:t xml:space="preserve">, те ће успешност њихове реализације </w:t>
      </w:r>
      <w:r w:rsidR="00A00D81" w:rsidRPr="00226F9D">
        <w:rPr>
          <w:rFonts w:ascii="Times New Roman" w:eastAsia="Calibri" w:hAnsi="Times New Roman" w:cs="Times New Roman"/>
          <w:lang w:val="sr-Cyrl-RS"/>
        </w:rPr>
        <w:t xml:space="preserve">бити у директној вези са </w:t>
      </w:r>
      <w:r w:rsidR="00F0134C" w:rsidRPr="00226F9D">
        <w:rPr>
          <w:rFonts w:ascii="Times New Roman" w:eastAsia="Calibri" w:hAnsi="Times New Roman" w:cs="Times New Roman"/>
          <w:lang w:val="sr-Cyrl-RS"/>
        </w:rPr>
        <w:t xml:space="preserve">квалификацијом и поправљањем позиције РС </w:t>
      </w:r>
      <w:r w:rsidR="006B3D31" w:rsidRPr="00226F9D">
        <w:rPr>
          <w:rFonts w:ascii="Times New Roman" w:eastAsia="Calibri" w:hAnsi="Times New Roman" w:cs="Times New Roman"/>
          <w:lang w:val="sr-Cyrl-RS"/>
        </w:rPr>
        <w:t xml:space="preserve">по посматраним СИГМА параметрима </w:t>
      </w:r>
      <w:r w:rsidR="0036214B" w:rsidRPr="00226F9D">
        <w:rPr>
          <w:rFonts w:ascii="Times New Roman" w:eastAsia="Calibri" w:hAnsi="Times New Roman" w:cs="Times New Roman"/>
          <w:lang w:val="sr-Cyrl-RS"/>
        </w:rPr>
        <w:t xml:space="preserve">за вишеслојно управљање (multilevel governance). </w:t>
      </w:r>
    </w:p>
    <w:p w14:paraId="365E23FB" w14:textId="77777777" w:rsidR="0022733E" w:rsidRPr="00226F9D" w:rsidRDefault="0022733E" w:rsidP="003A7DAF">
      <w:pPr>
        <w:spacing w:after="0" w:line="240" w:lineRule="auto"/>
        <w:jc w:val="both"/>
        <w:rPr>
          <w:rFonts w:ascii="Times New Roman" w:eastAsia="Calibri" w:hAnsi="Times New Roman" w:cs="Times New Roman"/>
          <w:lang w:val="sr-Cyrl-RS"/>
        </w:rPr>
      </w:pPr>
    </w:p>
    <w:p w14:paraId="35B6C828" w14:textId="4FB83647" w:rsidR="00B563E2" w:rsidRPr="00226F9D" w:rsidRDefault="002D20BD" w:rsidP="003A7DAF">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Други </w:t>
      </w:r>
      <w:r w:rsidR="00B2499F" w:rsidRPr="00226F9D">
        <w:rPr>
          <w:rFonts w:ascii="Times New Roman" w:eastAsia="Calibri" w:hAnsi="Times New Roman" w:cs="Times New Roman"/>
          <w:lang w:val="sr-Cyrl-RS"/>
        </w:rPr>
        <w:t>препознати</w:t>
      </w:r>
      <w:r w:rsidRPr="00226F9D">
        <w:rPr>
          <w:rFonts w:ascii="Times New Roman" w:eastAsia="Calibri" w:hAnsi="Times New Roman" w:cs="Times New Roman"/>
          <w:lang w:val="sr-Cyrl-RS"/>
        </w:rPr>
        <w:t xml:space="preserve"> ризик</w:t>
      </w:r>
      <w:r w:rsidR="00CA57DE" w:rsidRPr="00226F9D">
        <w:rPr>
          <w:rFonts w:ascii="Times New Roman" w:eastAsia="Calibri" w:hAnsi="Times New Roman" w:cs="Times New Roman"/>
          <w:lang w:val="sr-Cyrl-RS"/>
        </w:rPr>
        <w:t xml:space="preserve"> у вези са </w:t>
      </w:r>
      <w:r w:rsidR="007069E9" w:rsidRPr="00226F9D">
        <w:rPr>
          <w:rFonts w:ascii="Times New Roman" w:eastAsia="Calibri" w:hAnsi="Times New Roman" w:cs="Times New Roman"/>
          <w:lang w:val="sr-Cyrl-RS"/>
        </w:rPr>
        <w:t>финансијском позицијом ЛС и сразмерним капацитет</w:t>
      </w:r>
      <w:r w:rsidR="00890495" w:rsidRPr="00226F9D">
        <w:rPr>
          <w:rFonts w:ascii="Times New Roman" w:eastAsia="Calibri" w:hAnsi="Times New Roman" w:cs="Times New Roman"/>
          <w:lang w:val="sr-Cyrl-RS"/>
        </w:rPr>
        <w:t xml:space="preserve">има </w:t>
      </w:r>
      <w:r w:rsidR="001B6AD1" w:rsidRPr="00226F9D">
        <w:rPr>
          <w:rFonts w:ascii="Times New Roman" w:eastAsia="Calibri" w:hAnsi="Times New Roman" w:cs="Times New Roman"/>
          <w:lang w:val="sr-Cyrl-RS"/>
        </w:rPr>
        <w:t>за развојна улагања</w:t>
      </w:r>
      <w:r w:rsidR="00757031" w:rsidRPr="00226F9D">
        <w:rPr>
          <w:rFonts w:ascii="Times New Roman" w:eastAsia="Calibri" w:hAnsi="Times New Roman" w:cs="Times New Roman"/>
          <w:lang w:val="sr-Cyrl-RS"/>
        </w:rPr>
        <w:t xml:space="preserve">, истакнут је имајући у виду да се у претходном периоду </w:t>
      </w:r>
      <w:r w:rsidR="00502B2F" w:rsidRPr="00226F9D">
        <w:rPr>
          <w:rFonts w:ascii="Times New Roman" w:eastAsia="Calibri" w:hAnsi="Times New Roman" w:cs="Times New Roman"/>
          <w:lang w:val="sr-Cyrl-RS"/>
        </w:rPr>
        <w:t>материјализовао</w:t>
      </w:r>
      <w:r w:rsidR="00B83A96" w:rsidRPr="00226F9D">
        <w:rPr>
          <w:rFonts w:ascii="Times New Roman" w:eastAsia="Calibri" w:hAnsi="Times New Roman" w:cs="Times New Roman"/>
          <w:lang w:val="sr-Cyrl-RS"/>
        </w:rPr>
        <w:t xml:space="preserve"> (у односу на полазну вредност од 14,75% резултат показатеља за претходни програмски период закључно са 202</w:t>
      </w:r>
      <w:r w:rsidR="00773988" w:rsidRPr="00226F9D">
        <w:rPr>
          <w:rFonts w:ascii="Times New Roman" w:eastAsia="Calibri" w:hAnsi="Times New Roman" w:cs="Times New Roman"/>
          <w:lang w:val="sr-Cyrl-RS"/>
        </w:rPr>
        <w:t>5</w:t>
      </w:r>
      <w:r w:rsidR="00B83A96" w:rsidRPr="00226F9D">
        <w:rPr>
          <w:rFonts w:ascii="Times New Roman" w:eastAsia="Calibri" w:hAnsi="Times New Roman" w:cs="Times New Roman"/>
          <w:lang w:val="sr-Cyrl-RS"/>
        </w:rPr>
        <w:t xml:space="preserve">. годином је ослабио на </w:t>
      </w:r>
      <w:r w:rsidR="00773988" w:rsidRPr="00226F9D">
        <w:rPr>
          <w:rFonts w:ascii="Times New Roman" w:eastAsia="Calibri" w:hAnsi="Times New Roman" w:cs="Times New Roman"/>
          <w:lang w:val="sr-Cyrl-RS"/>
        </w:rPr>
        <w:t>10,90</w:t>
      </w:r>
      <w:r w:rsidR="00B83A96" w:rsidRPr="00226F9D">
        <w:rPr>
          <w:rFonts w:ascii="Times New Roman" w:eastAsia="Calibri" w:hAnsi="Times New Roman" w:cs="Times New Roman"/>
          <w:lang w:val="sr-Cyrl-RS"/>
        </w:rPr>
        <w:t>%)</w:t>
      </w:r>
      <w:r w:rsidR="001F23DD" w:rsidRPr="00226F9D">
        <w:rPr>
          <w:rFonts w:ascii="Times New Roman" w:eastAsia="Calibri" w:hAnsi="Times New Roman" w:cs="Times New Roman"/>
          <w:lang w:val="sr-Cyrl-RS"/>
        </w:rPr>
        <w:t>. С</w:t>
      </w:r>
      <w:r w:rsidR="00BB68EA" w:rsidRPr="00226F9D">
        <w:rPr>
          <w:rFonts w:ascii="Times New Roman" w:eastAsia="Calibri" w:hAnsi="Times New Roman" w:cs="Times New Roman"/>
          <w:lang w:val="sr-Cyrl-RS"/>
        </w:rPr>
        <w:t>тога</w:t>
      </w:r>
      <w:r w:rsidR="004029F7" w:rsidRPr="00226F9D">
        <w:rPr>
          <w:rFonts w:ascii="Times New Roman" w:eastAsia="Calibri" w:hAnsi="Times New Roman" w:cs="Times New Roman"/>
          <w:lang w:val="sr-Cyrl-RS"/>
        </w:rPr>
        <w:t>,</w:t>
      </w:r>
      <w:r w:rsidR="00BB68EA" w:rsidRPr="00226F9D">
        <w:rPr>
          <w:rFonts w:ascii="Times New Roman" w:eastAsia="Calibri" w:hAnsi="Times New Roman" w:cs="Times New Roman"/>
          <w:lang w:val="sr-Cyrl-RS"/>
        </w:rPr>
        <w:t xml:space="preserve"> захтева пажњу и стратешк</w:t>
      </w:r>
      <w:r w:rsidR="00A635BE" w:rsidRPr="00226F9D">
        <w:rPr>
          <w:rFonts w:ascii="Times New Roman" w:eastAsia="Calibri" w:hAnsi="Times New Roman" w:cs="Times New Roman"/>
          <w:lang w:val="sr-Cyrl-RS"/>
        </w:rPr>
        <w:t xml:space="preserve">у оријентацију да би се </w:t>
      </w:r>
      <w:r w:rsidR="00EE0489" w:rsidRPr="00226F9D">
        <w:rPr>
          <w:rFonts w:ascii="Times New Roman" w:eastAsia="Calibri" w:hAnsi="Times New Roman" w:cs="Times New Roman"/>
          <w:lang w:val="sr-Cyrl-RS"/>
        </w:rPr>
        <w:t>констатовани тренд позитивно преусмерио</w:t>
      </w:r>
      <w:r w:rsidR="001F23DD" w:rsidRPr="00226F9D">
        <w:rPr>
          <w:rFonts w:ascii="Times New Roman" w:eastAsia="Calibri" w:hAnsi="Times New Roman" w:cs="Times New Roman"/>
          <w:lang w:val="sr-Cyrl-RS"/>
        </w:rPr>
        <w:t xml:space="preserve"> у периоду спровођења ПРСЛС 2026-2030</w:t>
      </w:r>
      <w:r w:rsidR="007678B2" w:rsidRPr="00226F9D">
        <w:rPr>
          <w:rFonts w:ascii="Times New Roman" w:eastAsia="Calibri" w:hAnsi="Times New Roman" w:cs="Times New Roman"/>
          <w:lang w:val="sr-Cyrl-RS"/>
        </w:rPr>
        <w:t xml:space="preserve">. </w:t>
      </w:r>
      <w:r w:rsidR="00270384" w:rsidRPr="00226F9D">
        <w:rPr>
          <w:rFonts w:ascii="Times New Roman" w:eastAsia="Calibri" w:hAnsi="Times New Roman" w:cs="Times New Roman"/>
          <w:lang w:val="sr-Cyrl-RS"/>
        </w:rPr>
        <w:t>Досадашња силазна путања</w:t>
      </w:r>
      <w:r w:rsidR="008C075F" w:rsidRPr="00226F9D">
        <w:rPr>
          <w:rFonts w:ascii="Times New Roman" w:eastAsia="Calibri" w:hAnsi="Times New Roman" w:cs="Times New Roman"/>
          <w:lang w:val="sr-Cyrl-RS"/>
        </w:rPr>
        <w:t xml:space="preserve"> посматраног удела</w:t>
      </w:r>
      <w:r w:rsidR="008407CF" w:rsidRPr="00226F9D">
        <w:rPr>
          <w:rFonts w:ascii="Times New Roman" w:eastAsia="Calibri" w:hAnsi="Times New Roman" w:cs="Times New Roman"/>
          <w:lang w:val="sr-Cyrl-RS"/>
        </w:rPr>
        <w:t xml:space="preserve"> објашњава се и објективном чињеницом да је</w:t>
      </w:r>
      <w:r w:rsidR="009566E2" w:rsidRPr="00226F9D">
        <w:rPr>
          <w:rFonts w:ascii="Times New Roman" w:eastAsia="Calibri" w:hAnsi="Times New Roman" w:cs="Times New Roman"/>
          <w:lang w:val="sr-Cyrl-RS"/>
        </w:rPr>
        <w:t xml:space="preserve"> повећано</w:t>
      </w:r>
      <w:r w:rsidR="002A3C04" w:rsidRPr="00226F9D">
        <w:rPr>
          <w:rFonts w:ascii="Times New Roman" w:eastAsia="Calibri" w:hAnsi="Times New Roman" w:cs="Times New Roman"/>
          <w:lang w:val="sr-Cyrl-RS"/>
        </w:rPr>
        <w:t xml:space="preserve"> </w:t>
      </w:r>
      <w:r w:rsidR="00BE6D4D">
        <w:rPr>
          <w:rFonts w:ascii="Times New Roman" w:eastAsia="Calibri" w:hAnsi="Times New Roman" w:cs="Times New Roman"/>
          <w:lang w:val="sr-Cyrl-RS"/>
        </w:rPr>
        <w:t>извршење</w:t>
      </w:r>
      <w:r w:rsidR="008407CF" w:rsidRPr="00226F9D">
        <w:rPr>
          <w:rFonts w:ascii="Times New Roman" w:eastAsia="Calibri" w:hAnsi="Times New Roman" w:cs="Times New Roman"/>
          <w:lang w:val="sr-Cyrl-RS"/>
        </w:rPr>
        <w:t xml:space="preserve"> расхода на републичком нивоу (</w:t>
      </w:r>
      <w:r w:rsidR="009566E2" w:rsidRPr="00226F9D">
        <w:rPr>
          <w:rFonts w:ascii="Times New Roman" w:eastAsia="Calibri" w:hAnsi="Times New Roman" w:cs="Times New Roman"/>
          <w:lang w:val="sr-Cyrl-RS"/>
        </w:rPr>
        <w:t xml:space="preserve">пре свега </w:t>
      </w:r>
      <w:r w:rsidR="008407CF" w:rsidRPr="00226F9D">
        <w:rPr>
          <w:rFonts w:ascii="Times New Roman" w:eastAsia="Calibri" w:hAnsi="Times New Roman" w:cs="Times New Roman"/>
          <w:lang w:val="sr-Cyrl-RS"/>
        </w:rPr>
        <w:t>реализациј</w:t>
      </w:r>
      <w:r w:rsidR="009566E2" w:rsidRPr="00226F9D">
        <w:rPr>
          <w:rFonts w:ascii="Times New Roman" w:eastAsia="Calibri" w:hAnsi="Times New Roman" w:cs="Times New Roman"/>
          <w:lang w:val="sr-Cyrl-RS"/>
        </w:rPr>
        <w:t>ом</w:t>
      </w:r>
      <w:r w:rsidR="008407CF" w:rsidRPr="00226F9D">
        <w:rPr>
          <w:rFonts w:ascii="Times New Roman" w:eastAsia="Calibri" w:hAnsi="Times New Roman" w:cs="Times New Roman"/>
          <w:lang w:val="sr-Cyrl-RS"/>
        </w:rPr>
        <w:t xml:space="preserve"> капиталних инвестиција</w:t>
      </w:r>
      <w:r w:rsidR="00407AEA" w:rsidRPr="00226F9D">
        <w:rPr>
          <w:rFonts w:ascii="Times New Roman" w:eastAsia="Calibri" w:hAnsi="Times New Roman" w:cs="Times New Roman"/>
          <w:lang w:val="sr-Cyrl-RS"/>
        </w:rPr>
        <w:t>,</w:t>
      </w:r>
      <w:r w:rsidR="001322F1" w:rsidRPr="00226F9D">
        <w:rPr>
          <w:rFonts w:ascii="Times New Roman" w:eastAsia="Calibri" w:hAnsi="Times New Roman" w:cs="Times New Roman"/>
          <w:lang w:val="sr-Cyrl-RS"/>
        </w:rPr>
        <w:t xml:space="preserve"> укључујући и значајна улагања у </w:t>
      </w:r>
      <w:r w:rsidR="00F8589A" w:rsidRPr="00226F9D">
        <w:rPr>
          <w:rFonts w:ascii="Times New Roman" w:eastAsia="Calibri" w:hAnsi="Times New Roman" w:cs="Times New Roman"/>
          <w:lang w:val="sr-Cyrl-RS"/>
        </w:rPr>
        <w:t>локалну инфраструктуру</w:t>
      </w:r>
      <w:r w:rsidR="008407CF" w:rsidRPr="00226F9D">
        <w:rPr>
          <w:rFonts w:ascii="Times New Roman" w:eastAsia="Calibri" w:hAnsi="Times New Roman" w:cs="Times New Roman"/>
          <w:lang w:val="sr-Cyrl-RS"/>
        </w:rPr>
        <w:t xml:space="preserve">), те је </w:t>
      </w:r>
      <w:r w:rsidR="00714F90" w:rsidRPr="00226F9D">
        <w:rPr>
          <w:rFonts w:ascii="Times New Roman" w:eastAsia="Calibri" w:hAnsi="Times New Roman" w:cs="Times New Roman"/>
          <w:lang w:val="sr-Cyrl-RS"/>
        </w:rPr>
        <w:t xml:space="preserve">последично </w:t>
      </w:r>
      <w:r w:rsidR="008407CF" w:rsidRPr="00226F9D">
        <w:rPr>
          <w:rFonts w:ascii="Times New Roman" w:eastAsia="Calibri" w:hAnsi="Times New Roman" w:cs="Times New Roman"/>
          <w:lang w:val="sr-Cyrl-RS"/>
        </w:rPr>
        <w:t xml:space="preserve">удео расхода локалних власти мањи од </w:t>
      </w:r>
      <w:r w:rsidR="003132C2" w:rsidRPr="00226F9D">
        <w:rPr>
          <w:rFonts w:ascii="Times New Roman" w:eastAsia="Calibri" w:hAnsi="Times New Roman" w:cs="Times New Roman"/>
          <w:lang w:val="sr-Cyrl-RS"/>
        </w:rPr>
        <w:t>пројектованог</w:t>
      </w:r>
      <w:r w:rsidR="008407CF" w:rsidRPr="00226F9D">
        <w:rPr>
          <w:rFonts w:ascii="Times New Roman" w:eastAsia="Calibri" w:hAnsi="Times New Roman" w:cs="Times New Roman"/>
          <w:lang w:val="sr-Cyrl-RS"/>
        </w:rPr>
        <w:t>.</w:t>
      </w:r>
      <w:r w:rsidR="003C0CE2" w:rsidRPr="00226F9D">
        <w:rPr>
          <w:rFonts w:ascii="Times New Roman" w:eastAsia="Calibri" w:hAnsi="Times New Roman" w:cs="Times New Roman"/>
          <w:lang w:val="sr-Cyrl-RS"/>
        </w:rPr>
        <w:t xml:space="preserve"> </w:t>
      </w:r>
      <w:r w:rsidR="00DB77CA" w:rsidRPr="00226F9D">
        <w:rPr>
          <w:rFonts w:ascii="Times New Roman" w:eastAsia="Calibri" w:hAnsi="Times New Roman" w:cs="Times New Roman"/>
          <w:lang w:val="sr-Cyrl-RS"/>
        </w:rPr>
        <w:t xml:space="preserve">Ипак, </w:t>
      </w:r>
      <w:r w:rsidR="00BF0D5F" w:rsidRPr="00226F9D">
        <w:rPr>
          <w:rFonts w:ascii="Times New Roman" w:eastAsia="Calibri" w:hAnsi="Times New Roman" w:cs="Times New Roman"/>
          <w:lang w:val="sr-Cyrl-RS"/>
        </w:rPr>
        <w:t>б</w:t>
      </w:r>
      <w:r w:rsidR="003C0CE2" w:rsidRPr="00226F9D">
        <w:rPr>
          <w:rFonts w:ascii="Times New Roman" w:eastAsia="Calibri" w:hAnsi="Times New Roman" w:cs="Times New Roman"/>
          <w:lang w:val="sr-Cyrl-RS"/>
        </w:rPr>
        <w:t xml:space="preserve">удући да </w:t>
      </w:r>
      <w:r w:rsidR="007B6219" w:rsidRPr="00226F9D">
        <w:rPr>
          <w:rFonts w:ascii="Times New Roman" w:eastAsia="Calibri" w:hAnsi="Times New Roman" w:cs="Times New Roman"/>
          <w:lang w:val="sr-Cyrl-RS"/>
        </w:rPr>
        <w:t xml:space="preserve">се </w:t>
      </w:r>
      <w:r w:rsidR="00DD463B" w:rsidRPr="00226F9D">
        <w:rPr>
          <w:rFonts w:ascii="Times New Roman" w:eastAsia="Calibri" w:hAnsi="Times New Roman" w:cs="Times New Roman"/>
          <w:lang w:val="sr-Cyrl-RS"/>
        </w:rPr>
        <w:t xml:space="preserve">на нивоу </w:t>
      </w:r>
      <w:r w:rsidR="00407AEA" w:rsidRPr="00226F9D">
        <w:rPr>
          <w:rFonts w:ascii="Times New Roman" w:eastAsia="Calibri" w:hAnsi="Times New Roman" w:cs="Times New Roman"/>
          <w:lang w:val="sr-Latn-RS"/>
        </w:rPr>
        <w:t>O</w:t>
      </w:r>
      <w:r w:rsidR="00DD463B" w:rsidRPr="00226F9D">
        <w:rPr>
          <w:rFonts w:ascii="Times New Roman" w:eastAsia="Calibri" w:hAnsi="Times New Roman" w:cs="Times New Roman"/>
          <w:lang w:val="sr-Cyrl-RS"/>
        </w:rPr>
        <w:t>пштег циља Пр</w:t>
      </w:r>
      <w:r w:rsidR="00545128" w:rsidRPr="00226F9D">
        <w:rPr>
          <w:rFonts w:ascii="Times New Roman" w:eastAsia="Calibri" w:hAnsi="Times New Roman" w:cs="Times New Roman"/>
          <w:lang w:val="sr-Cyrl-RS"/>
        </w:rPr>
        <w:t xml:space="preserve">ограма у контексту учешћа у консолидованим јавним расходима </w:t>
      </w:r>
      <w:r w:rsidR="00103046" w:rsidRPr="00226F9D">
        <w:rPr>
          <w:rFonts w:ascii="Times New Roman" w:eastAsia="Calibri" w:hAnsi="Times New Roman" w:cs="Times New Roman"/>
          <w:lang w:val="sr-Cyrl-RS"/>
        </w:rPr>
        <w:t xml:space="preserve">- </w:t>
      </w:r>
      <w:r w:rsidR="003C0CE2" w:rsidRPr="00226F9D">
        <w:rPr>
          <w:rFonts w:ascii="Times New Roman" w:eastAsia="Calibri" w:hAnsi="Times New Roman" w:cs="Times New Roman"/>
          <w:lang w:val="sr-Cyrl-RS"/>
        </w:rPr>
        <w:t>ради о системск</w:t>
      </w:r>
      <w:r w:rsidR="00103046" w:rsidRPr="00226F9D">
        <w:rPr>
          <w:rFonts w:ascii="Times New Roman" w:eastAsia="Calibri" w:hAnsi="Times New Roman" w:cs="Times New Roman"/>
          <w:lang w:val="sr-Cyrl-RS"/>
        </w:rPr>
        <w:t>и опредељеном</w:t>
      </w:r>
      <w:r w:rsidR="003C0CE2" w:rsidRPr="00226F9D">
        <w:rPr>
          <w:rFonts w:ascii="Times New Roman" w:eastAsia="Calibri" w:hAnsi="Times New Roman" w:cs="Times New Roman"/>
          <w:lang w:val="sr-Cyrl-RS"/>
        </w:rPr>
        <w:t xml:space="preserve"> показатељу </w:t>
      </w:r>
      <w:r w:rsidR="002F1EC5" w:rsidRPr="00226F9D">
        <w:rPr>
          <w:rFonts w:ascii="Times New Roman" w:eastAsia="Calibri" w:hAnsi="Times New Roman" w:cs="Times New Roman"/>
          <w:lang w:val="sr-Cyrl-RS"/>
        </w:rPr>
        <w:t xml:space="preserve">који се и у </w:t>
      </w:r>
      <w:r w:rsidR="00A63A83" w:rsidRPr="00226F9D">
        <w:rPr>
          <w:rFonts w:ascii="Times New Roman" w:eastAsia="Calibri" w:hAnsi="Times New Roman" w:cs="Times New Roman"/>
          <w:lang w:val="sr-Cyrl-RS"/>
        </w:rPr>
        <w:t xml:space="preserve">међународном </w:t>
      </w:r>
      <w:r w:rsidR="002F1EC5" w:rsidRPr="00226F9D">
        <w:rPr>
          <w:rFonts w:ascii="Times New Roman" w:eastAsia="Calibri" w:hAnsi="Times New Roman" w:cs="Times New Roman"/>
          <w:lang w:val="sr-Cyrl-RS"/>
        </w:rPr>
        <w:t>контексту</w:t>
      </w:r>
      <w:r w:rsidR="00A63A83" w:rsidRPr="00226F9D">
        <w:rPr>
          <w:rFonts w:ascii="Times New Roman" w:eastAsia="Calibri" w:hAnsi="Times New Roman" w:cs="Times New Roman"/>
          <w:lang w:val="sr-Cyrl-RS"/>
        </w:rPr>
        <w:t xml:space="preserve"> </w:t>
      </w:r>
      <w:r w:rsidR="00A63A83" w:rsidRPr="00226F9D">
        <w:rPr>
          <w:rFonts w:ascii="Times New Roman" w:eastAsia="Calibri" w:hAnsi="Times New Roman" w:cs="Times New Roman"/>
          <w:lang w:val="sr-Cyrl-RS"/>
        </w:rPr>
        <w:lastRenderedPageBreak/>
        <w:t xml:space="preserve">користи </w:t>
      </w:r>
      <w:r w:rsidR="00B563E2" w:rsidRPr="00226F9D">
        <w:rPr>
          <w:rFonts w:ascii="Times New Roman" w:eastAsia="Calibri" w:hAnsi="Times New Roman" w:cs="Times New Roman"/>
          <w:lang w:val="sr-Cyrl-RS"/>
        </w:rPr>
        <w:t xml:space="preserve">за сагледавање </w:t>
      </w:r>
      <w:r w:rsidR="00A63A83" w:rsidRPr="00226F9D">
        <w:rPr>
          <w:rFonts w:ascii="Times New Roman" w:eastAsia="Calibri" w:hAnsi="Times New Roman" w:cs="Times New Roman"/>
          <w:lang w:val="sr-Cyrl-RS"/>
        </w:rPr>
        <w:t xml:space="preserve">степена значаја </w:t>
      </w:r>
      <w:r w:rsidR="00B563E2" w:rsidRPr="00226F9D">
        <w:rPr>
          <w:rFonts w:ascii="Times New Roman" w:eastAsia="Calibri" w:hAnsi="Times New Roman" w:cs="Times New Roman"/>
          <w:lang w:val="sr-Cyrl-RS"/>
        </w:rPr>
        <w:t>ЛС</w:t>
      </w:r>
      <w:r w:rsidR="00A63A83" w:rsidRPr="00226F9D">
        <w:rPr>
          <w:rFonts w:ascii="Times New Roman" w:eastAsia="Calibri" w:hAnsi="Times New Roman" w:cs="Times New Roman"/>
          <w:lang w:val="sr-Cyrl-RS"/>
        </w:rPr>
        <w:t xml:space="preserve"> (децентрализације) у систему јавне управе</w:t>
      </w:r>
      <w:r w:rsidR="007B6219" w:rsidRPr="00226F9D">
        <w:rPr>
          <w:rFonts w:ascii="Times New Roman" w:eastAsia="Calibri" w:hAnsi="Times New Roman" w:cs="Times New Roman"/>
          <w:lang w:val="sr-Cyrl-RS"/>
        </w:rPr>
        <w:t xml:space="preserve"> -</w:t>
      </w:r>
      <w:r w:rsidR="00CE5F4C" w:rsidRPr="00226F9D">
        <w:rPr>
          <w:rFonts w:ascii="Times New Roman" w:eastAsia="Calibri" w:hAnsi="Times New Roman" w:cs="Times New Roman"/>
          <w:lang w:val="sr-Cyrl-RS"/>
        </w:rPr>
        <w:t xml:space="preserve"> његово праћење се наставља</w:t>
      </w:r>
      <w:r w:rsidR="00A240C6" w:rsidRPr="00226F9D">
        <w:rPr>
          <w:rFonts w:ascii="Times New Roman" w:eastAsia="Calibri" w:hAnsi="Times New Roman" w:cs="Times New Roman"/>
          <w:lang w:val="sr-Cyrl-RS"/>
        </w:rPr>
        <w:t>,</w:t>
      </w:r>
      <w:r w:rsidR="00CE5F4C" w:rsidRPr="00226F9D">
        <w:rPr>
          <w:rFonts w:ascii="Times New Roman" w:eastAsia="Calibri" w:hAnsi="Times New Roman" w:cs="Times New Roman"/>
          <w:lang w:val="sr-Cyrl-RS"/>
        </w:rPr>
        <w:t xml:space="preserve"> </w:t>
      </w:r>
      <w:r w:rsidR="00BF7A04" w:rsidRPr="00226F9D">
        <w:rPr>
          <w:rFonts w:ascii="Times New Roman" w:eastAsia="Calibri" w:hAnsi="Times New Roman" w:cs="Times New Roman"/>
          <w:lang w:val="sr-Cyrl-RS"/>
        </w:rPr>
        <w:t xml:space="preserve">и планира предузимање </w:t>
      </w:r>
      <w:r w:rsidR="00182D04" w:rsidRPr="00226F9D">
        <w:rPr>
          <w:rFonts w:ascii="Times New Roman" w:eastAsia="Calibri" w:hAnsi="Times New Roman" w:cs="Times New Roman"/>
          <w:lang w:val="sr-Cyrl-RS"/>
        </w:rPr>
        <w:t>консеквентних</w:t>
      </w:r>
      <w:r w:rsidR="007069D4" w:rsidRPr="00226F9D">
        <w:rPr>
          <w:rFonts w:ascii="Times New Roman" w:eastAsia="Calibri" w:hAnsi="Times New Roman" w:cs="Times New Roman"/>
          <w:lang w:val="sr-Cyrl-RS"/>
        </w:rPr>
        <w:t xml:space="preserve"> </w:t>
      </w:r>
      <w:r w:rsidR="00182D04" w:rsidRPr="00226F9D">
        <w:rPr>
          <w:rFonts w:ascii="Times New Roman" w:eastAsia="Calibri" w:hAnsi="Times New Roman" w:cs="Times New Roman"/>
          <w:lang w:val="sr-Cyrl-RS"/>
        </w:rPr>
        <w:t xml:space="preserve">активности </w:t>
      </w:r>
      <w:r w:rsidR="007B6219" w:rsidRPr="00226F9D">
        <w:rPr>
          <w:rFonts w:ascii="Times New Roman" w:eastAsia="Calibri" w:hAnsi="Times New Roman" w:cs="Times New Roman"/>
          <w:lang w:val="sr-Cyrl-RS"/>
        </w:rPr>
        <w:t xml:space="preserve">наручито </w:t>
      </w:r>
      <w:r w:rsidR="00182D04" w:rsidRPr="00226F9D">
        <w:rPr>
          <w:rFonts w:ascii="Times New Roman" w:eastAsia="Calibri" w:hAnsi="Times New Roman" w:cs="Times New Roman"/>
          <w:lang w:val="sr-Cyrl-RS"/>
        </w:rPr>
        <w:t xml:space="preserve">у обухвату </w:t>
      </w:r>
      <w:r w:rsidR="007B0C5E" w:rsidRPr="00226F9D">
        <w:rPr>
          <w:rFonts w:ascii="Times New Roman" w:eastAsia="Calibri" w:hAnsi="Times New Roman" w:cs="Times New Roman"/>
          <w:lang w:val="sr-Cyrl-RS"/>
        </w:rPr>
        <w:t>П</w:t>
      </w:r>
      <w:r w:rsidR="00182D04" w:rsidRPr="00226F9D">
        <w:rPr>
          <w:rFonts w:ascii="Times New Roman" w:eastAsia="Calibri" w:hAnsi="Times New Roman" w:cs="Times New Roman"/>
          <w:lang w:val="sr-Cyrl-RS"/>
        </w:rPr>
        <w:t>осебног</w:t>
      </w:r>
      <w:r w:rsidR="00A63A83" w:rsidRPr="00226F9D">
        <w:rPr>
          <w:rFonts w:ascii="Times New Roman" w:eastAsia="Calibri" w:hAnsi="Times New Roman" w:cs="Times New Roman"/>
          <w:lang w:val="sr-Cyrl-RS"/>
        </w:rPr>
        <w:t xml:space="preserve"> </w:t>
      </w:r>
      <w:r w:rsidR="00182D04" w:rsidRPr="00226F9D">
        <w:rPr>
          <w:rFonts w:ascii="Times New Roman" w:eastAsia="Calibri" w:hAnsi="Times New Roman" w:cs="Times New Roman"/>
          <w:lang w:val="sr-Cyrl-RS"/>
        </w:rPr>
        <w:t>циља</w:t>
      </w:r>
      <w:r w:rsidR="007B0C5E" w:rsidRPr="00226F9D">
        <w:rPr>
          <w:rFonts w:ascii="Times New Roman" w:eastAsia="Calibri" w:hAnsi="Times New Roman" w:cs="Times New Roman"/>
          <w:lang w:val="sr-Cyrl-RS"/>
        </w:rPr>
        <w:t xml:space="preserve"> 2 ПРСЛС</w:t>
      </w:r>
      <w:r w:rsidR="007069D4" w:rsidRPr="00226F9D">
        <w:rPr>
          <w:rFonts w:ascii="Times New Roman" w:eastAsia="Calibri" w:hAnsi="Times New Roman" w:cs="Times New Roman"/>
          <w:lang w:val="sr-Cyrl-RS"/>
        </w:rPr>
        <w:t>,</w:t>
      </w:r>
      <w:r w:rsidR="00182D04" w:rsidRPr="00226F9D">
        <w:rPr>
          <w:rFonts w:ascii="Times New Roman" w:eastAsia="Calibri" w:hAnsi="Times New Roman" w:cs="Times New Roman"/>
          <w:lang w:val="sr-Cyrl-RS"/>
        </w:rPr>
        <w:t xml:space="preserve"> </w:t>
      </w:r>
      <w:r w:rsidR="007B46DD" w:rsidRPr="00226F9D">
        <w:rPr>
          <w:rFonts w:ascii="Times New Roman" w:eastAsia="Calibri" w:hAnsi="Times New Roman" w:cs="Times New Roman"/>
          <w:lang w:val="sr-Cyrl-RS"/>
        </w:rPr>
        <w:t xml:space="preserve">како би се оствариле претпоставке за </w:t>
      </w:r>
      <w:r w:rsidR="007069D4" w:rsidRPr="00226F9D">
        <w:rPr>
          <w:rFonts w:ascii="Times New Roman" w:eastAsia="Calibri" w:hAnsi="Times New Roman" w:cs="Times New Roman"/>
          <w:lang w:val="sr-Cyrl-RS"/>
        </w:rPr>
        <w:t xml:space="preserve">унапређење фискалне одрживости </w:t>
      </w:r>
      <w:r w:rsidR="00A240C6" w:rsidRPr="00226F9D">
        <w:rPr>
          <w:rFonts w:ascii="Times New Roman" w:eastAsia="Calibri" w:hAnsi="Times New Roman" w:cs="Times New Roman"/>
          <w:lang w:val="sr-Cyrl-RS"/>
        </w:rPr>
        <w:t xml:space="preserve">и </w:t>
      </w:r>
      <w:r w:rsidR="007069D4" w:rsidRPr="00226F9D">
        <w:rPr>
          <w:rFonts w:ascii="Times New Roman" w:eastAsia="Calibri" w:hAnsi="Times New Roman" w:cs="Times New Roman"/>
          <w:lang w:val="sr-Cyrl-RS"/>
        </w:rPr>
        <w:t>фискалне аутономије ЛС</w:t>
      </w:r>
      <w:r w:rsidR="00E07257" w:rsidRPr="00226F9D">
        <w:rPr>
          <w:rFonts w:ascii="Times New Roman" w:eastAsia="Calibri" w:hAnsi="Times New Roman" w:cs="Times New Roman"/>
          <w:lang w:val="sr-Cyrl-RS"/>
        </w:rPr>
        <w:t xml:space="preserve">, а значај система ЛС по овом критеријуму </w:t>
      </w:r>
      <w:r w:rsidR="00606BA2" w:rsidRPr="00226F9D">
        <w:rPr>
          <w:rFonts w:ascii="Times New Roman" w:eastAsia="Calibri" w:hAnsi="Times New Roman" w:cs="Times New Roman"/>
          <w:lang w:val="sr-Cyrl-RS"/>
        </w:rPr>
        <w:t xml:space="preserve">приближио просеку земаља ЕУ. </w:t>
      </w:r>
    </w:p>
    <w:p w14:paraId="59E032D3" w14:textId="77777777" w:rsidR="00F54A0D" w:rsidRPr="00226F9D" w:rsidRDefault="00F54A0D" w:rsidP="003A7DAF">
      <w:pPr>
        <w:spacing w:after="0" w:line="240" w:lineRule="auto"/>
        <w:jc w:val="both"/>
        <w:rPr>
          <w:rFonts w:ascii="Times New Roman" w:eastAsia="Calibri" w:hAnsi="Times New Roman" w:cs="Times New Roman"/>
          <w:lang w:val="sr-Cyrl-RS"/>
        </w:rPr>
      </w:pPr>
    </w:p>
    <w:p w14:paraId="087947F2" w14:textId="5267B7FC" w:rsidR="00D77943" w:rsidRPr="00226F9D" w:rsidRDefault="00477B63" w:rsidP="003A7DAF">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У вези са трећим показатељем </w:t>
      </w:r>
      <w:r w:rsidR="00AE4068" w:rsidRPr="00226F9D">
        <w:rPr>
          <w:rFonts w:ascii="Times New Roman" w:eastAsia="Calibri" w:hAnsi="Times New Roman" w:cs="Times New Roman"/>
          <w:lang w:val="sr-Cyrl-RS"/>
        </w:rPr>
        <w:t>и параметром успешности у оств</w:t>
      </w:r>
      <w:r w:rsidR="00303354" w:rsidRPr="00226F9D">
        <w:rPr>
          <w:rFonts w:ascii="Times New Roman" w:eastAsia="Calibri" w:hAnsi="Times New Roman" w:cs="Times New Roman"/>
          <w:lang w:val="sr-Cyrl-RS"/>
        </w:rPr>
        <w:t>а</w:t>
      </w:r>
      <w:r w:rsidR="00AE4068" w:rsidRPr="00226F9D">
        <w:rPr>
          <w:rFonts w:ascii="Times New Roman" w:eastAsia="Calibri" w:hAnsi="Times New Roman" w:cs="Times New Roman"/>
          <w:lang w:val="sr-Cyrl-RS"/>
        </w:rPr>
        <w:t xml:space="preserve">ривању општег циља </w:t>
      </w:r>
      <w:r w:rsidR="00946CBB" w:rsidRPr="00226F9D">
        <w:rPr>
          <w:rFonts w:ascii="Times New Roman" w:eastAsia="Calibri" w:hAnsi="Times New Roman" w:cs="Times New Roman"/>
          <w:lang w:val="sr-Cyrl-RS"/>
        </w:rPr>
        <w:t>–</w:t>
      </w:r>
      <w:r w:rsidR="00AE4068" w:rsidRPr="00226F9D">
        <w:rPr>
          <w:rFonts w:ascii="Times New Roman" w:eastAsia="Calibri" w:hAnsi="Times New Roman" w:cs="Times New Roman"/>
          <w:lang w:val="sr-Cyrl-RS"/>
        </w:rPr>
        <w:t xml:space="preserve"> </w:t>
      </w:r>
      <w:r w:rsidR="00946CBB" w:rsidRPr="00226F9D">
        <w:rPr>
          <w:rFonts w:ascii="Times New Roman" w:eastAsia="Calibri" w:hAnsi="Times New Roman" w:cs="Times New Roman"/>
          <w:lang w:val="sr-Cyrl-RS"/>
        </w:rPr>
        <w:t>у смислу примене начела д</w:t>
      </w:r>
      <w:r w:rsidR="00A846D1" w:rsidRPr="00226F9D">
        <w:rPr>
          <w:rFonts w:ascii="Times New Roman" w:eastAsia="Calibri" w:hAnsi="Times New Roman" w:cs="Times New Roman"/>
          <w:lang w:val="sr-Cyrl-RS"/>
        </w:rPr>
        <w:t>о</w:t>
      </w:r>
      <w:r w:rsidR="00946CBB" w:rsidRPr="00226F9D">
        <w:rPr>
          <w:rFonts w:ascii="Times New Roman" w:eastAsia="Calibri" w:hAnsi="Times New Roman" w:cs="Times New Roman"/>
          <w:lang w:val="sr-Cyrl-RS"/>
        </w:rPr>
        <w:t>брог управљања</w:t>
      </w:r>
      <w:r w:rsidR="00A846D1" w:rsidRPr="00226F9D">
        <w:rPr>
          <w:rFonts w:ascii="Times New Roman" w:eastAsia="Calibri" w:hAnsi="Times New Roman" w:cs="Times New Roman"/>
          <w:lang w:val="sr-Cyrl-RS"/>
        </w:rPr>
        <w:t xml:space="preserve"> на локалном нивоу </w:t>
      </w:r>
      <w:r w:rsidR="00962E0F" w:rsidRPr="00226F9D">
        <w:rPr>
          <w:rFonts w:ascii="Times New Roman" w:eastAsia="Calibri" w:hAnsi="Times New Roman" w:cs="Times New Roman"/>
          <w:lang w:val="sr-Cyrl-RS"/>
        </w:rPr>
        <w:t>–</w:t>
      </w:r>
      <w:r w:rsidR="00A846D1" w:rsidRPr="00226F9D">
        <w:rPr>
          <w:rFonts w:ascii="Times New Roman" w:eastAsia="Calibri" w:hAnsi="Times New Roman" w:cs="Times New Roman"/>
          <w:lang w:val="sr-Cyrl-RS"/>
        </w:rPr>
        <w:t xml:space="preserve"> </w:t>
      </w:r>
      <w:r w:rsidR="00962E0F" w:rsidRPr="00226F9D">
        <w:rPr>
          <w:rFonts w:ascii="Times New Roman" w:eastAsia="Calibri" w:hAnsi="Times New Roman" w:cs="Times New Roman"/>
          <w:lang w:val="sr-Cyrl-RS"/>
        </w:rPr>
        <w:t xml:space="preserve">системски ризик </w:t>
      </w:r>
      <w:r w:rsidR="00C63F69" w:rsidRPr="00226F9D">
        <w:rPr>
          <w:rFonts w:ascii="Times New Roman" w:eastAsia="Calibri" w:hAnsi="Times New Roman" w:cs="Times New Roman"/>
          <w:lang w:val="sr-Cyrl-RS"/>
        </w:rPr>
        <w:t>није издвојен</w:t>
      </w:r>
      <w:r w:rsidR="0051312C" w:rsidRPr="00226F9D">
        <w:rPr>
          <w:rFonts w:ascii="Times New Roman" w:eastAsia="Calibri" w:hAnsi="Times New Roman" w:cs="Times New Roman"/>
          <w:lang w:val="sr-Cyrl-RS"/>
        </w:rPr>
        <w:t xml:space="preserve"> имајући у виду и умерено позитивн</w:t>
      </w:r>
      <w:r w:rsidR="00FF5F23" w:rsidRPr="00226F9D">
        <w:rPr>
          <w:rFonts w:ascii="Times New Roman" w:eastAsia="Calibri" w:hAnsi="Times New Roman" w:cs="Times New Roman"/>
          <w:lang w:val="sr-Cyrl-RS"/>
        </w:rPr>
        <w:t>е трендове у претходном периоду</w:t>
      </w:r>
      <w:r w:rsidR="00532498" w:rsidRPr="00226F9D">
        <w:rPr>
          <w:rFonts w:ascii="Times New Roman" w:eastAsia="Calibri" w:hAnsi="Times New Roman" w:cs="Times New Roman"/>
          <w:lang w:val="sr-Cyrl-RS"/>
        </w:rPr>
        <w:t xml:space="preserve">, али је кроз Програм </w:t>
      </w:r>
      <w:r w:rsidR="001723AD" w:rsidRPr="00226F9D">
        <w:rPr>
          <w:rFonts w:ascii="Times New Roman" w:eastAsia="Calibri" w:hAnsi="Times New Roman" w:cs="Times New Roman"/>
          <w:lang w:val="sr-Cyrl-RS"/>
        </w:rPr>
        <w:t>доследно препознат</w:t>
      </w:r>
      <w:r w:rsidR="001772DE" w:rsidRPr="00226F9D">
        <w:rPr>
          <w:rFonts w:ascii="Times New Roman" w:eastAsia="Calibri" w:hAnsi="Times New Roman" w:cs="Times New Roman"/>
          <w:lang w:val="sr-Cyrl-RS"/>
        </w:rPr>
        <w:t xml:space="preserve"> хоризонтални </w:t>
      </w:r>
      <w:r w:rsidR="002E7AEB" w:rsidRPr="00226F9D">
        <w:rPr>
          <w:rFonts w:ascii="Times New Roman" w:eastAsia="Calibri" w:hAnsi="Times New Roman" w:cs="Times New Roman"/>
          <w:lang w:val="sr-Cyrl-RS"/>
        </w:rPr>
        <w:t>значај ових принципа</w:t>
      </w:r>
      <w:r w:rsidR="00EB01BA" w:rsidRPr="00226F9D">
        <w:rPr>
          <w:rFonts w:ascii="Times New Roman" w:eastAsia="Calibri" w:hAnsi="Times New Roman" w:cs="Times New Roman"/>
          <w:lang w:val="sr-Cyrl-RS"/>
        </w:rPr>
        <w:t xml:space="preserve">, </w:t>
      </w:r>
      <w:r w:rsidR="006735EE" w:rsidRPr="00226F9D">
        <w:rPr>
          <w:rFonts w:ascii="Times New Roman" w:eastAsia="Calibri" w:hAnsi="Times New Roman" w:cs="Times New Roman"/>
          <w:lang w:val="sr-Cyrl-RS"/>
        </w:rPr>
        <w:t>потреба за њихо</w:t>
      </w:r>
      <w:r w:rsidR="007C121C" w:rsidRPr="00226F9D">
        <w:rPr>
          <w:rFonts w:ascii="Times New Roman" w:eastAsia="Calibri" w:hAnsi="Times New Roman" w:cs="Times New Roman"/>
          <w:lang w:val="sr-Cyrl-RS"/>
        </w:rPr>
        <w:t xml:space="preserve">вом </w:t>
      </w:r>
      <w:r w:rsidR="00957136" w:rsidRPr="00226F9D">
        <w:rPr>
          <w:rFonts w:ascii="Times New Roman" w:eastAsia="Calibri" w:hAnsi="Times New Roman" w:cs="Times New Roman"/>
          <w:lang w:val="sr-Cyrl-RS"/>
        </w:rPr>
        <w:t>доследнијом</w:t>
      </w:r>
      <w:r w:rsidR="00DE33F6" w:rsidRPr="00226F9D">
        <w:rPr>
          <w:rFonts w:ascii="Times New Roman" w:eastAsia="Calibri" w:hAnsi="Times New Roman" w:cs="Times New Roman"/>
          <w:lang w:val="sr-Cyrl-RS"/>
        </w:rPr>
        <w:t xml:space="preserve"> применом</w:t>
      </w:r>
      <w:r w:rsidR="006735EE" w:rsidRPr="00226F9D">
        <w:rPr>
          <w:rFonts w:ascii="Times New Roman" w:eastAsia="Calibri" w:hAnsi="Times New Roman" w:cs="Times New Roman"/>
          <w:lang w:val="sr-Cyrl-RS"/>
        </w:rPr>
        <w:t xml:space="preserve"> </w:t>
      </w:r>
      <w:r w:rsidR="0058529B" w:rsidRPr="00226F9D">
        <w:rPr>
          <w:rFonts w:ascii="Times New Roman" w:eastAsia="Calibri" w:hAnsi="Times New Roman" w:cs="Times New Roman"/>
          <w:lang w:val="sr-Cyrl-RS"/>
        </w:rPr>
        <w:t>и подршка градовима и општинама у том погл</w:t>
      </w:r>
      <w:r w:rsidR="007A2428" w:rsidRPr="00226F9D">
        <w:rPr>
          <w:rFonts w:ascii="Times New Roman" w:eastAsia="Calibri" w:hAnsi="Times New Roman" w:cs="Times New Roman"/>
          <w:lang w:val="sr-Cyrl-RS"/>
        </w:rPr>
        <w:t>е</w:t>
      </w:r>
      <w:r w:rsidR="0058529B" w:rsidRPr="00226F9D">
        <w:rPr>
          <w:rFonts w:ascii="Times New Roman" w:eastAsia="Calibri" w:hAnsi="Times New Roman" w:cs="Times New Roman"/>
          <w:lang w:val="sr-Cyrl-RS"/>
        </w:rPr>
        <w:t>ду.</w:t>
      </w:r>
      <w:r w:rsidR="00946CBB" w:rsidRPr="00226F9D">
        <w:rPr>
          <w:rFonts w:ascii="Times New Roman" w:eastAsia="Calibri" w:hAnsi="Times New Roman" w:cs="Times New Roman"/>
          <w:lang w:val="sr-Cyrl-RS"/>
        </w:rPr>
        <w:t xml:space="preserve"> </w:t>
      </w:r>
    </w:p>
    <w:p w14:paraId="7FECB1E3" w14:textId="77777777" w:rsidR="003A7DAF" w:rsidRPr="00226F9D" w:rsidRDefault="003A7DAF" w:rsidP="00826194">
      <w:pPr>
        <w:spacing w:after="0" w:line="240" w:lineRule="auto"/>
        <w:jc w:val="both"/>
        <w:rPr>
          <w:rFonts w:ascii="Times New Roman" w:eastAsia="Calibri" w:hAnsi="Times New Roman" w:cs="Times New Roman"/>
          <w:color w:val="EE0000"/>
          <w:lang w:val="sr-Latn-RS"/>
        </w:rPr>
      </w:pPr>
    </w:p>
    <w:p w14:paraId="115605BA" w14:textId="77777777" w:rsidR="00A36864" w:rsidRPr="00226F9D" w:rsidRDefault="00A36864" w:rsidP="00826194">
      <w:pPr>
        <w:spacing w:after="0" w:line="240" w:lineRule="auto"/>
        <w:jc w:val="both"/>
        <w:rPr>
          <w:rFonts w:ascii="Times New Roman" w:eastAsia="Calibri" w:hAnsi="Times New Roman" w:cs="Times New Roman"/>
          <w:color w:val="EE0000"/>
          <w:lang w:val="sr-Latn-RS"/>
        </w:rPr>
      </w:pPr>
    </w:p>
    <w:p w14:paraId="7007DA18" w14:textId="0B6C90D3" w:rsidR="005B564A" w:rsidRPr="00226F9D" w:rsidRDefault="005B564A" w:rsidP="00711B88">
      <w:pPr>
        <w:pStyle w:val="Heading2"/>
        <w:numPr>
          <w:ilvl w:val="0"/>
          <w:numId w:val="29"/>
        </w:numPr>
        <w:rPr>
          <w:rFonts w:ascii="Times New Roman" w:hAnsi="Times New Roman" w:cs="Times New Roman"/>
          <w:lang w:val="sr-Cyrl-RS"/>
        </w:rPr>
      </w:pPr>
      <w:bookmarkStart w:id="14" w:name="_Toc222753922"/>
      <w:r w:rsidRPr="00226F9D">
        <w:rPr>
          <w:rFonts w:ascii="Times New Roman" w:hAnsi="Times New Roman" w:cs="Times New Roman"/>
          <w:lang w:val="sr-Cyrl-RS"/>
        </w:rPr>
        <w:t>Посебни циљеви и мере за спровођење реформе система локалне самоуправе</w:t>
      </w:r>
      <w:bookmarkEnd w:id="14"/>
    </w:p>
    <w:p w14:paraId="10552CE5" w14:textId="77777777" w:rsidR="005B564A" w:rsidRPr="00226F9D" w:rsidRDefault="005B564A" w:rsidP="006B59F4">
      <w:pPr>
        <w:spacing w:after="0" w:line="240" w:lineRule="auto"/>
        <w:jc w:val="both"/>
        <w:rPr>
          <w:rFonts w:ascii="Times New Roman" w:eastAsia="Calibri" w:hAnsi="Times New Roman" w:cs="Times New Roman"/>
          <w:lang w:val="sr-Cyrl-RS"/>
        </w:rPr>
      </w:pPr>
    </w:p>
    <w:p w14:paraId="7F25499E" w14:textId="44FE0478" w:rsidR="00291362" w:rsidRPr="00226F9D" w:rsidRDefault="00291362"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Релевантност и валидност посебних циљева претходног </w:t>
      </w:r>
      <w:r w:rsidRPr="00226F9D">
        <w:rPr>
          <w:rFonts w:ascii="Times New Roman" w:eastAsia="Calibri" w:hAnsi="Times New Roman" w:cs="Times New Roman"/>
          <w:i/>
          <w:lang w:val="sr-Cyrl-RS"/>
        </w:rPr>
        <w:t xml:space="preserve">Програма </w:t>
      </w:r>
      <w:r w:rsidRPr="00226F9D">
        <w:rPr>
          <w:rFonts w:ascii="Times New Roman" w:eastAsia="Calibri" w:hAnsi="Times New Roman" w:cs="Times New Roman"/>
          <w:lang w:val="sr-Cyrl-RS"/>
        </w:rPr>
        <w:t>потврђени су налазима бројних анализа и вредновања, укључујући и СИГМА мониторинг Извештај за 2024. годину.</w:t>
      </w:r>
      <w:r w:rsidRPr="00226F9D">
        <w:rPr>
          <w:rFonts w:ascii="Times New Roman" w:eastAsia="Calibri" w:hAnsi="Times New Roman" w:cs="Times New Roman"/>
          <w:lang w:val="sr-Latn-RS"/>
        </w:rPr>
        <w:t xml:space="preserve"> </w:t>
      </w:r>
      <w:r w:rsidRPr="00226F9D">
        <w:rPr>
          <w:rFonts w:ascii="Times New Roman" w:eastAsia="Calibri" w:hAnsi="Times New Roman" w:cs="Times New Roman"/>
          <w:lang w:val="sr-Cyrl-RS"/>
        </w:rPr>
        <w:t xml:space="preserve">Имајући у виду напредак остварен спровођењем претходног </w:t>
      </w:r>
      <w:r w:rsidRPr="00226F9D">
        <w:rPr>
          <w:rFonts w:ascii="Times New Roman" w:eastAsia="Calibri" w:hAnsi="Times New Roman" w:cs="Times New Roman"/>
          <w:i/>
          <w:lang w:val="sr-Cyrl-RS"/>
        </w:rPr>
        <w:t>Програма, поједини припадајући показатељи</w:t>
      </w:r>
      <w:r w:rsidRPr="00226F9D">
        <w:rPr>
          <w:rFonts w:ascii="Times New Roman" w:eastAsia="Calibri" w:hAnsi="Times New Roman" w:cs="Times New Roman"/>
          <w:lang w:val="sr-Cyrl-RS"/>
        </w:rPr>
        <w:t xml:space="preserve"> су по потреби ревидирани, односно дефинисани нови.</w:t>
      </w:r>
    </w:p>
    <w:p w14:paraId="62822D3F" w14:textId="77777777" w:rsidR="00084835" w:rsidRPr="00226F9D" w:rsidRDefault="00084835" w:rsidP="006B59F4">
      <w:pPr>
        <w:spacing w:after="0" w:line="240" w:lineRule="auto"/>
        <w:jc w:val="both"/>
        <w:rPr>
          <w:rFonts w:ascii="Times New Roman" w:eastAsia="Calibri" w:hAnsi="Times New Roman" w:cs="Times New Roman"/>
          <w:lang w:val="sr-Latn-RS"/>
        </w:rPr>
      </w:pPr>
    </w:p>
    <w:p w14:paraId="61CD161C" w14:textId="448BB0E4" w:rsidR="00291362" w:rsidRPr="00226F9D" w:rsidRDefault="00291362"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Посебни циљеви и исходни показатељи приказани су </w:t>
      </w:r>
      <w:r w:rsidR="00463E89" w:rsidRPr="00226F9D">
        <w:rPr>
          <w:rFonts w:ascii="Times New Roman" w:eastAsia="Calibri" w:hAnsi="Times New Roman" w:cs="Times New Roman"/>
          <w:lang w:val="sr-Cyrl-RS"/>
        </w:rPr>
        <w:t>у</w:t>
      </w:r>
      <w:r w:rsidRPr="00226F9D">
        <w:rPr>
          <w:rFonts w:ascii="Times New Roman" w:eastAsia="Calibri" w:hAnsi="Times New Roman" w:cs="Times New Roman"/>
          <w:lang w:val="sr-Cyrl-RS"/>
        </w:rPr>
        <w:t xml:space="preserve"> табели испод:</w:t>
      </w:r>
    </w:p>
    <w:p w14:paraId="360C36A7" w14:textId="77777777" w:rsidR="00E1593A" w:rsidRPr="00226F9D" w:rsidRDefault="00E1593A" w:rsidP="006B59F4">
      <w:pPr>
        <w:spacing w:after="0" w:line="240" w:lineRule="auto"/>
        <w:jc w:val="both"/>
        <w:rPr>
          <w:rFonts w:ascii="Times New Roman" w:eastAsia="Calibri" w:hAnsi="Times New Roman" w:cs="Times New Roman"/>
          <w:lang w:val="sr-Cyrl-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4AAFB4"/>
        <w:tblCellMar>
          <w:top w:w="57" w:type="dxa"/>
          <w:bottom w:w="57" w:type="dxa"/>
        </w:tblCellMar>
        <w:tblLook w:val="00A0" w:firstRow="1" w:lastRow="0" w:firstColumn="1" w:lastColumn="0" w:noHBand="0" w:noVBand="0"/>
      </w:tblPr>
      <w:tblGrid>
        <w:gridCol w:w="2113"/>
        <w:gridCol w:w="7509"/>
      </w:tblGrid>
      <w:tr w:rsidR="00291362" w:rsidRPr="00226F9D" w14:paraId="711A4690" w14:textId="77777777" w:rsidTr="0EB8FC02">
        <w:trPr>
          <w:trHeight w:val="219"/>
        </w:trPr>
        <w:tc>
          <w:tcPr>
            <w:tcW w:w="1098" w:type="pct"/>
            <w:tcBorders>
              <w:right w:val="single" w:sz="4" w:space="0" w:color="auto"/>
            </w:tcBorders>
            <w:shd w:val="clear" w:color="auto" w:fill="4AAFB4"/>
          </w:tcPr>
          <w:p w14:paraId="13D61CF9" w14:textId="77777777" w:rsidR="00291362" w:rsidRPr="00226F9D" w:rsidRDefault="00291362" w:rsidP="00A36864">
            <w:pPr>
              <w:spacing w:after="0" w:line="240" w:lineRule="auto"/>
              <w:rPr>
                <w:rFonts w:ascii="Times New Roman" w:hAnsi="Times New Roman" w:cs="Times New Roman"/>
                <w:b/>
                <w:bCs/>
                <w:color w:val="FFFFFF" w:themeColor="background1"/>
                <w:sz w:val="20"/>
                <w:szCs w:val="20"/>
                <w:lang w:val="sr-Cyrl-RS"/>
              </w:rPr>
            </w:pPr>
            <w:r w:rsidRPr="00226F9D">
              <w:rPr>
                <w:rFonts w:ascii="Times New Roman" w:hAnsi="Times New Roman" w:cs="Times New Roman"/>
                <w:b/>
                <w:bCs/>
                <w:color w:val="FFFFFF" w:themeColor="background1"/>
                <w:sz w:val="20"/>
                <w:szCs w:val="20"/>
                <w:lang w:val="sr-Cyrl-RS"/>
              </w:rPr>
              <w:t>Посебан циљ</w:t>
            </w:r>
          </w:p>
        </w:tc>
        <w:tc>
          <w:tcPr>
            <w:tcW w:w="3902" w:type="pct"/>
            <w:tcBorders>
              <w:left w:val="single" w:sz="4" w:space="0" w:color="auto"/>
            </w:tcBorders>
          </w:tcPr>
          <w:p w14:paraId="1822260C" w14:textId="77777777" w:rsidR="00291362" w:rsidRPr="00226F9D" w:rsidRDefault="00291362" w:rsidP="00090884">
            <w:pPr>
              <w:spacing w:after="0" w:line="240" w:lineRule="auto"/>
              <w:jc w:val="both"/>
              <w:rPr>
                <w:rFonts w:ascii="Times New Roman" w:hAnsi="Times New Roman" w:cs="Times New Roman"/>
                <w:b/>
                <w:bCs/>
                <w:sz w:val="20"/>
                <w:szCs w:val="20"/>
                <w:lang w:val="sr-Cyrl-RS"/>
              </w:rPr>
            </w:pPr>
            <w:r w:rsidRPr="00226F9D">
              <w:rPr>
                <w:rFonts w:ascii="Times New Roman" w:hAnsi="Times New Roman" w:cs="Times New Roman"/>
                <w:b/>
                <w:bCs/>
                <w:sz w:val="20"/>
                <w:szCs w:val="20"/>
                <w:lang w:val="sr-Cyrl-RS"/>
              </w:rPr>
              <w:t>Показатељи исхода</w:t>
            </w:r>
          </w:p>
        </w:tc>
      </w:tr>
      <w:tr w:rsidR="00291362" w:rsidRPr="00226F9D" w14:paraId="274785F7" w14:textId="77777777" w:rsidTr="0EB8FC02">
        <w:trPr>
          <w:trHeight w:val="620"/>
        </w:trPr>
        <w:tc>
          <w:tcPr>
            <w:tcW w:w="1098" w:type="pct"/>
            <w:tcBorders>
              <w:right w:val="single" w:sz="4" w:space="0" w:color="auto"/>
            </w:tcBorders>
            <w:shd w:val="clear" w:color="auto" w:fill="4AAFB4"/>
          </w:tcPr>
          <w:p w14:paraId="181208F6" w14:textId="77777777" w:rsidR="00291362" w:rsidRPr="00226F9D" w:rsidRDefault="00291362" w:rsidP="00A36864">
            <w:pPr>
              <w:spacing w:after="0" w:line="240" w:lineRule="auto"/>
              <w:rPr>
                <w:rFonts w:ascii="Times New Roman" w:hAnsi="Times New Roman" w:cs="Times New Roman"/>
                <w:color w:val="FFFFFF" w:themeColor="background1"/>
                <w:sz w:val="20"/>
                <w:szCs w:val="20"/>
                <w:lang w:val="sr-Cyrl-RS"/>
              </w:rPr>
            </w:pPr>
            <w:r w:rsidRPr="00226F9D">
              <w:rPr>
                <w:rFonts w:ascii="Times New Roman" w:hAnsi="Times New Roman" w:cs="Times New Roman"/>
                <w:i/>
                <w:iCs/>
                <w:color w:val="FFFFFF" w:themeColor="background1"/>
                <w:sz w:val="20"/>
                <w:szCs w:val="20"/>
                <w:lang w:val="sr-Cyrl-RS"/>
              </w:rPr>
              <w:t>Посебни циљ 1: Унапређење положаја и одговорности локалне самоуправе</w:t>
            </w:r>
          </w:p>
        </w:tc>
        <w:tc>
          <w:tcPr>
            <w:tcW w:w="3902" w:type="pct"/>
            <w:tcBorders>
              <w:left w:val="single" w:sz="4" w:space="0" w:color="auto"/>
            </w:tcBorders>
          </w:tcPr>
          <w:p w14:paraId="739F30D4" w14:textId="52FD07E9" w:rsidR="00674573" w:rsidRPr="00226F9D" w:rsidRDefault="00AD7650"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Број одредаба ЕПЛС чију је примену ратификовала Република Србија</w:t>
            </w:r>
          </w:p>
          <w:p w14:paraId="5244C386" w14:textId="429FEEF6" w:rsidR="00674573" w:rsidRPr="00226F9D" w:rsidRDefault="00674573"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ПВ</w:t>
            </w:r>
            <w:r w:rsidR="00B35FAF" w:rsidRPr="00226F9D">
              <w:rPr>
                <w:rFonts w:ascii="Times New Roman" w:hAnsi="Times New Roman" w:cs="Times New Roman"/>
                <w:iCs/>
                <w:sz w:val="20"/>
                <w:szCs w:val="20"/>
                <w:lang w:val="sr-Cyrl-RS"/>
              </w:rPr>
              <w:t xml:space="preserve"> (202</w:t>
            </w:r>
            <w:r w:rsidR="005D27D1" w:rsidRPr="00226F9D">
              <w:rPr>
                <w:rFonts w:ascii="Times New Roman" w:hAnsi="Times New Roman" w:cs="Times New Roman"/>
                <w:iCs/>
                <w:sz w:val="20"/>
                <w:szCs w:val="20"/>
                <w:lang w:val="sr-Cyrl-RS"/>
              </w:rPr>
              <w:t>5</w:t>
            </w:r>
            <w:r w:rsidR="00B35FAF" w:rsidRPr="00226F9D">
              <w:rPr>
                <w:rFonts w:ascii="Times New Roman" w:hAnsi="Times New Roman" w:cs="Times New Roman"/>
                <w:iCs/>
                <w:sz w:val="20"/>
                <w:szCs w:val="20"/>
                <w:lang w:val="sr-Cyrl-RS"/>
              </w:rPr>
              <w:t>)</w:t>
            </w:r>
            <w:r w:rsidRPr="00226F9D">
              <w:rPr>
                <w:rFonts w:ascii="Times New Roman" w:hAnsi="Times New Roman" w:cs="Times New Roman"/>
                <w:iCs/>
                <w:sz w:val="20"/>
                <w:szCs w:val="20"/>
                <w:lang w:val="sr-Cyrl-RS"/>
              </w:rPr>
              <w:t>:</w:t>
            </w:r>
            <w:r w:rsidR="00B35FAF" w:rsidRPr="00226F9D">
              <w:rPr>
                <w:rFonts w:ascii="Times New Roman" w:hAnsi="Times New Roman" w:cs="Times New Roman"/>
                <w:iCs/>
                <w:sz w:val="20"/>
                <w:szCs w:val="20"/>
                <w:lang w:val="sr-Cyrl-RS"/>
              </w:rPr>
              <w:t xml:space="preserve"> </w:t>
            </w:r>
            <w:r w:rsidR="00AD7650" w:rsidRPr="00226F9D">
              <w:rPr>
                <w:rFonts w:ascii="Times New Roman" w:hAnsi="Times New Roman" w:cs="Times New Roman"/>
                <w:iCs/>
                <w:sz w:val="20"/>
                <w:szCs w:val="20"/>
                <w:lang w:val="sr-Cyrl-RS"/>
              </w:rPr>
              <w:t>2</w:t>
            </w:r>
            <w:r w:rsidR="005D27D1" w:rsidRPr="00226F9D">
              <w:rPr>
                <w:rFonts w:ascii="Times New Roman" w:hAnsi="Times New Roman" w:cs="Times New Roman"/>
                <w:iCs/>
                <w:sz w:val="20"/>
                <w:szCs w:val="20"/>
                <w:lang w:val="sr-Cyrl-RS"/>
              </w:rPr>
              <w:t>7</w:t>
            </w:r>
          </w:p>
          <w:p w14:paraId="15EB081F" w14:textId="445B4337" w:rsidR="00674573" w:rsidRPr="00226F9D" w:rsidRDefault="00674573"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 xml:space="preserve">ЦВ (2030): </w:t>
            </w:r>
            <w:r w:rsidR="00AD7650" w:rsidRPr="00226F9D">
              <w:rPr>
                <w:rFonts w:ascii="Times New Roman" w:hAnsi="Times New Roman" w:cs="Times New Roman"/>
                <w:iCs/>
                <w:sz w:val="20"/>
                <w:szCs w:val="20"/>
                <w:lang w:val="sr-Cyrl-RS"/>
              </w:rPr>
              <w:t>30</w:t>
            </w:r>
          </w:p>
          <w:p w14:paraId="2D33C382" w14:textId="77777777" w:rsidR="00291362" w:rsidRPr="00226F9D" w:rsidRDefault="00291362"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Просечна вредност индекса добре управе у издвојеним областима: 1) одговорност; 2) транспарентност, отвореност и партиципација;</w:t>
            </w:r>
          </w:p>
          <w:p w14:paraId="35E02267" w14:textId="0482C9AE"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ПВ (202</w:t>
            </w:r>
            <w:r w:rsidR="00DE2D96" w:rsidRPr="00226F9D">
              <w:rPr>
                <w:rFonts w:ascii="Times New Roman" w:hAnsi="Times New Roman" w:cs="Times New Roman"/>
                <w:iCs/>
                <w:sz w:val="20"/>
                <w:szCs w:val="20"/>
                <w:lang w:val="sr-Cyrl-RS"/>
              </w:rPr>
              <w:t>3</w:t>
            </w:r>
            <w:r w:rsidRPr="00226F9D">
              <w:rPr>
                <w:rFonts w:ascii="Times New Roman" w:hAnsi="Times New Roman" w:cs="Times New Roman"/>
                <w:iCs/>
                <w:sz w:val="20"/>
                <w:szCs w:val="20"/>
                <w:lang w:val="sr-Cyrl-RS"/>
              </w:rPr>
              <w:t xml:space="preserve">): </w:t>
            </w:r>
            <w:r w:rsidR="00594629" w:rsidRPr="00226F9D">
              <w:rPr>
                <w:rFonts w:ascii="Times New Roman" w:hAnsi="Times New Roman" w:cs="Times New Roman"/>
                <w:iCs/>
                <w:sz w:val="20"/>
                <w:szCs w:val="20"/>
                <w:lang w:val="sr-Cyrl-RS"/>
              </w:rPr>
              <w:t>59,1%</w:t>
            </w:r>
          </w:p>
          <w:p w14:paraId="7AD31CF7" w14:textId="2E7A6FA9"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 xml:space="preserve">ЦВ (2030): </w:t>
            </w:r>
            <w:r w:rsidR="00FB0448" w:rsidRPr="00226F9D">
              <w:rPr>
                <w:rFonts w:ascii="Times New Roman" w:hAnsi="Times New Roman" w:cs="Times New Roman"/>
                <w:iCs/>
                <w:sz w:val="20"/>
                <w:szCs w:val="20"/>
                <w:lang w:val="sr-Cyrl-RS"/>
              </w:rPr>
              <w:t>66%</w:t>
            </w:r>
          </w:p>
          <w:p w14:paraId="39898289" w14:textId="77777777" w:rsidR="00AC4ADE" w:rsidRPr="00226F9D" w:rsidRDefault="00824583"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Степен обучености локалних органа и управе  за примену новог системског правног оквира за локалну самоуправу</w:t>
            </w:r>
          </w:p>
          <w:p w14:paraId="6B618E1E" w14:textId="5B0A3832" w:rsidR="00824583" w:rsidRPr="00226F9D" w:rsidRDefault="00824583" w:rsidP="00824583">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 xml:space="preserve">ПВ (2025): </w:t>
            </w:r>
            <w:r w:rsidR="001A7A20" w:rsidRPr="00226F9D">
              <w:rPr>
                <w:rFonts w:ascii="Times New Roman" w:hAnsi="Times New Roman" w:cs="Times New Roman"/>
                <w:iCs/>
                <w:sz w:val="20"/>
                <w:szCs w:val="20"/>
                <w:lang w:val="sr-Cyrl-RS"/>
              </w:rPr>
              <w:t>0</w:t>
            </w:r>
          </w:p>
          <w:p w14:paraId="19A698FB" w14:textId="02288651" w:rsidR="00824583" w:rsidRPr="00226F9D" w:rsidRDefault="00824583"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 xml:space="preserve">ЦВ (2030): </w:t>
            </w:r>
            <w:r w:rsidR="00502184" w:rsidRPr="00226F9D">
              <w:rPr>
                <w:rFonts w:ascii="Times New Roman" w:hAnsi="Times New Roman" w:cs="Times New Roman"/>
                <w:iCs/>
                <w:sz w:val="20"/>
                <w:szCs w:val="20"/>
                <w:lang w:val="sr-Cyrl-RS"/>
              </w:rPr>
              <w:t>5</w:t>
            </w:r>
          </w:p>
        </w:tc>
      </w:tr>
      <w:tr w:rsidR="00291362" w:rsidRPr="00226F9D" w14:paraId="007702B7" w14:textId="77777777" w:rsidTr="0EB8FC02">
        <w:trPr>
          <w:trHeight w:val="1629"/>
        </w:trPr>
        <w:tc>
          <w:tcPr>
            <w:tcW w:w="1098" w:type="pct"/>
            <w:tcBorders>
              <w:right w:val="single" w:sz="4" w:space="0" w:color="auto"/>
            </w:tcBorders>
            <w:shd w:val="clear" w:color="auto" w:fill="4AAFB4"/>
          </w:tcPr>
          <w:p w14:paraId="7DEB11B8" w14:textId="77777777" w:rsidR="00291362" w:rsidRPr="00226F9D" w:rsidRDefault="00291362" w:rsidP="00A36864">
            <w:pPr>
              <w:spacing w:after="0" w:line="240" w:lineRule="auto"/>
              <w:rPr>
                <w:rFonts w:ascii="Times New Roman" w:hAnsi="Times New Roman" w:cs="Times New Roman"/>
                <w:i/>
                <w:iCs/>
                <w:color w:val="FFFFFF" w:themeColor="background1"/>
                <w:sz w:val="20"/>
                <w:szCs w:val="20"/>
                <w:lang w:val="sr-Cyrl-RS"/>
              </w:rPr>
            </w:pPr>
            <w:r w:rsidRPr="00226F9D">
              <w:rPr>
                <w:rFonts w:ascii="Times New Roman" w:hAnsi="Times New Roman" w:cs="Times New Roman"/>
                <w:i/>
                <w:iCs/>
                <w:color w:val="FFFFFF" w:themeColor="background1"/>
                <w:sz w:val="20"/>
                <w:szCs w:val="20"/>
                <w:lang w:val="sr-Cyrl-RS"/>
              </w:rPr>
              <w:t>Посебни циљ 2: Унапређење система финансирања локалне самоуправе</w:t>
            </w:r>
          </w:p>
        </w:tc>
        <w:tc>
          <w:tcPr>
            <w:tcW w:w="3902" w:type="pct"/>
            <w:tcBorders>
              <w:left w:val="single" w:sz="4" w:space="0" w:color="auto"/>
            </w:tcBorders>
          </w:tcPr>
          <w:p w14:paraId="362CDC4B" w14:textId="77777777" w:rsidR="00FD1F7C" w:rsidRPr="00226F9D" w:rsidRDefault="00FE1850"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Удео текућих прихода градова и општина (са урачунатим трансферима од других нивоа власти) у укупним текућим приходима у Републици Србији</w:t>
            </w:r>
          </w:p>
          <w:p w14:paraId="15E6A7AE" w14:textId="05D42219"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ПВ (202</w:t>
            </w:r>
            <w:r w:rsidR="00131B3B" w:rsidRPr="00226F9D">
              <w:rPr>
                <w:rFonts w:ascii="Times New Roman" w:hAnsi="Times New Roman" w:cs="Times New Roman"/>
                <w:iCs/>
                <w:sz w:val="20"/>
                <w:szCs w:val="20"/>
                <w:lang w:val="sr-Cyrl-RS"/>
              </w:rPr>
              <w:t>4</w:t>
            </w:r>
            <w:r w:rsidRPr="00226F9D">
              <w:rPr>
                <w:rFonts w:ascii="Times New Roman" w:hAnsi="Times New Roman" w:cs="Times New Roman"/>
                <w:iCs/>
                <w:sz w:val="20"/>
                <w:szCs w:val="20"/>
                <w:lang w:val="sr-Cyrl-RS"/>
              </w:rPr>
              <w:t xml:space="preserve">): </w:t>
            </w:r>
            <w:r w:rsidR="00131B3B" w:rsidRPr="00226F9D">
              <w:rPr>
                <w:rFonts w:ascii="Times New Roman" w:hAnsi="Times New Roman" w:cs="Times New Roman"/>
                <w:iCs/>
                <w:sz w:val="20"/>
                <w:szCs w:val="20"/>
                <w:lang w:val="sr-Cyrl-RS"/>
              </w:rPr>
              <w:t>1</w:t>
            </w:r>
            <w:r w:rsidR="008B62E4" w:rsidRPr="00226F9D">
              <w:rPr>
                <w:rFonts w:ascii="Times New Roman" w:hAnsi="Times New Roman" w:cs="Times New Roman"/>
                <w:iCs/>
                <w:sz w:val="20"/>
                <w:szCs w:val="20"/>
                <w:lang w:val="sr-Cyrl-RS"/>
              </w:rPr>
              <w:t>3</w:t>
            </w:r>
            <w:r w:rsidR="00131B3B" w:rsidRPr="00226F9D">
              <w:rPr>
                <w:rFonts w:ascii="Times New Roman" w:hAnsi="Times New Roman" w:cs="Times New Roman"/>
                <w:iCs/>
                <w:sz w:val="20"/>
                <w:szCs w:val="20"/>
                <w:lang w:val="sr-Cyrl-RS"/>
              </w:rPr>
              <w:t>%</w:t>
            </w:r>
          </w:p>
          <w:p w14:paraId="4CBB7642" w14:textId="448AC2AB" w:rsidR="00291362" w:rsidRPr="00226F9D" w:rsidRDefault="00291362"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 xml:space="preserve">ЦВ (2030): </w:t>
            </w:r>
            <w:r w:rsidR="00131B3B" w:rsidRPr="00226F9D">
              <w:rPr>
                <w:rFonts w:ascii="Times New Roman" w:hAnsi="Times New Roman" w:cs="Times New Roman"/>
                <w:iCs/>
                <w:sz w:val="20"/>
                <w:szCs w:val="20"/>
                <w:lang w:val="sr-Cyrl-RS"/>
              </w:rPr>
              <w:t>1</w:t>
            </w:r>
            <w:r w:rsidR="008B62E4" w:rsidRPr="00226F9D">
              <w:rPr>
                <w:rFonts w:ascii="Times New Roman" w:hAnsi="Times New Roman" w:cs="Times New Roman"/>
                <w:iCs/>
                <w:sz w:val="20"/>
                <w:szCs w:val="20"/>
                <w:lang w:val="sr-Cyrl-RS"/>
              </w:rPr>
              <w:t>4</w:t>
            </w:r>
            <w:r w:rsidR="00131B3B" w:rsidRPr="00226F9D">
              <w:rPr>
                <w:rFonts w:ascii="Times New Roman" w:hAnsi="Times New Roman" w:cs="Times New Roman"/>
                <w:iCs/>
                <w:sz w:val="20"/>
                <w:szCs w:val="20"/>
                <w:lang w:val="sr-Cyrl-RS"/>
              </w:rPr>
              <w:t>,5%</w:t>
            </w:r>
          </w:p>
          <w:p w14:paraId="4EB496B8" w14:textId="4833A507"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Удео капиталних издатака у укупним издацима локалне самоуправе</w:t>
            </w:r>
            <w:r w:rsidR="006F1E37" w:rsidRPr="00226F9D">
              <w:rPr>
                <w:rFonts w:ascii="Times New Roman" w:hAnsi="Times New Roman" w:cs="Times New Roman"/>
                <w:sz w:val="20"/>
                <w:szCs w:val="20"/>
                <w:lang w:val="sr-Cyrl-RS"/>
              </w:rPr>
              <w:t xml:space="preserve"> </w:t>
            </w:r>
          </w:p>
          <w:p w14:paraId="0106FB65" w14:textId="1A92B923"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ПВ (202</w:t>
            </w:r>
            <w:r w:rsidR="00393B4D" w:rsidRPr="00226F9D">
              <w:rPr>
                <w:rFonts w:ascii="Times New Roman" w:hAnsi="Times New Roman" w:cs="Times New Roman"/>
                <w:iCs/>
                <w:sz w:val="20"/>
                <w:szCs w:val="20"/>
                <w:lang w:val="sr-Cyrl-RS"/>
              </w:rPr>
              <w:t>5</w:t>
            </w:r>
            <w:r w:rsidRPr="00226F9D">
              <w:rPr>
                <w:rFonts w:ascii="Times New Roman" w:hAnsi="Times New Roman" w:cs="Times New Roman"/>
                <w:iCs/>
                <w:sz w:val="20"/>
                <w:szCs w:val="20"/>
                <w:lang w:val="sr-Cyrl-RS"/>
              </w:rPr>
              <w:t xml:space="preserve">): </w:t>
            </w:r>
            <w:r w:rsidR="00600E52" w:rsidRPr="00226F9D">
              <w:rPr>
                <w:rFonts w:ascii="Times New Roman" w:hAnsi="Times New Roman" w:cs="Times New Roman"/>
                <w:sz w:val="20"/>
                <w:szCs w:val="20"/>
                <w:lang w:val="sr-Cyrl-RS"/>
              </w:rPr>
              <w:t xml:space="preserve">15,80 </w:t>
            </w:r>
            <w:r w:rsidR="006C0B5A" w:rsidRPr="00226F9D">
              <w:rPr>
                <w:rFonts w:ascii="Times New Roman" w:hAnsi="Times New Roman" w:cs="Times New Roman"/>
                <w:sz w:val="20"/>
                <w:szCs w:val="20"/>
                <w:lang w:val="sr-Cyrl-RS"/>
              </w:rPr>
              <w:t>%</w:t>
            </w:r>
          </w:p>
          <w:p w14:paraId="1C9AFA0A" w14:textId="01F5CA64" w:rsidR="00291362" w:rsidRPr="00226F9D" w:rsidRDefault="00291362"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 xml:space="preserve">ЦВ (2030): </w:t>
            </w:r>
            <w:r w:rsidR="008E1A96" w:rsidRPr="00226F9D">
              <w:rPr>
                <w:rFonts w:ascii="Times New Roman" w:hAnsi="Times New Roman" w:cs="Times New Roman"/>
                <w:sz w:val="20"/>
                <w:szCs w:val="20"/>
                <w:lang w:val="sr-Cyrl-RS"/>
              </w:rPr>
              <w:t>20%</w:t>
            </w:r>
          </w:p>
        </w:tc>
      </w:tr>
      <w:tr w:rsidR="00291362" w:rsidRPr="00226F9D" w14:paraId="20D712DF" w14:textId="77777777" w:rsidTr="0EB8FC02">
        <w:trPr>
          <w:trHeight w:val="1556"/>
        </w:trPr>
        <w:tc>
          <w:tcPr>
            <w:tcW w:w="1098" w:type="pct"/>
            <w:tcBorders>
              <w:right w:val="single" w:sz="4" w:space="0" w:color="auto"/>
            </w:tcBorders>
            <w:shd w:val="clear" w:color="auto" w:fill="4AAFB4"/>
          </w:tcPr>
          <w:p w14:paraId="70AFD8FB" w14:textId="03D6C88C" w:rsidR="00291362" w:rsidRPr="00226F9D" w:rsidRDefault="00291362" w:rsidP="00A36864">
            <w:pPr>
              <w:spacing w:after="0" w:line="240" w:lineRule="auto"/>
              <w:rPr>
                <w:rFonts w:ascii="Times New Roman" w:hAnsi="Times New Roman" w:cs="Times New Roman"/>
                <w:i/>
                <w:iCs/>
                <w:color w:val="FFFFFF" w:themeColor="background1"/>
                <w:sz w:val="20"/>
                <w:szCs w:val="20"/>
                <w:lang w:val="sr-Cyrl-RS"/>
              </w:rPr>
            </w:pPr>
            <w:r w:rsidRPr="00226F9D">
              <w:rPr>
                <w:rFonts w:ascii="Times New Roman" w:hAnsi="Times New Roman" w:cs="Times New Roman"/>
                <w:i/>
                <w:iCs/>
                <w:color w:val="FFFFFF" w:themeColor="background1"/>
                <w:sz w:val="20"/>
                <w:szCs w:val="20"/>
                <w:lang w:val="sr-Cyrl-RS"/>
              </w:rPr>
              <w:t>Посебни циљ 3: Унапређена организација и капацитети локалне управе</w:t>
            </w:r>
          </w:p>
        </w:tc>
        <w:tc>
          <w:tcPr>
            <w:tcW w:w="3902" w:type="pct"/>
            <w:tcBorders>
              <w:left w:val="single" w:sz="4" w:space="0" w:color="auto"/>
            </w:tcBorders>
          </w:tcPr>
          <w:p w14:paraId="2523FF5C" w14:textId="4D37B0CC"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Капацитет ЈЛС за управљање људским ресурсима у локалној управи</w:t>
            </w:r>
            <w:r w:rsidR="00BC1999" w:rsidRPr="00226F9D">
              <w:rPr>
                <w:rFonts w:ascii="Times New Roman" w:hAnsi="Times New Roman" w:cs="Times New Roman"/>
                <w:sz w:val="20"/>
                <w:szCs w:val="20"/>
                <w:lang w:val="sr-Cyrl-RS"/>
              </w:rPr>
              <w:t xml:space="preserve"> </w:t>
            </w:r>
          </w:p>
          <w:p w14:paraId="71083A45" w14:textId="50DD3984" w:rsidR="00291362" w:rsidRPr="00226F9D" w:rsidRDefault="00291362"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 xml:space="preserve">ПВ (2025): </w:t>
            </w:r>
            <w:r w:rsidR="00BB06BA" w:rsidRPr="00226F9D">
              <w:rPr>
                <w:rFonts w:ascii="Times New Roman" w:hAnsi="Times New Roman" w:cs="Times New Roman"/>
                <w:sz w:val="20"/>
                <w:szCs w:val="20"/>
                <w:lang w:val="sr-Cyrl-RS"/>
              </w:rPr>
              <w:t>56</w:t>
            </w:r>
            <w:r w:rsidR="00B415FD" w:rsidRPr="00226F9D">
              <w:rPr>
                <w:rFonts w:ascii="Times New Roman" w:hAnsi="Times New Roman" w:cs="Times New Roman"/>
                <w:sz w:val="20"/>
                <w:szCs w:val="20"/>
                <w:lang w:val="sr-Cyrl-RS"/>
              </w:rPr>
              <w:t>,7%</w:t>
            </w:r>
          </w:p>
          <w:p w14:paraId="63B05EB4" w14:textId="51F45D9C" w:rsidR="00291362" w:rsidRPr="00226F9D" w:rsidRDefault="27A69BBE"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sz w:val="20"/>
                <w:szCs w:val="20"/>
                <w:lang w:val="sr-Cyrl-RS"/>
              </w:rPr>
              <w:t xml:space="preserve">ЦВ (2030):  </w:t>
            </w:r>
            <w:r w:rsidR="351B00A3" w:rsidRPr="00226F9D">
              <w:rPr>
                <w:rFonts w:ascii="Times New Roman" w:hAnsi="Times New Roman" w:cs="Times New Roman"/>
                <w:sz w:val="20"/>
                <w:szCs w:val="20"/>
                <w:lang w:val="sr-Latn-RS"/>
              </w:rPr>
              <w:t>68%</w:t>
            </w:r>
          </w:p>
          <w:p w14:paraId="40B7596A" w14:textId="4B6FDCC3" w:rsidR="004C32B6" w:rsidRPr="00226F9D" w:rsidRDefault="004C32B6"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Степен обучености локалних управа за примену нових правних и процесних решења у области управљања људским ресурсима и стручног усавршавања</w:t>
            </w:r>
            <w:r w:rsidRPr="00226F9D">
              <w:rPr>
                <w:rFonts w:ascii="Times New Roman" w:hAnsi="Times New Roman" w:cs="Times New Roman"/>
                <w:sz w:val="20"/>
                <w:szCs w:val="20"/>
                <w:lang w:val="sr-Cyrl-RS"/>
              </w:rPr>
              <w:tab/>
            </w:r>
          </w:p>
          <w:p w14:paraId="3E05B203" w14:textId="17361992" w:rsidR="004C32B6" w:rsidRPr="00226F9D" w:rsidRDefault="004C32B6" w:rsidP="004C32B6">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ПВ (2025): 0</w:t>
            </w:r>
          </w:p>
          <w:p w14:paraId="2640D924" w14:textId="070059C0" w:rsidR="00291362" w:rsidRPr="00226F9D" w:rsidRDefault="004C32B6" w:rsidP="00090884">
            <w:pPr>
              <w:spacing w:after="0" w:line="240" w:lineRule="auto"/>
              <w:jc w:val="both"/>
              <w:rPr>
                <w:rFonts w:ascii="Times New Roman" w:hAnsi="Times New Roman" w:cs="Times New Roman"/>
                <w:iCs/>
                <w:sz w:val="20"/>
                <w:szCs w:val="20"/>
                <w:lang w:val="sr-Cyrl-RS"/>
              </w:rPr>
            </w:pPr>
            <w:r w:rsidRPr="00226F9D">
              <w:rPr>
                <w:rFonts w:ascii="Times New Roman" w:hAnsi="Times New Roman" w:cs="Times New Roman"/>
                <w:iCs/>
                <w:sz w:val="20"/>
                <w:szCs w:val="20"/>
                <w:lang w:val="sr-Cyrl-RS"/>
              </w:rPr>
              <w:t xml:space="preserve">ЦВ (2030): </w:t>
            </w:r>
            <w:r w:rsidR="0069279A" w:rsidRPr="00226F9D">
              <w:rPr>
                <w:rFonts w:ascii="Times New Roman" w:hAnsi="Times New Roman" w:cs="Times New Roman"/>
                <w:iCs/>
                <w:sz w:val="20"/>
                <w:szCs w:val="20"/>
                <w:lang w:val="sr-Cyrl-RS"/>
              </w:rPr>
              <w:t>5</w:t>
            </w:r>
          </w:p>
        </w:tc>
      </w:tr>
      <w:tr w:rsidR="00291362" w:rsidRPr="00226F9D" w14:paraId="77620607" w14:textId="77777777" w:rsidTr="0EB8FC02">
        <w:trPr>
          <w:trHeight w:val="1408"/>
        </w:trPr>
        <w:tc>
          <w:tcPr>
            <w:tcW w:w="1098" w:type="pct"/>
            <w:tcBorders>
              <w:right w:val="single" w:sz="4" w:space="0" w:color="auto"/>
            </w:tcBorders>
            <w:shd w:val="clear" w:color="auto" w:fill="4AAFB4"/>
          </w:tcPr>
          <w:p w14:paraId="75FBB1DA" w14:textId="77777777" w:rsidR="00291362" w:rsidRPr="00226F9D" w:rsidRDefault="00291362" w:rsidP="00A36864">
            <w:pPr>
              <w:spacing w:after="0" w:line="240" w:lineRule="auto"/>
              <w:rPr>
                <w:rFonts w:ascii="Times New Roman" w:hAnsi="Times New Roman" w:cs="Times New Roman"/>
                <w:i/>
                <w:iCs/>
                <w:color w:val="FFFFFF" w:themeColor="background1"/>
                <w:sz w:val="20"/>
                <w:szCs w:val="20"/>
                <w:lang w:val="sr-Cyrl-RS"/>
              </w:rPr>
            </w:pPr>
            <w:r w:rsidRPr="00226F9D">
              <w:rPr>
                <w:rFonts w:ascii="Times New Roman" w:hAnsi="Times New Roman" w:cs="Times New Roman"/>
                <w:i/>
                <w:iCs/>
                <w:color w:val="FFFFFF" w:themeColor="background1"/>
                <w:sz w:val="20"/>
                <w:szCs w:val="20"/>
                <w:lang w:val="sr-Cyrl-RS"/>
              </w:rPr>
              <w:lastRenderedPageBreak/>
              <w:t>Посебни циљ 4: Унапређење квалитета и доступности услуга локалних органа управе, комуналних услуга и услуга јавних установа</w:t>
            </w:r>
          </w:p>
        </w:tc>
        <w:tc>
          <w:tcPr>
            <w:tcW w:w="3902" w:type="pct"/>
            <w:tcBorders>
              <w:left w:val="single" w:sz="4" w:space="0" w:color="auto"/>
            </w:tcBorders>
          </w:tcPr>
          <w:p w14:paraId="3C0A029B" w14:textId="4A18DF56" w:rsidR="00E163D3" w:rsidRPr="00226F9D" w:rsidRDefault="00E163D3"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 xml:space="preserve">Ниво функција за које су ЈЛС преузеле одговорност </w:t>
            </w:r>
          </w:p>
          <w:p w14:paraId="4274D46D" w14:textId="31932C70" w:rsidR="00291362" w:rsidRPr="00226F9D" w:rsidRDefault="00291362"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iCs/>
                <w:sz w:val="20"/>
                <w:szCs w:val="20"/>
                <w:lang w:val="sr-Cyrl-RS"/>
              </w:rPr>
              <w:t xml:space="preserve">ПВ (2025): </w:t>
            </w:r>
            <w:r w:rsidR="00DD45F3" w:rsidRPr="00226F9D">
              <w:rPr>
                <w:rFonts w:ascii="Times New Roman" w:hAnsi="Times New Roman" w:cs="Times New Roman"/>
                <w:iCs/>
                <w:sz w:val="20"/>
                <w:szCs w:val="20"/>
                <w:lang w:val="sr-Cyrl-RS"/>
              </w:rPr>
              <w:t>7</w:t>
            </w:r>
            <w:r w:rsidR="00177582" w:rsidRPr="00226F9D">
              <w:rPr>
                <w:rFonts w:ascii="Times New Roman" w:hAnsi="Times New Roman" w:cs="Times New Roman"/>
                <w:iCs/>
                <w:sz w:val="20"/>
                <w:szCs w:val="20"/>
                <w:lang w:val="sr-Latn-RS"/>
              </w:rPr>
              <w:t>.5</w:t>
            </w:r>
          </w:p>
          <w:p w14:paraId="17063743" w14:textId="60977949" w:rsidR="00291362" w:rsidRPr="00226F9D" w:rsidRDefault="00291362"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ЦВ (20</w:t>
            </w:r>
            <w:r w:rsidR="00F10E59" w:rsidRPr="00226F9D">
              <w:rPr>
                <w:rFonts w:ascii="Times New Roman" w:hAnsi="Times New Roman" w:cs="Times New Roman"/>
                <w:iCs/>
                <w:sz w:val="20"/>
                <w:szCs w:val="20"/>
                <w:lang w:val="sr-Cyrl-RS"/>
              </w:rPr>
              <w:t>30</w:t>
            </w:r>
            <w:r w:rsidRPr="00226F9D">
              <w:rPr>
                <w:rFonts w:ascii="Times New Roman" w:hAnsi="Times New Roman" w:cs="Times New Roman"/>
                <w:iCs/>
                <w:sz w:val="20"/>
                <w:szCs w:val="20"/>
                <w:lang w:val="sr-Cyrl-RS"/>
              </w:rPr>
              <w:t xml:space="preserve">): </w:t>
            </w:r>
            <w:r w:rsidR="00DD45F3" w:rsidRPr="00226F9D">
              <w:rPr>
                <w:rFonts w:ascii="Times New Roman" w:hAnsi="Times New Roman" w:cs="Times New Roman"/>
                <w:iCs/>
                <w:sz w:val="20"/>
                <w:szCs w:val="20"/>
                <w:lang w:val="sr-Cyrl-RS"/>
              </w:rPr>
              <w:t>8.5</w:t>
            </w:r>
            <w:r w:rsidR="004A5C69" w:rsidRPr="00226F9D">
              <w:rPr>
                <w:rFonts w:ascii="Times New Roman" w:hAnsi="Times New Roman" w:cs="Times New Roman"/>
                <w:iCs/>
                <w:sz w:val="20"/>
                <w:szCs w:val="20"/>
                <w:lang w:val="sr-Cyrl-RS"/>
              </w:rPr>
              <w:t xml:space="preserve"> </w:t>
            </w:r>
          </w:p>
          <w:p w14:paraId="1A9CE0BF" w14:textId="77777777" w:rsidR="00291362" w:rsidRPr="00226F9D" w:rsidRDefault="00E71B9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sz w:val="20"/>
                <w:szCs w:val="20"/>
                <w:lang w:val="sr-Cyrl-RS"/>
              </w:rPr>
              <w:t>Удео ЈЛС које су успоставиле међуопштинску сарадњу у укупном броју ЈЛС</w:t>
            </w:r>
          </w:p>
          <w:p w14:paraId="5A63E3DC" w14:textId="7E3D354F" w:rsidR="00E71B9A" w:rsidRPr="00226F9D" w:rsidRDefault="00E71B9A" w:rsidP="00090884">
            <w:pPr>
              <w:spacing w:after="0" w:line="240" w:lineRule="auto"/>
              <w:jc w:val="both"/>
              <w:rPr>
                <w:rFonts w:ascii="Times New Roman" w:hAnsi="Times New Roman" w:cs="Times New Roman"/>
                <w:sz w:val="20"/>
                <w:szCs w:val="20"/>
                <w:lang w:val="sr-Cyrl-RS"/>
              </w:rPr>
            </w:pPr>
            <w:r w:rsidRPr="00226F9D">
              <w:rPr>
                <w:rFonts w:ascii="Times New Roman" w:hAnsi="Times New Roman" w:cs="Times New Roman"/>
                <w:iCs/>
                <w:sz w:val="20"/>
                <w:szCs w:val="20"/>
                <w:lang w:val="sr-Cyrl-RS"/>
              </w:rPr>
              <w:t>ПВ (202</w:t>
            </w:r>
            <w:r w:rsidR="00622FE5" w:rsidRPr="00226F9D">
              <w:rPr>
                <w:rFonts w:ascii="Times New Roman" w:hAnsi="Times New Roman" w:cs="Times New Roman"/>
                <w:iCs/>
                <w:sz w:val="20"/>
                <w:szCs w:val="20"/>
                <w:lang w:val="sr-Cyrl-RS"/>
              </w:rPr>
              <w:t>5</w:t>
            </w:r>
            <w:r w:rsidRPr="00226F9D">
              <w:rPr>
                <w:rFonts w:ascii="Times New Roman" w:hAnsi="Times New Roman" w:cs="Times New Roman"/>
                <w:iCs/>
                <w:sz w:val="20"/>
                <w:szCs w:val="20"/>
                <w:lang w:val="sr-Cyrl-RS"/>
              </w:rPr>
              <w:t>): 6</w:t>
            </w:r>
            <w:r w:rsidR="00600E52" w:rsidRPr="00226F9D">
              <w:rPr>
                <w:rFonts w:ascii="Times New Roman" w:hAnsi="Times New Roman" w:cs="Times New Roman"/>
                <w:iCs/>
                <w:sz w:val="20"/>
                <w:szCs w:val="20"/>
                <w:lang w:val="sr-Cyrl-RS"/>
              </w:rPr>
              <w:t>2</w:t>
            </w:r>
            <w:r w:rsidRPr="00226F9D">
              <w:rPr>
                <w:rFonts w:ascii="Times New Roman" w:hAnsi="Times New Roman" w:cs="Times New Roman"/>
                <w:iCs/>
                <w:sz w:val="20"/>
                <w:szCs w:val="20"/>
                <w:lang w:val="sr-Cyrl-RS"/>
              </w:rPr>
              <w:t>%</w:t>
            </w:r>
          </w:p>
          <w:p w14:paraId="1FFE3C75" w14:textId="0D330805" w:rsidR="00291362" w:rsidRPr="00226F9D" w:rsidRDefault="00E71B9A" w:rsidP="00090884">
            <w:pPr>
              <w:spacing w:after="0" w:line="240" w:lineRule="auto"/>
              <w:jc w:val="both"/>
              <w:rPr>
                <w:rFonts w:ascii="Times New Roman" w:hAnsi="Times New Roman" w:cs="Times New Roman"/>
                <w:sz w:val="20"/>
                <w:szCs w:val="20"/>
                <w:lang w:val="sr-Latn-RS"/>
              </w:rPr>
            </w:pPr>
            <w:r w:rsidRPr="00226F9D">
              <w:rPr>
                <w:rFonts w:ascii="Times New Roman" w:hAnsi="Times New Roman" w:cs="Times New Roman"/>
                <w:iCs/>
                <w:sz w:val="20"/>
                <w:szCs w:val="20"/>
                <w:lang w:val="sr-Cyrl-RS"/>
              </w:rPr>
              <w:t xml:space="preserve">ЦВ (2030): </w:t>
            </w:r>
            <w:r w:rsidR="001C290F" w:rsidRPr="00226F9D">
              <w:rPr>
                <w:rFonts w:ascii="Times New Roman" w:hAnsi="Times New Roman" w:cs="Times New Roman"/>
                <w:iCs/>
                <w:sz w:val="20"/>
                <w:szCs w:val="20"/>
                <w:lang w:val="sr-Cyrl-RS"/>
              </w:rPr>
              <w:t>6</w:t>
            </w:r>
            <w:r w:rsidR="008960E8" w:rsidRPr="00226F9D">
              <w:rPr>
                <w:rFonts w:ascii="Times New Roman" w:hAnsi="Times New Roman" w:cs="Times New Roman"/>
                <w:iCs/>
                <w:sz w:val="20"/>
                <w:szCs w:val="20"/>
                <w:lang w:val="sr-Cyrl-RS"/>
              </w:rPr>
              <w:t>7</w:t>
            </w:r>
            <w:r w:rsidR="001C290F" w:rsidRPr="00226F9D">
              <w:rPr>
                <w:rFonts w:ascii="Times New Roman" w:hAnsi="Times New Roman" w:cs="Times New Roman"/>
                <w:iCs/>
                <w:sz w:val="20"/>
                <w:szCs w:val="20"/>
                <w:lang w:val="sr-Cyrl-RS"/>
              </w:rPr>
              <w:t>%</w:t>
            </w:r>
          </w:p>
        </w:tc>
      </w:tr>
    </w:tbl>
    <w:p w14:paraId="3982D467" w14:textId="77777777" w:rsidR="00CF32C3" w:rsidRPr="00226F9D" w:rsidRDefault="00CF32C3" w:rsidP="00090884">
      <w:pPr>
        <w:spacing w:after="0" w:line="240" w:lineRule="auto"/>
        <w:jc w:val="both"/>
        <w:rPr>
          <w:rFonts w:ascii="Times New Roman" w:eastAsia="Arial" w:hAnsi="Times New Roman" w:cs="Times New Roman"/>
          <w:color w:val="000000" w:themeColor="text1"/>
          <w:kern w:val="0"/>
          <w:lang w:val="sr-Cyrl-RS" w:eastAsia="de-CH"/>
          <w14:ligatures w14:val="none"/>
        </w:rPr>
      </w:pPr>
    </w:p>
    <w:p w14:paraId="6B1B39A0" w14:textId="22BAC051" w:rsidR="00CF32C3" w:rsidRPr="00226F9D" w:rsidRDefault="00CF32C3" w:rsidP="00090884">
      <w:pPr>
        <w:spacing w:after="0" w:line="240" w:lineRule="auto"/>
        <w:jc w:val="both"/>
        <w:rPr>
          <w:rFonts w:ascii="Times New Roman" w:eastAsia="Arial" w:hAnsi="Times New Roman" w:cs="Times New Roman"/>
          <w:kern w:val="0"/>
          <w:lang w:val="sr-Latn-RS"/>
          <w14:ligatures w14:val="none"/>
        </w:rPr>
      </w:pPr>
      <w:bookmarkStart w:id="15" w:name="_Toc51601596"/>
      <w:bookmarkStart w:id="16" w:name="_Toc60136096"/>
      <w:r w:rsidRPr="00226F9D">
        <w:rPr>
          <w:rFonts w:ascii="Times New Roman" w:eastAsia="Arial" w:hAnsi="Times New Roman" w:cs="Times New Roman"/>
          <w:kern w:val="0"/>
          <w:lang w:val="sr-Cyrl-RS"/>
          <w14:ligatures w14:val="none"/>
        </w:rPr>
        <w:t xml:space="preserve">Како би се остварио општи циљ реформе система локалне самоуправе, </w:t>
      </w:r>
      <w:r w:rsidR="008017FD" w:rsidRPr="00226F9D">
        <w:rPr>
          <w:rFonts w:ascii="Times New Roman" w:eastAsia="Arial" w:hAnsi="Times New Roman" w:cs="Times New Roman"/>
          <w:kern w:val="0"/>
          <w:lang w:val="sr-Cyrl-RS"/>
          <w14:ligatures w14:val="none"/>
        </w:rPr>
        <w:t>потврђена</w:t>
      </w:r>
      <w:r w:rsidRPr="00226F9D">
        <w:rPr>
          <w:rFonts w:ascii="Times New Roman" w:eastAsia="Arial" w:hAnsi="Times New Roman" w:cs="Times New Roman"/>
          <w:kern w:val="0"/>
          <w:lang w:val="sr-Cyrl-RS"/>
          <w14:ligatures w14:val="none"/>
        </w:rPr>
        <w:t xml:space="preserve"> су четири посебна циља и </w:t>
      </w:r>
      <w:r w:rsidR="009F6A8D" w:rsidRPr="00226F9D">
        <w:rPr>
          <w:rFonts w:ascii="Times New Roman" w:eastAsia="Arial" w:hAnsi="Times New Roman" w:cs="Times New Roman"/>
          <w:kern w:val="0"/>
          <w:lang w:val="sr-Cyrl-RS"/>
          <w14:ligatures w14:val="none"/>
        </w:rPr>
        <w:t xml:space="preserve">дефинисане </w:t>
      </w:r>
      <w:r w:rsidRPr="00226F9D">
        <w:rPr>
          <w:rFonts w:ascii="Times New Roman" w:eastAsia="Arial" w:hAnsi="Times New Roman" w:cs="Times New Roman"/>
          <w:kern w:val="0"/>
          <w:lang w:val="sr-Cyrl-RS"/>
          <w14:ligatures w14:val="none"/>
        </w:rPr>
        <w:t>њима припадајуће мере, који воде планираним крајњим исходима Програма за реформу система локалне самоуправе</w:t>
      </w:r>
      <w:bookmarkEnd w:id="15"/>
      <w:r w:rsidRPr="00226F9D">
        <w:rPr>
          <w:rFonts w:ascii="Times New Roman" w:eastAsia="Arial" w:hAnsi="Times New Roman" w:cs="Times New Roman"/>
          <w:kern w:val="0"/>
          <w:lang w:val="sr-Cyrl-RS"/>
          <w14:ligatures w14:val="none"/>
        </w:rPr>
        <w:t>.</w:t>
      </w:r>
      <w:bookmarkEnd w:id="16"/>
    </w:p>
    <w:p w14:paraId="114A18C4" w14:textId="77777777" w:rsidR="00A36864" w:rsidRPr="00226F9D" w:rsidRDefault="00A36864" w:rsidP="00090884">
      <w:pPr>
        <w:spacing w:after="0" w:line="240" w:lineRule="auto"/>
        <w:jc w:val="both"/>
        <w:rPr>
          <w:rFonts w:ascii="Times New Roman" w:eastAsia="Arial" w:hAnsi="Times New Roman" w:cs="Times New Roman"/>
          <w:color w:val="000000" w:themeColor="text1"/>
          <w:kern w:val="0"/>
          <w:lang w:val="sr-Latn-RS"/>
          <w14:ligatures w14:val="none"/>
        </w:rPr>
      </w:pPr>
    </w:p>
    <w:p w14:paraId="654CAE93" w14:textId="0512F3D5" w:rsidR="007B1A79" w:rsidRPr="00226F9D" w:rsidRDefault="00CF32C3" w:rsidP="00090884">
      <w:pPr>
        <w:spacing w:after="0" w:line="240" w:lineRule="auto"/>
        <w:jc w:val="both"/>
        <w:rPr>
          <w:rFonts w:ascii="Times New Roman" w:eastAsia="Arial" w:hAnsi="Times New Roman" w:cs="Times New Roman"/>
          <w:kern w:val="0"/>
          <w:lang w:val="sr-Cyrl-RS"/>
          <w14:ligatures w14:val="none"/>
        </w:rPr>
      </w:pPr>
      <w:bookmarkStart w:id="17" w:name="_Toc60136097"/>
      <w:r w:rsidRPr="00226F9D">
        <w:rPr>
          <w:rFonts w:ascii="Times New Roman" w:eastAsia="Arial" w:hAnsi="Times New Roman" w:cs="Times New Roman"/>
          <w:kern w:val="0"/>
          <w:lang w:val="sr-Cyrl-RS"/>
          <w14:ligatures w14:val="none"/>
        </w:rPr>
        <w:t xml:space="preserve">У складу са њима, </w:t>
      </w:r>
      <w:r w:rsidR="00CE30B0" w:rsidRPr="00226F9D">
        <w:rPr>
          <w:rFonts w:ascii="Times New Roman" w:eastAsia="Arial" w:hAnsi="Times New Roman" w:cs="Times New Roman"/>
          <w:kern w:val="0"/>
          <w:lang w:val="sr-Cyrl-RS"/>
          <w14:ligatures w14:val="none"/>
        </w:rPr>
        <w:t>даљ</w:t>
      </w:r>
      <w:r w:rsidR="00615771" w:rsidRPr="00226F9D">
        <w:rPr>
          <w:rFonts w:ascii="Times New Roman" w:eastAsia="Arial" w:hAnsi="Times New Roman" w:cs="Times New Roman"/>
          <w:kern w:val="0"/>
          <w:lang w:val="sr-Cyrl-RS"/>
          <w14:ligatures w14:val="none"/>
        </w:rPr>
        <w:t>и</w:t>
      </w:r>
      <w:r w:rsidR="00CE30B0" w:rsidRPr="00226F9D">
        <w:rPr>
          <w:rFonts w:ascii="Times New Roman" w:eastAsia="Arial" w:hAnsi="Times New Roman" w:cs="Times New Roman"/>
          <w:kern w:val="0"/>
          <w:lang w:val="sr-Cyrl-RS"/>
          <w14:ligatures w14:val="none"/>
        </w:rPr>
        <w:t xml:space="preserve"> </w:t>
      </w:r>
      <w:r w:rsidR="00FA0CAE" w:rsidRPr="00226F9D">
        <w:rPr>
          <w:rFonts w:ascii="Times New Roman" w:eastAsia="Arial" w:hAnsi="Times New Roman" w:cs="Times New Roman"/>
          <w:kern w:val="0"/>
          <w:lang w:val="sr-Cyrl-RS"/>
          <w14:ligatures w14:val="none"/>
        </w:rPr>
        <w:t>развој</w:t>
      </w:r>
      <w:r w:rsidRPr="00226F9D">
        <w:rPr>
          <w:rFonts w:ascii="Times New Roman" w:eastAsia="Arial" w:hAnsi="Times New Roman" w:cs="Times New Roman"/>
          <w:kern w:val="0"/>
          <w:lang w:val="sr-Cyrl-RS"/>
          <w14:ligatures w14:val="none"/>
        </w:rPr>
        <w:t xml:space="preserve"> систем</w:t>
      </w:r>
      <w:r w:rsidR="00424C87" w:rsidRPr="00226F9D">
        <w:rPr>
          <w:rFonts w:ascii="Times New Roman" w:eastAsia="Arial" w:hAnsi="Times New Roman" w:cs="Times New Roman"/>
          <w:kern w:val="0"/>
          <w:lang w:val="sr-Cyrl-RS"/>
          <w14:ligatures w14:val="none"/>
        </w:rPr>
        <w:t>а</w:t>
      </w:r>
      <w:r w:rsidRPr="00226F9D">
        <w:rPr>
          <w:rFonts w:ascii="Times New Roman" w:eastAsia="Arial" w:hAnsi="Times New Roman" w:cs="Times New Roman"/>
          <w:kern w:val="0"/>
          <w:lang w:val="sr-Cyrl-RS"/>
          <w14:ligatures w14:val="none"/>
        </w:rPr>
        <w:t xml:space="preserve"> локалне самоуправе подра</w:t>
      </w:r>
      <w:r w:rsidR="00827135" w:rsidRPr="00226F9D">
        <w:rPr>
          <w:rFonts w:ascii="Times New Roman" w:eastAsia="Arial" w:hAnsi="Times New Roman" w:cs="Times New Roman"/>
          <w:kern w:val="0"/>
          <w:lang w:val="sr-Cyrl-RS"/>
          <w14:ligatures w14:val="none"/>
        </w:rPr>
        <w:t xml:space="preserve">зумева </w:t>
      </w:r>
      <w:r w:rsidR="005A5E86" w:rsidRPr="00226F9D">
        <w:rPr>
          <w:rFonts w:ascii="Times New Roman" w:eastAsia="Arial" w:hAnsi="Times New Roman" w:cs="Times New Roman"/>
          <w:kern w:val="0"/>
          <w:lang w:val="sr-Cyrl-RS"/>
          <w14:ligatures w14:val="none"/>
        </w:rPr>
        <w:t xml:space="preserve">наставак настојања </w:t>
      </w:r>
      <w:r w:rsidR="00FA0CAE" w:rsidRPr="00226F9D">
        <w:rPr>
          <w:rFonts w:ascii="Times New Roman" w:eastAsia="Arial" w:hAnsi="Times New Roman" w:cs="Times New Roman"/>
          <w:kern w:val="0"/>
          <w:lang w:val="sr-Cyrl-RS"/>
          <w14:ligatures w14:val="none"/>
        </w:rPr>
        <w:t xml:space="preserve">да се </w:t>
      </w:r>
      <w:r w:rsidR="007B0EB2" w:rsidRPr="00226F9D">
        <w:rPr>
          <w:rFonts w:ascii="Times New Roman" w:eastAsia="Arial" w:hAnsi="Times New Roman" w:cs="Times New Roman"/>
          <w:kern w:val="0"/>
          <w:lang w:val="sr-Cyrl-RS"/>
          <w14:ligatures w14:val="none"/>
        </w:rPr>
        <w:t>унапреди</w:t>
      </w:r>
      <w:r w:rsidRPr="00226F9D">
        <w:rPr>
          <w:rFonts w:ascii="Times New Roman" w:eastAsia="Arial" w:hAnsi="Times New Roman" w:cs="Times New Roman"/>
          <w:kern w:val="0"/>
          <w:lang w:val="sr-Cyrl-RS"/>
          <w14:ligatures w14:val="none"/>
        </w:rPr>
        <w:t xml:space="preserve"> положај</w:t>
      </w:r>
      <w:r w:rsidR="00F87AF0" w:rsidRPr="00226F9D">
        <w:rPr>
          <w:rFonts w:ascii="Times New Roman" w:eastAsia="Arial" w:hAnsi="Times New Roman" w:cs="Times New Roman"/>
          <w:kern w:val="0"/>
          <w:lang w:val="sr-Cyrl-RS"/>
          <w14:ligatures w14:val="none"/>
        </w:rPr>
        <w:t xml:space="preserve">, </w:t>
      </w:r>
      <w:r w:rsidRPr="00226F9D">
        <w:rPr>
          <w:rFonts w:ascii="Times New Roman" w:eastAsia="Arial" w:hAnsi="Times New Roman" w:cs="Times New Roman"/>
          <w:kern w:val="0"/>
          <w:lang w:val="sr-Cyrl-RS"/>
          <w14:ligatures w14:val="none"/>
        </w:rPr>
        <w:t xml:space="preserve">значај локалне самоуправе и </w:t>
      </w:r>
      <w:r w:rsidR="00F87AF0" w:rsidRPr="00226F9D">
        <w:rPr>
          <w:rFonts w:ascii="Times New Roman" w:eastAsia="Arial" w:hAnsi="Times New Roman" w:cs="Times New Roman"/>
          <w:kern w:val="0"/>
          <w:lang w:val="sr-Cyrl-RS"/>
          <w14:ligatures w14:val="none"/>
        </w:rPr>
        <w:t xml:space="preserve">њена сразмерна </w:t>
      </w:r>
      <w:r w:rsidR="00DE231D" w:rsidRPr="00226F9D">
        <w:rPr>
          <w:rFonts w:ascii="Times New Roman" w:eastAsia="Arial" w:hAnsi="Times New Roman" w:cs="Times New Roman"/>
          <w:kern w:val="0"/>
          <w:lang w:val="sr-Cyrl-RS"/>
          <w14:ligatures w14:val="none"/>
        </w:rPr>
        <w:t xml:space="preserve">одговорност кроз </w:t>
      </w:r>
      <w:r w:rsidRPr="00226F9D">
        <w:rPr>
          <w:rFonts w:ascii="Times New Roman" w:eastAsia="Arial" w:hAnsi="Times New Roman" w:cs="Times New Roman"/>
          <w:kern w:val="0"/>
          <w:lang w:val="sr-Cyrl-RS"/>
          <w14:ligatures w14:val="none"/>
        </w:rPr>
        <w:t xml:space="preserve">примену начела супсидијарности у управљању јавним пословима, пуно учешће грађана и локалне заједнице у процесу доношења одлука на локалном нивоу, стабилан и одржив систем финансирања локалне самоуправе који обезбеђује предвидивост и довољност прихода локалне самоуправе, даљи развој капацитета локалне самоуправе и реформисање и оптимизацију њене организације у складу са потребама локалне заједнице, дугорочно планирање локалног развоја и </w:t>
      </w:r>
      <w:r w:rsidR="001E6179" w:rsidRPr="00226F9D">
        <w:rPr>
          <w:rFonts w:ascii="Times New Roman" w:eastAsia="Arial" w:hAnsi="Times New Roman" w:cs="Times New Roman"/>
          <w:kern w:val="0"/>
          <w:lang w:val="sr-Cyrl-RS"/>
          <w14:ligatures w14:val="none"/>
        </w:rPr>
        <w:t xml:space="preserve">усмеравање </w:t>
      </w:r>
      <w:r w:rsidR="00B26813" w:rsidRPr="00226F9D">
        <w:rPr>
          <w:rFonts w:ascii="Times New Roman" w:eastAsia="Arial" w:hAnsi="Times New Roman" w:cs="Times New Roman"/>
          <w:kern w:val="0"/>
          <w:lang w:val="sr-Cyrl-RS"/>
          <w14:ligatures w14:val="none"/>
        </w:rPr>
        <w:t xml:space="preserve">ка перспективи </w:t>
      </w:r>
      <w:r w:rsidR="006C22FB" w:rsidRPr="00226F9D">
        <w:rPr>
          <w:rFonts w:ascii="Times New Roman" w:eastAsia="Arial" w:hAnsi="Times New Roman" w:cs="Times New Roman"/>
          <w:kern w:val="0"/>
          <w:lang w:val="sr-Cyrl-RS"/>
          <w14:ligatures w14:val="none"/>
        </w:rPr>
        <w:t>кохезионе политике ЕУ (</w:t>
      </w:r>
      <w:r w:rsidR="006E6BE2" w:rsidRPr="00226F9D">
        <w:rPr>
          <w:rFonts w:ascii="Times New Roman" w:eastAsia="Arial" w:hAnsi="Times New Roman" w:cs="Times New Roman"/>
          <w:kern w:val="0"/>
          <w:lang w:val="sr-Cyrl-RS"/>
          <w14:ligatures w14:val="none"/>
        </w:rPr>
        <w:t xml:space="preserve">интегрисан и равномернији </w:t>
      </w:r>
      <w:r w:rsidR="00562CCE" w:rsidRPr="00226F9D">
        <w:rPr>
          <w:rFonts w:ascii="Times New Roman" w:eastAsia="Arial" w:hAnsi="Times New Roman" w:cs="Times New Roman"/>
          <w:kern w:val="0"/>
          <w:lang w:val="sr-Cyrl-RS"/>
          <w14:ligatures w14:val="none"/>
        </w:rPr>
        <w:t>територијални развој)</w:t>
      </w:r>
      <w:r w:rsidRPr="00226F9D">
        <w:rPr>
          <w:rFonts w:ascii="Times New Roman" w:eastAsia="Arial" w:hAnsi="Times New Roman" w:cs="Times New Roman"/>
          <w:kern w:val="0"/>
          <w:lang w:val="sr-Cyrl-RS"/>
          <w14:ligatures w14:val="none"/>
        </w:rPr>
        <w:t>, наставак реформе ефикасности рада локалне управе и локалних јавних служби и јачање квалитета и доступности њихових услуга грађанима и привреди, као и унапређење међуопштинске сарадње и међусобних односа различитих нивоа власти у заједничком управљању јавним пословима и развоју Републике Србије.</w:t>
      </w:r>
      <w:bookmarkEnd w:id="17"/>
    </w:p>
    <w:p w14:paraId="3293502C" w14:textId="77777777" w:rsidR="007369A9" w:rsidRPr="00226F9D" w:rsidRDefault="007369A9" w:rsidP="00090884">
      <w:pPr>
        <w:spacing w:after="0" w:line="240" w:lineRule="auto"/>
        <w:jc w:val="both"/>
        <w:rPr>
          <w:rFonts w:ascii="Times New Roman" w:eastAsia="Arial" w:hAnsi="Times New Roman" w:cs="Times New Roman"/>
          <w:kern w:val="0"/>
          <w:lang w:val="sr-Cyrl-RS"/>
          <w14:ligatures w14:val="none"/>
        </w:rPr>
      </w:pPr>
    </w:p>
    <w:p w14:paraId="3D4AFD0D" w14:textId="656EC371" w:rsidR="009B5375" w:rsidRPr="00226F9D" w:rsidRDefault="001F207D"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color w:val="000000" w:themeColor="text1"/>
          <w:kern w:val="0"/>
          <w:lang w:val="sr-Cyrl-RS"/>
          <w14:ligatures w14:val="none"/>
        </w:rPr>
        <w:t xml:space="preserve">У </w:t>
      </w:r>
      <w:r w:rsidR="00375151" w:rsidRPr="00226F9D">
        <w:rPr>
          <w:rFonts w:ascii="Times New Roman" w:eastAsia="Arial" w:hAnsi="Times New Roman" w:cs="Times New Roman"/>
          <w:color w:val="000000" w:themeColor="text1"/>
          <w:kern w:val="0"/>
          <w:lang w:val="sr-Cyrl-RS"/>
          <w14:ligatures w14:val="none"/>
        </w:rPr>
        <w:t xml:space="preserve">склопу </w:t>
      </w:r>
      <w:r w:rsidR="0053313F" w:rsidRPr="00226F9D">
        <w:rPr>
          <w:rFonts w:ascii="Times New Roman" w:eastAsia="Arial" w:hAnsi="Times New Roman" w:cs="Times New Roman"/>
          <w:color w:val="000000" w:themeColor="text1"/>
          <w:kern w:val="0"/>
          <w:lang w:val="sr-Cyrl-RS"/>
          <w14:ligatures w14:val="none"/>
        </w:rPr>
        <w:t>приказа посебних циљева</w:t>
      </w:r>
      <w:r w:rsidR="008E7327" w:rsidRPr="00226F9D">
        <w:rPr>
          <w:rFonts w:ascii="Times New Roman" w:eastAsia="Arial" w:hAnsi="Times New Roman" w:cs="Times New Roman"/>
          <w:color w:val="000000" w:themeColor="text1"/>
          <w:kern w:val="0"/>
          <w:lang w:val="sr-Cyrl-RS"/>
          <w14:ligatures w14:val="none"/>
        </w:rPr>
        <w:t xml:space="preserve"> Програма, предочене су </w:t>
      </w:r>
      <w:r w:rsidRPr="00226F9D">
        <w:rPr>
          <w:rFonts w:ascii="Times New Roman" w:eastAsia="Arial" w:hAnsi="Times New Roman" w:cs="Times New Roman"/>
          <w:color w:val="000000" w:themeColor="text1"/>
          <w:kern w:val="0"/>
          <w:lang w:val="sr-Cyrl-RS"/>
          <w14:ligatures w14:val="none"/>
        </w:rPr>
        <w:t>мере јавних политика које ће се спроводити ради постизања посебних циљева</w:t>
      </w:r>
      <w:r w:rsidR="005F3FAF" w:rsidRPr="00226F9D">
        <w:rPr>
          <w:rFonts w:ascii="Times New Roman" w:eastAsia="Arial" w:hAnsi="Times New Roman" w:cs="Times New Roman"/>
          <w:color w:val="000000" w:themeColor="text1"/>
          <w:kern w:val="0"/>
          <w:lang w:val="sr-Cyrl-RS"/>
          <w14:ligatures w14:val="none"/>
        </w:rPr>
        <w:t xml:space="preserve"> уз одређивање </w:t>
      </w:r>
      <w:r w:rsidR="00E74E0D" w:rsidRPr="00226F9D">
        <w:rPr>
          <w:rFonts w:ascii="Times New Roman" w:eastAsia="Arial" w:hAnsi="Times New Roman" w:cs="Times New Roman"/>
          <w:color w:val="000000" w:themeColor="text1"/>
          <w:kern w:val="0"/>
          <w:lang w:val="sr-Cyrl-RS"/>
          <w14:ligatures w14:val="none"/>
        </w:rPr>
        <w:t xml:space="preserve">одговарајућих </w:t>
      </w:r>
      <w:r w:rsidR="003A07D6" w:rsidRPr="00226F9D">
        <w:rPr>
          <w:rFonts w:ascii="Times New Roman" w:eastAsia="Arial" w:hAnsi="Times New Roman" w:cs="Times New Roman"/>
          <w:color w:val="000000" w:themeColor="text1"/>
          <w:kern w:val="0"/>
          <w:lang w:val="sr-Cyrl-RS"/>
          <w14:ligatures w14:val="none"/>
        </w:rPr>
        <w:t xml:space="preserve">показатеља </w:t>
      </w:r>
      <w:r w:rsidR="00D0533C" w:rsidRPr="00226F9D">
        <w:rPr>
          <w:rFonts w:ascii="Times New Roman" w:eastAsia="Arial" w:hAnsi="Times New Roman" w:cs="Times New Roman"/>
          <w:color w:val="000000" w:themeColor="text1"/>
          <w:kern w:val="0"/>
          <w:lang w:val="sr-Cyrl-RS"/>
          <w14:ligatures w14:val="none"/>
        </w:rPr>
        <w:t>учинака</w:t>
      </w:r>
      <w:r w:rsidRPr="00226F9D">
        <w:rPr>
          <w:rFonts w:ascii="Times New Roman" w:eastAsia="Arial" w:hAnsi="Times New Roman" w:cs="Times New Roman"/>
          <w:color w:val="000000" w:themeColor="text1"/>
          <w:kern w:val="0"/>
          <w:lang w:val="sr-Cyrl-RS"/>
          <w14:ligatures w14:val="none"/>
        </w:rPr>
        <w:t xml:space="preserve">. Мере су утврђене као одговор на питање како ће се намераване промене, односно циљеви, постићи, а додатно су </w:t>
      </w:r>
      <w:r w:rsidR="008E7327" w:rsidRPr="00226F9D">
        <w:rPr>
          <w:rFonts w:ascii="Times New Roman" w:eastAsia="Arial" w:hAnsi="Times New Roman" w:cs="Times New Roman"/>
          <w:color w:val="000000" w:themeColor="text1"/>
          <w:kern w:val="0"/>
          <w:lang w:val="sr-Cyrl-RS"/>
          <w14:ligatures w14:val="none"/>
        </w:rPr>
        <w:t xml:space="preserve">описно </w:t>
      </w:r>
      <w:r w:rsidRPr="00226F9D">
        <w:rPr>
          <w:rFonts w:ascii="Times New Roman" w:eastAsia="Arial" w:hAnsi="Times New Roman" w:cs="Times New Roman"/>
          <w:color w:val="000000" w:themeColor="text1"/>
          <w:kern w:val="0"/>
          <w:lang w:val="sr-Cyrl-RS"/>
          <w14:ligatures w14:val="none"/>
        </w:rPr>
        <w:t xml:space="preserve">образложене </w:t>
      </w:r>
      <w:r w:rsidR="00137355" w:rsidRPr="00226F9D">
        <w:rPr>
          <w:rFonts w:ascii="Times New Roman" w:eastAsia="Arial" w:hAnsi="Times New Roman" w:cs="Times New Roman"/>
          <w:color w:val="000000" w:themeColor="text1"/>
          <w:kern w:val="0"/>
          <w:lang w:val="sr-Cyrl-RS"/>
          <w14:ligatures w14:val="none"/>
        </w:rPr>
        <w:t>ослањањем</w:t>
      </w:r>
      <w:r w:rsidR="00A5621B" w:rsidRPr="00226F9D">
        <w:rPr>
          <w:rFonts w:ascii="Times New Roman" w:eastAsia="Arial" w:hAnsi="Times New Roman" w:cs="Times New Roman"/>
          <w:color w:val="000000" w:themeColor="text1"/>
          <w:kern w:val="0"/>
          <w:lang w:val="sr-Cyrl-RS"/>
          <w14:ligatures w14:val="none"/>
        </w:rPr>
        <w:t xml:space="preserve"> </w:t>
      </w:r>
      <w:r w:rsidR="00C355FA" w:rsidRPr="00226F9D">
        <w:rPr>
          <w:rFonts w:ascii="Times New Roman" w:eastAsia="Arial" w:hAnsi="Times New Roman" w:cs="Times New Roman"/>
          <w:color w:val="000000" w:themeColor="text1"/>
          <w:kern w:val="0"/>
          <w:lang w:val="sr-Cyrl-RS"/>
          <w14:ligatures w14:val="none"/>
        </w:rPr>
        <w:t xml:space="preserve">на активности </w:t>
      </w:r>
      <w:r w:rsidR="006008CF" w:rsidRPr="00226F9D">
        <w:rPr>
          <w:rFonts w:ascii="Times New Roman" w:eastAsia="Arial" w:hAnsi="Times New Roman" w:cs="Times New Roman"/>
          <w:color w:val="000000" w:themeColor="text1"/>
          <w:kern w:val="0"/>
          <w:lang w:val="sr-Cyrl-RS"/>
          <w14:ligatures w14:val="none"/>
        </w:rPr>
        <w:t>разрађене у Акционом плану за спровођење Програма, који чини његов саставни део.</w:t>
      </w:r>
    </w:p>
    <w:p w14:paraId="7CF45B05" w14:textId="77777777" w:rsidR="00CA471C" w:rsidRPr="00226F9D" w:rsidRDefault="00CA471C" w:rsidP="006B59F4">
      <w:pPr>
        <w:spacing w:after="0" w:line="240" w:lineRule="auto"/>
        <w:jc w:val="both"/>
        <w:rPr>
          <w:rFonts w:ascii="Times New Roman" w:eastAsia="Arial" w:hAnsi="Times New Roman" w:cs="Times New Roman"/>
          <w:b/>
          <w:bCs/>
          <w:kern w:val="0"/>
          <w:lang w:val="sr-Cyrl-RS"/>
          <w14:ligatures w14:val="none"/>
        </w:rPr>
      </w:pPr>
    </w:p>
    <w:p w14:paraId="3E5784E7" w14:textId="0168C791" w:rsidR="00CF32C3" w:rsidRPr="00226F9D" w:rsidRDefault="00F11D00" w:rsidP="005B0999">
      <w:pPr>
        <w:pStyle w:val="TOCHeading"/>
        <w:rPr>
          <w:rFonts w:ascii="Times New Roman" w:hAnsi="Times New Roman" w:cs="Times New Roman"/>
        </w:rPr>
      </w:pPr>
      <w:bookmarkStart w:id="18" w:name="_Toc77068868"/>
      <w:r w:rsidRPr="00226F9D">
        <w:rPr>
          <w:rFonts w:ascii="Times New Roman" w:hAnsi="Times New Roman" w:cs="Times New Roman"/>
        </w:rPr>
        <w:t>П</w:t>
      </w:r>
      <w:r w:rsidRPr="00226F9D">
        <w:rPr>
          <w:rStyle w:val="Heading3Char"/>
          <w:rFonts w:ascii="Times New Roman" w:hAnsi="Times New Roman" w:cs="Times New Roman"/>
          <w:sz w:val="32"/>
          <w:szCs w:val="32"/>
          <w:lang w:val="sr-Cyrl-RS"/>
        </w:rPr>
        <w:t>осебни циљ 1:</w:t>
      </w:r>
      <w:r w:rsidR="00A302BC" w:rsidRPr="00226F9D">
        <w:rPr>
          <w:rStyle w:val="Heading3Char"/>
          <w:rFonts w:ascii="Times New Roman" w:hAnsi="Times New Roman" w:cs="Times New Roman"/>
          <w:sz w:val="32"/>
          <w:szCs w:val="32"/>
          <w:lang w:val="sr-Cyrl-RS"/>
        </w:rPr>
        <w:t xml:space="preserve"> </w:t>
      </w:r>
      <w:r w:rsidRPr="00226F9D">
        <w:rPr>
          <w:rStyle w:val="Heading3Char"/>
          <w:rFonts w:ascii="Times New Roman" w:hAnsi="Times New Roman" w:cs="Times New Roman"/>
          <w:sz w:val="32"/>
          <w:szCs w:val="32"/>
          <w:lang w:val="sr-Cyrl-RS"/>
        </w:rPr>
        <w:t>Унапређење положаја и одговорности локалне самоуправе</w:t>
      </w:r>
      <w:bookmarkEnd w:id="18"/>
    </w:p>
    <w:p w14:paraId="5451F3EC" w14:textId="77777777" w:rsidR="00E20B1D" w:rsidRPr="00226F9D" w:rsidRDefault="00E20B1D" w:rsidP="00090884">
      <w:pPr>
        <w:spacing w:after="0" w:line="240" w:lineRule="auto"/>
        <w:jc w:val="both"/>
        <w:rPr>
          <w:rFonts w:ascii="Times New Roman" w:eastAsiaTheme="majorEastAsia" w:hAnsi="Times New Roman" w:cs="Times New Roman"/>
          <w:color w:val="0F4761" w:themeColor="accent1" w:themeShade="BF"/>
          <w:kern w:val="0"/>
          <w:lang w:val="sr-Cyrl-RS"/>
          <w14:ligatures w14:val="none"/>
        </w:rPr>
      </w:pPr>
    </w:p>
    <w:p w14:paraId="59BC9505" w14:textId="09EA0F1C" w:rsidR="00E20B1D" w:rsidRPr="00226F9D" w:rsidRDefault="00E20B1D"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Унапређење положаја и одговорности локалне самоуправе претпоставља стварање снажнијег и функционалнијег система локалне самоуправе у Србији, кроз реформу правног оквира, јачање институција и примену принципа доброг управљања. Приоритети мера обухватају измене кључних закона како би се локална самоуправа усагласила са европским стандардима, пре свега Европском повељом о локалној самоуправи</w:t>
      </w:r>
      <w:r w:rsidR="002220C4" w:rsidRPr="00226F9D">
        <w:rPr>
          <w:rFonts w:ascii="Times New Roman" w:eastAsia="Arial" w:hAnsi="Times New Roman" w:cs="Times New Roman"/>
          <w:kern w:val="0"/>
          <w:lang w:val="sr-Cyrl-RS"/>
          <w14:ligatures w14:val="none"/>
        </w:rPr>
        <w:t xml:space="preserve"> (ЕПЛС)</w:t>
      </w:r>
      <w:r w:rsidRPr="00226F9D">
        <w:rPr>
          <w:rFonts w:ascii="Times New Roman" w:eastAsia="Arial" w:hAnsi="Times New Roman" w:cs="Times New Roman"/>
          <w:kern w:val="0"/>
          <w:lang w:val="sr-Cyrl-RS"/>
          <w14:ligatures w14:val="none"/>
        </w:rPr>
        <w:t xml:space="preserve">, и тиме обезбедило доследније поштовање локалне демократије. Посебна пажња </w:t>
      </w:r>
      <w:r w:rsidR="00FA6658" w:rsidRPr="00226F9D">
        <w:rPr>
          <w:rFonts w:ascii="Times New Roman" w:eastAsia="Arial" w:hAnsi="Times New Roman" w:cs="Times New Roman"/>
          <w:kern w:val="0"/>
          <w:lang w:val="sr-Cyrl-RS"/>
          <w14:ligatures w14:val="none"/>
        </w:rPr>
        <w:t xml:space="preserve">биће </w:t>
      </w:r>
      <w:r w:rsidRPr="00226F9D">
        <w:rPr>
          <w:rFonts w:ascii="Times New Roman" w:eastAsia="Arial" w:hAnsi="Times New Roman" w:cs="Times New Roman"/>
          <w:kern w:val="0"/>
          <w:lang w:val="sr-Cyrl-RS"/>
          <w14:ligatures w14:val="none"/>
        </w:rPr>
        <w:t>посвећ</w:t>
      </w:r>
      <w:r w:rsidR="00FA6658" w:rsidRPr="00226F9D">
        <w:rPr>
          <w:rFonts w:ascii="Times New Roman" w:eastAsia="Arial" w:hAnsi="Times New Roman" w:cs="Times New Roman"/>
          <w:kern w:val="0"/>
          <w:lang w:val="sr-Cyrl-RS"/>
          <w14:ligatures w14:val="none"/>
        </w:rPr>
        <w:t>ена</w:t>
      </w:r>
      <w:r w:rsidRPr="00226F9D">
        <w:rPr>
          <w:rFonts w:ascii="Times New Roman" w:eastAsia="Arial" w:hAnsi="Times New Roman" w:cs="Times New Roman"/>
          <w:kern w:val="0"/>
          <w:lang w:val="sr-Cyrl-RS"/>
          <w14:ligatures w14:val="none"/>
        </w:rPr>
        <w:t xml:space="preserve"> унапређењу положаја локалних скупштина и одборника, као и изградњи капацитета локалних администрација за примену нових законских решења.</w:t>
      </w:r>
      <w:r w:rsidR="00E4752D" w:rsidRPr="00226F9D">
        <w:rPr>
          <w:rFonts w:ascii="Times New Roman" w:hAnsi="Times New Roman" w:cs="Times New Roman"/>
          <w:lang w:val="sr-Cyrl-RS"/>
        </w:rPr>
        <w:t xml:space="preserve"> Кључна активност односи се на будуће измене и допуне Закона о локалној самоуправи у складу са претходно </w:t>
      </w:r>
      <w:r w:rsidR="00E4752D" w:rsidRPr="00226F9D">
        <w:rPr>
          <w:rFonts w:ascii="Times New Roman" w:eastAsia="Arial" w:hAnsi="Times New Roman" w:cs="Times New Roman"/>
          <w:kern w:val="0"/>
          <w:lang w:val="sr-Cyrl-RS"/>
          <w14:ligatures w14:val="none"/>
        </w:rPr>
        <w:t>припремљеном Ex ante анализом.</w:t>
      </w:r>
      <w:r w:rsidR="00C81155" w:rsidRPr="00226F9D">
        <w:rPr>
          <w:rFonts w:ascii="Times New Roman" w:eastAsia="Arial" w:hAnsi="Times New Roman" w:cs="Times New Roman"/>
          <w:kern w:val="0"/>
          <w:lang w:val="sr-Cyrl-RS"/>
          <w14:ligatures w14:val="none"/>
        </w:rPr>
        <w:t xml:space="preserve"> Такође, наставиће се са јачањем капацитета за спровођење референдума и народне иницијативе кроз реализацију обука.</w:t>
      </w:r>
    </w:p>
    <w:p w14:paraId="1F671956" w14:textId="77777777" w:rsidR="007369A9" w:rsidRPr="00226F9D" w:rsidRDefault="007369A9" w:rsidP="00090884">
      <w:pPr>
        <w:spacing w:after="0" w:line="240" w:lineRule="auto"/>
        <w:jc w:val="both"/>
        <w:rPr>
          <w:rFonts w:ascii="Times New Roman" w:eastAsia="Arial" w:hAnsi="Times New Roman" w:cs="Times New Roman"/>
          <w:kern w:val="0"/>
          <w:lang w:val="sr-Cyrl-RS"/>
          <w14:ligatures w14:val="none"/>
        </w:rPr>
      </w:pPr>
    </w:p>
    <w:p w14:paraId="23D1692C" w14:textId="15354C45" w:rsidR="00CF32C3" w:rsidRPr="00226F9D" w:rsidRDefault="00E20B1D"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Осим законодавних промена, </w:t>
      </w:r>
      <w:r w:rsidR="00FA6658" w:rsidRPr="00226F9D">
        <w:rPr>
          <w:rFonts w:ascii="Times New Roman" w:eastAsia="Arial" w:hAnsi="Times New Roman" w:cs="Times New Roman"/>
          <w:kern w:val="0"/>
          <w:lang w:val="sr-Cyrl-RS"/>
          <w14:ligatures w14:val="none"/>
        </w:rPr>
        <w:t>треба</w:t>
      </w:r>
      <w:r w:rsidRPr="00226F9D">
        <w:rPr>
          <w:rFonts w:ascii="Times New Roman" w:eastAsia="Arial" w:hAnsi="Times New Roman" w:cs="Times New Roman"/>
          <w:kern w:val="0"/>
          <w:lang w:val="sr-Cyrl-RS"/>
          <w14:ligatures w14:val="none"/>
        </w:rPr>
        <w:t xml:space="preserve"> да се унапреди и практична примена – кроз систем</w:t>
      </w:r>
      <w:r w:rsidR="00E75B27" w:rsidRPr="00226F9D">
        <w:rPr>
          <w:rFonts w:ascii="Times New Roman" w:eastAsia="Arial" w:hAnsi="Times New Roman" w:cs="Times New Roman"/>
          <w:kern w:val="0"/>
          <w:lang w:val="sr-Cyrl-RS"/>
          <w14:ligatures w14:val="none"/>
        </w:rPr>
        <w:t>ске</w:t>
      </w:r>
      <w:r w:rsidRPr="00226F9D">
        <w:rPr>
          <w:rFonts w:ascii="Times New Roman" w:eastAsia="Arial" w:hAnsi="Times New Roman" w:cs="Times New Roman"/>
          <w:kern w:val="0"/>
          <w:lang w:val="sr-Cyrl-RS"/>
          <w14:ligatures w14:val="none"/>
        </w:rPr>
        <w:t xml:space="preserve"> обуке за службенике, функционере и одборнике, развој приручника и модела аката, као и професионализацију изборних </w:t>
      </w:r>
      <w:r w:rsidR="002220C4" w:rsidRPr="00226F9D">
        <w:rPr>
          <w:rFonts w:ascii="Times New Roman" w:eastAsia="Arial" w:hAnsi="Times New Roman" w:cs="Times New Roman"/>
          <w:kern w:val="0"/>
          <w:lang w:val="sr-Cyrl-RS"/>
          <w14:ligatures w14:val="none"/>
        </w:rPr>
        <w:t>комисија</w:t>
      </w:r>
      <w:r w:rsidRPr="00226F9D">
        <w:rPr>
          <w:rFonts w:ascii="Times New Roman" w:eastAsia="Arial" w:hAnsi="Times New Roman" w:cs="Times New Roman"/>
          <w:kern w:val="0"/>
          <w:lang w:val="sr-Cyrl-RS"/>
          <w14:ligatures w14:val="none"/>
        </w:rPr>
        <w:t xml:space="preserve">. Јачање етичких стандарда и примена принципа доброг управљања биће кључни за изградњу транспарентне и одговорне локалне власти која </w:t>
      </w:r>
      <w:r w:rsidRPr="00226F9D">
        <w:rPr>
          <w:rFonts w:ascii="Times New Roman" w:eastAsia="Arial" w:hAnsi="Times New Roman" w:cs="Times New Roman"/>
          <w:kern w:val="0"/>
          <w:lang w:val="sr-Cyrl-RS"/>
          <w14:ligatures w14:val="none"/>
        </w:rPr>
        <w:lastRenderedPageBreak/>
        <w:t>активно укључује грађане у процесе одлучивања. Подршка развоју институције локалног омбудсмана и подстицање иновативних пракси додатно треба да осигурају да локалне самоуправе буду ближе грађанима, ефикасније у пружању услуга и снажније у заштити јавног интереса</w:t>
      </w:r>
      <w:r w:rsidR="005D194F" w:rsidRPr="00226F9D">
        <w:rPr>
          <w:rFonts w:ascii="Times New Roman" w:eastAsia="Arial" w:hAnsi="Times New Roman" w:cs="Times New Roman"/>
          <w:kern w:val="0"/>
          <w:lang w:val="sr-Cyrl-RS"/>
          <w14:ligatures w14:val="none"/>
        </w:rPr>
        <w:t>.</w:t>
      </w:r>
    </w:p>
    <w:p w14:paraId="6BC726CF" w14:textId="77777777" w:rsidR="004A2629" w:rsidRPr="00226F9D" w:rsidRDefault="004A2629" w:rsidP="006B59F4">
      <w:pPr>
        <w:spacing w:after="0" w:line="240" w:lineRule="auto"/>
        <w:jc w:val="both"/>
        <w:rPr>
          <w:rFonts w:ascii="Times New Roman" w:eastAsia="Arial" w:hAnsi="Times New Roman" w:cs="Times New Roman"/>
          <w:kern w:val="0"/>
          <w:lang w:val="sr-Cyrl-RS"/>
          <w14:ligatures w14:val="none"/>
        </w:rPr>
      </w:pPr>
    </w:p>
    <w:tbl>
      <w:tblPr>
        <w:tblStyle w:val="TableGrid1"/>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0"/>
        <w:gridCol w:w="1483"/>
        <w:gridCol w:w="923"/>
        <w:gridCol w:w="1157"/>
        <w:gridCol w:w="1157"/>
        <w:gridCol w:w="1157"/>
        <w:gridCol w:w="1155"/>
      </w:tblGrid>
      <w:tr w:rsidR="005F5133" w:rsidRPr="00226F9D" w14:paraId="5A80B9A3" w14:textId="77777777" w:rsidTr="008C793E">
        <w:trPr>
          <w:tblHeader/>
        </w:trPr>
        <w:tc>
          <w:tcPr>
            <w:tcW w:w="1311" w:type="pct"/>
            <w:shd w:val="clear" w:color="auto" w:fill="FFFF00"/>
            <w:vAlign w:val="center"/>
          </w:tcPr>
          <w:p w14:paraId="5FD4294C"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Показатељ исхода</w:t>
            </w:r>
          </w:p>
        </w:tc>
        <w:tc>
          <w:tcPr>
            <w:tcW w:w="778" w:type="pct"/>
            <w:shd w:val="clear" w:color="auto" w:fill="FFFF00"/>
            <w:vAlign w:val="center"/>
          </w:tcPr>
          <w:p w14:paraId="69412166"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Полазна вредност</w:t>
            </w:r>
          </w:p>
        </w:tc>
        <w:tc>
          <w:tcPr>
            <w:tcW w:w="484" w:type="pct"/>
            <w:shd w:val="clear" w:color="auto" w:fill="FFFF00"/>
            <w:vAlign w:val="center"/>
          </w:tcPr>
          <w:p w14:paraId="02AB2944"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6</w:t>
            </w:r>
            <w:r w:rsidRPr="00226F9D">
              <w:rPr>
                <w:rFonts w:ascii="Times New Roman" w:eastAsia="Times New Roman" w:hAnsi="Times New Roman" w:cs="Times New Roman"/>
                <w:b/>
                <w:bCs/>
                <w:sz w:val="20"/>
                <w:szCs w:val="20"/>
                <w:lang w:val="sr-Cyrl-RS" w:eastAsia="en-GB"/>
              </w:rPr>
              <w:t>.</w:t>
            </w:r>
          </w:p>
        </w:tc>
        <w:tc>
          <w:tcPr>
            <w:tcW w:w="607" w:type="pct"/>
            <w:shd w:val="clear" w:color="auto" w:fill="FFFF00"/>
            <w:vAlign w:val="center"/>
          </w:tcPr>
          <w:p w14:paraId="7B5AB5B2"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7</w:t>
            </w:r>
            <w:r w:rsidRPr="00226F9D">
              <w:rPr>
                <w:rFonts w:ascii="Times New Roman" w:eastAsia="Times New Roman" w:hAnsi="Times New Roman" w:cs="Times New Roman"/>
                <w:b/>
                <w:bCs/>
                <w:sz w:val="20"/>
                <w:szCs w:val="20"/>
                <w:lang w:val="sr-Cyrl-RS" w:eastAsia="en-GB"/>
              </w:rPr>
              <w:t>.</w:t>
            </w:r>
          </w:p>
        </w:tc>
        <w:tc>
          <w:tcPr>
            <w:tcW w:w="607" w:type="pct"/>
            <w:shd w:val="clear" w:color="auto" w:fill="FFFF00"/>
            <w:vAlign w:val="center"/>
          </w:tcPr>
          <w:p w14:paraId="61F95D02"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8</w:t>
            </w:r>
            <w:r w:rsidRPr="00226F9D">
              <w:rPr>
                <w:rFonts w:ascii="Times New Roman" w:eastAsia="Times New Roman" w:hAnsi="Times New Roman" w:cs="Times New Roman"/>
                <w:b/>
                <w:bCs/>
                <w:sz w:val="20"/>
                <w:szCs w:val="20"/>
                <w:lang w:val="sr-Cyrl-RS" w:eastAsia="en-GB"/>
              </w:rPr>
              <w:t>.</w:t>
            </w:r>
          </w:p>
        </w:tc>
        <w:tc>
          <w:tcPr>
            <w:tcW w:w="607" w:type="pct"/>
            <w:shd w:val="clear" w:color="auto" w:fill="FFFF00"/>
            <w:vAlign w:val="center"/>
          </w:tcPr>
          <w:p w14:paraId="3672037F"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9</w:t>
            </w:r>
            <w:r w:rsidRPr="00226F9D">
              <w:rPr>
                <w:rFonts w:ascii="Times New Roman" w:eastAsia="Times New Roman" w:hAnsi="Times New Roman" w:cs="Times New Roman"/>
                <w:b/>
                <w:bCs/>
                <w:sz w:val="20"/>
                <w:szCs w:val="20"/>
                <w:lang w:val="sr-Cyrl-RS" w:eastAsia="en-GB"/>
              </w:rPr>
              <w:t>.</w:t>
            </w:r>
          </w:p>
        </w:tc>
        <w:tc>
          <w:tcPr>
            <w:tcW w:w="606" w:type="pct"/>
            <w:shd w:val="clear" w:color="auto" w:fill="FFFF00"/>
            <w:vAlign w:val="center"/>
          </w:tcPr>
          <w:p w14:paraId="4EFCFCF2"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w:t>
            </w:r>
            <w:r w:rsidRPr="00226F9D">
              <w:rPr>
                <w:rFonts w:ascii="Times New Roman" w:eastAsia="Times New Roman" w:hAnsi="Times New Roman" w:cs="Times New Roman"/>
                <w:b/>
                <w:sz w:val="20"/>
                <w:szCs w:val="20"/>
                <w:lang w:val="sr-Cyrl-RS" w:eastAsia="en-GB"/>
              </w:rPr>
              <w:t>30</w:t>
            </w:r>
            <w:r w:rsidRPr="00226F9D">
              <w:rPr>
                <w:rFonts w:ascii="Times New Roman" w:eastAsia="Times New Roman" w:hAnsi="Times New Roman" w:cs="Times New Roman"/>
                <w:b/>
                <w:bCs/>
                <w:sz w:val="20"/>
                <w:szCs w:val="20"/>
                <w:lang w:val="sr-Cyrl-RS" w:eastAsia="en-GB"/>
              </w:rPr>
              <w:t>.</w:t>
            </w:r>
          </w:p>
        </w:tc>
      </w:tr>
      <w:tr w:rsidR="004A2629" w:rsidRPr="00226F9D" w14:paraId="1DEF09AA" w14:textId="77777777" w:rsidTr="008C793E">
        <w:tc>
          <w:tcPr>
            <w:tcW w:w="1311" w:type="pct"/>
            <w:vAlign w:val="center"/>
          </w:tcPr>
          <w:p w14:paraId="0C891820" w14:textId="77777777" w:rsidR="004A2629" w:rsidRPr="00226F9D" w:rsidRDefault="004A2629" w:rsidP="00A36864">
            <w:pPr>
              <w:rPr>
                <w:rFonts w:ascii="Times New Roman" w:hAnsi="Times New Roman" w:cs="Times New Roman"/>
                <w:sz w:val="20"/>
                <w:szCs w:val="20"/>
                <w:lang w:val="sr-Cyrl-RS"/>
              </w:rPr>
            </w:pPr>
            <w:r w:rsidRPr="00226F9D">
              <w:rPr>
                <w:rFonts w:ascii="Times New Roman" w:hAnsi="Times New Roman" w:cs="Times New Roman"/>
                <w:sz w:val="20"/>
                <w:szCs w:val="20"/>
                <w:lang w:val="sr-Cyrl-RS"/>
              </w:rPr>
              <w:t>Број одредаба ЕПЛС чију примену је ратификовала Република Србија</w:t>
            </w:r>
          </w:p>
          <w:p w14:paraId="7FAE0EF0" w14:textId="3FAE203B" w:rsidR="004A2629" w:rsidRPr="00226F9D" w:rsidRDefault="004A2629" w:rsidP="00A36864">
            <w:pPr>
              <w:rPr>
                <w:rFonts w:ascii="Times New Roman" w:eastAsia="Times New Roman" w:hAnsi="Times New Roman" w:cs="Times New Roman"/>
                <w:color w:val="000000" w:themeColor="text1"/>
                <w:sz w:val="20"/>
                <w:szCs w:val="20"/>
                <w:lang w:val="sr-Cyrl-RS" w:eastAsia="en-GB"/>
              </w:rPr>
            </w:pPr>
          </w:p>
        </w:tc>
        <w:tc>
          <w:tcPr>
            <w:tcW w:w="778" w:type="pct"/>
            <w:vAlign w:val="center"/>
          </w:tcPr>
          <w:p w14:paraId="74BF0DEE" w14:textId="4ED7E290" w:rsidR="004A2629" w:rsidRPr="00226F9D" w:rsidRDefault="004A2629" w:rsidP="004A2629">
            <w:pPr>
              <w:jc w:val="both"/>
              <w:rPr>
                <w:rFonts w:ascii="Times New Roman" w:eastAsia="Times New Roman" w:hAnsi="Times New Roman" w:cs="Times New Roman"/>
                <w:sz w:val="20"/>
                <w:szCs w:val="20"/>
                <w:lang w:val="sr-Latn-RS" w:eastAsia="en-GB"/>
              </w:rPr>
            </w:pPr>
            <w:r w:rsidRPr="00226F9D">
              <w:rPr>
                <w:rFonts w:ascii="Times New Roman" w:eastAsia="Times New Roman" w:hAnsi="Times New Roman" w:cs="Times New Roman"/>
                <w:sz w:val="20"/>
                <w:szCs w:val="20"/>
                <w:lang w:val="sr-Cyrl-RS" w:eastAsia="en-GB"/>
              </w:rPr>
              <w:t>2</w:t>
            </w:r>
            <w:r w:rsidR="00677366" w:rsidRPr="00226F9D">
              <w:rPr>
                <w:rFonts w:ascii="Times New Roman" w:eastAsia="Times New Roman" w:hAnsi="Times New Roman" w:cs="Times New Roman"/>
                <w:sz w:val="20"/>
                <w:szCs w:val="20"/>
                <w:lang w:val="sr-Latn-RS" w:eastAsia="en-GB"/>
              </w:rPr>
              <w:t>7</w:t>
            </w:r>
            <w:r w:rsidR="00BC5A29" w:rsidRPr="00226F9D">
              <w:rPr>
                <w:rFonts w:ascii="Times New Roman" w:eastAsia="Times New Roman" w:hAnsi="Times New Roman" w:cs="Times New Roman"/>
                <w:sz w:val="20"/>
                <w:szCs w:val="20"/>
                <w:lang w:val="sr-Cyrl-RS" w:eastAsia="en-GB"/>
              </w:rPr>
              <w:t xml:space="preserve"> </w:t>
            </w:r>
            <w:r w:rsidR="00677366" w:rsidRPr="00226F9D">
              <w:rPr>
                <w:rFonts w:ascii="Times New Roman" w:eastAsia="Times New Roman" w:hAnsi="Times New Roman" w:cs="Times New Roman"/>
                <w:sz w:val="20"/>
                <w:szCs w:val="20"/>
                <w:lang w:val="sr-Latn-RS" w:eastAsia="en-GB"/>
              </w:rPr>
              <w:t>(2025)</w:t>
            </w:r>
          </w:p>
        </w:tc>
        <w:tc>
          <w:tcPr>
            <w:tcW w:w="484" w:type="pct"/>
            <w:vAlign w:val="center"/>
          </w:tcPr>
          <w:p w14:paraId="60864CCF" w14:textId="7F8A1F6E"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27</w:t>
            </w:r>
          </w:p>
        </w:tc>
        <w:tc>
          <w:tcPr>
            <w:tcW w:w="607" w:type="pct"/>
            <w:vAlign w:val="center"/>
          </w:tcPr>
          <w:p w14:paraId="1B3D8A07" w14:textId="70E4B592"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27</w:t>
            </w:r>
          </w:p>
        </w:tc>
        <w:tc>
          <w:tcPr>
            <w:tcW w:w="607" w:type="pct"/>
            <w:vAlign w:val="center"/>
          </w:tcPr>
          <w:p w14:paraId="22E4E671" w14:textId="11169090"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27</w:t>
            </w:r>
          </w:p>
        </w:tc>
        <w:tc>
          <w:tcPr>
            <w:tcW w:w="607" w:type="pct"/>
            <w:vAlign w:val="center"/>
          </w:tcPr>
          <w:p w14:paraId="426943DC" w14:textId="29B494CB"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27</w:t>
            </w:r>
          </w:p>
        </w:tc>
        <w:tc>
          <w:tcPr>
            <w:tcW w:w="606" w:type="pct"/>
            <w:vAlign w:val="center"/>
          </w:tcPr>
          <w:p w14:paraId="5B5D1B59" w14:textId="0FBCF73B"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30</w:t>
            </w:r>
          </w:p>
        </w:tc>
      </w:tr>
      <w:tr w:rsidR="004A2629" w:rsidRPr="00226F9D" w14:paraId="555F8B2B" w14:textId="77777777" w:rsidTr="008C793E">
        <w:tc>
          <w:tcPr>
            <w:tcW w:w="1311" w:type="pct"/>
            <w:vAlign w:val="center"/>
          </w:tcPr>
          <w:p w14:paraId="6B10D4BD" w14:textId="7DE20F88" w:rsidR="004A2629" w:rsidRPr="00226F9D" w:rsidRDefault="004A2629" w:rsidP="00A36864">
            <w:pPr>
              <w:rPr>
                <w:rFonts w:ascii="Times New Roman" w:eastAsia="Times New Roman" w:hAnsi="Times New Roman" w:cs="Times New Roman"/>
                <w:color w:val="000000" w:themeColor="text1"/>
                <w:sz w:val="20"/>
                <w:szCs w:val="20"/>
                <w:lang w:val="sr-Cyrl-RS" w:eastAsia="en-GB"/>
              </w:rPr>
            </w:pPr>
            <w:r w:rsidRPr="00226F9D">
              <w:rPr>
                <w:rFonts w:ascii="Times New Roman" w:eastAsia="Times New Roman" w:hAnsi="Times New Roman" w:cs="Times New Roman"/>
                <w:color w:val="000000" w:themeColor="text1"/>
                <w:sz w:val="20"/>
                <w:szCs w:val="20"/>
                <w:lang w:val="sr-Cyrl-RS" w:eastAsia="en-GB"/>
              </w:rPr>
              <w:t>Просечна вредност индекса добре управе у издвојеним областима: 1) одговорност; 2) транспарентност, отвореност и партиципација</w:t>
            </w:r>
          </w:p>
        </w:tc>
        <w:tc>
          <w:tcPr>
            <w:tcW w:w="778" w:type="pct"/>
            <w:vAlign w:val="center"/>
          </w:tcPr>
          <w:p w14:paraId="08BADC13" w14:textId="77777777" w:rsidR="00E34242" w:rsidRPr="00226F9D" w:rsidRDefault="00E34242" w:rsidP="004A2629">
            <w:pPr>
              <w:jc w:val="both"/>
              <w:rPr>
                <w:rFonts w:ascii="Times New Roman" w:eastAsia="Times New Roman" w:hAnsi="Times New Roman" w:cs="Times New Roman"/>
                <w:sz w:val="20"/>
                <w:szCs w:val="20"/>
                <w:lang w:val="sr-Cyrl-RS" w:eastAsia="en-GB"/>
              </w:rPr>
            </w:pPr>
          </w:p>
          <w:p w14:paraId="647AD176" w14:textId="71A40B4B" w:rsidR="004A2629" w:rsidRPr="00226F9D" w:rsidRDefault="00674FCF"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 xml:space="preserve">59,1% </w:t>
            </w:r>
            <w:r w:rsidR="004A2629" w:rsidRPr="00226F9D">
              <w:rPr>
                <w:rFonts w:ascii="Times New Roman" w:eastAsia="Times New Roman" w:hAnsi="Times New Roman" w:cs="Times New Roman"/>
                <w:sz w:val="20"/>
                <w:szCs w:val="20"/>
                <w:lang w:val="sr-Cyrl-RS" w:eastAsia="en-GB"/>
              </w:rPr>
              <w:t>(202</w:t>
            </w:r>
            <w:r w:rsidRPr="00226F9D">
              <w:rPr>
                <w:rFonts w:ascii="Times New Roman" w:eastAsia="Times New Roman" w:hAnsi="Times New Roman" w:cs="Times New Roman"/>
                <w:sz w:val="20"/>
                <w:szCs w:val="20"/>
                <w:lang w:val="sr-Cyrl-RS" w:eastAsia="en-GB"/>
              </w:rPr>
              <w:t>3</w:t>
            </w:r>
            <w:r w:rsidR="004A2629" w:rsidRPr="00226F9D">
              <w:rPr>
                <w:rFonts w:ascii="Times New Roman" w:eastAsia="Times New Roman" w:hAnsi="Times New Roman" w:cs="Times New Roman"/>
                <w:sz w:val="20"/>
                <w:szCs w:val="20"/>
                <w:lang w:val="sr-Cyrl-RS" w:eastAsia="en-GB"/>
              </w:rPr>
              <w:t>)</w:t>
            </w:r>
          </w:p>
          <w:p w14:paraId="7FBE4480" w14:textId="3D522A2B" w:rsidR="004A2629" w:rsidRPr="00226F9D" w:rsidRDefault="004A2629" w:rsidP="004A2629">
            <w:pPr>
              <w:jc w:val="both"/>
              <w:rPr>
                <w:rFonts w:ascii="Times New Roman" w:eastAsia="Times New Roman" w:hAnsi="Times New Roman" w:cs="Times New Roman"/>
                <w:sz w:val="20"/>
                <w:szCs w:val="20"/>
                <w:lang w:val="sr-Cyrl-RS" w:eastAsia="en-GB"/>
              </w:rPr>
            </w:pPr>
          </w:p>
        </w:tc>
        <w:tc>
          <w:tcPr>
            <w:tcW w:w="484" w:type="pct"/>
            <w:vAlign w:val="center"/>
          </w:tcPr>
          <w:p w14:paraId="4156EDCB" w14:textId="77777777" w:rsidR="004A2629" w:rsidRPr="00226F9D" w:rsidRDefault="004A2629" w:rsidP="004A2629">
            <w:pPr>
              <w:jc w:val="both"/>
              <w:rPr>
                <w:rFonts w:ascii="Times New Roman" w:eastAsia="Times New Roman" w:hAnsi="Times New Roman" w:cs="Times New Roman"/>
                <w:sz w:val="20"/>
                <w:szCs w:val="20"/>
                <w:lang w:val="sr-Cyrl-RS" w:eastAsia="en-GB"/>
              </w:rPr>
            </w:pPr>
          </w:p>
        </w:tc>
        <w:tc>
          <w:tcPr>
            <w:tcW w:w="607" w:type="pct"/>
            <w:vAlign w:val="center"/>
          </w:tcPr>
          <w:p w14:paraId="3EED51FF" w14:textId="77777777" w:rsidR="004A2629" w:rsidRPr="00226F9D" w:rsidRDefault="004A2629" w:rsidP="004A2629">
            <w:pPr>
              <w:jc w:val="both"/>
              <w:rPr>
                <w:rFonts w:ascii="Times New Roman" w:eastAsia="Times New Roman" w:hAnsi="Times New Roman" w:cs="Times New Roman"/>
                <w:sz w:val="20"/>
                <w:szCs w:val="20"/>
                <w:lang w:val="sr-Cyrl-RS" w:eastAsia="en-GB"/>
              </w:rPr>
            </w:pPr>
          </w:p>
        </w:tc>
        <w:tc>
          <w:tcPr>
            <w:tcW w:w="607" w:type="pct"/>
            <w:vAlign w:val="center"/>
          </w:tcPr>
          <w:p w14:paraId="316F87E4" w14:textId="147C11FE" w:rsidR="004A2629" w:rsidRPr="00226F9D" w:rsidRDefault="00A67082"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63%</w:t>
            </w:r>
          </w:p>
        </w:tc>
        <w:tc>
          <w:tcPr>
            <w:tcW w:w="607" w:type="pct"/>
            <w:vAlign w:val="center"/>
          </w:tcPr>
          <w:p w14:paraId="1EBD1105" w14:textId="77777777" w:rsidR="004A2629" w:rsidRPr="00226F9D" w:rsidRDefault="004A2629" w:rsidP="004A2629">
            <w:pPr>
              <w:jc w:val="both"/>
              <w:rPr>
                <w:rFonts w:ascii="Times New Roman" w:eastAsia="Times New Roman" w:hAnsi="Times New Roman" w:cs="Times New Roman"/>
                <w:sz w:val="20"/>
                <w:szCs w:val="20"/>
                <w:lang w:val="sr-Cyrl-RS" w:eastAsia="en-GB"/>
              </w:rPr>
            </w:pPr>
          </w:p>
        </w:tc>
        <w:tc>
          <w:tcPr>
            <w:tcW w:w="606" w:type="pct"/>
            <w:vAlign w:val="center"/>
          </w:tcPr>
          <w:p w14:paraId="5642A277" w14:textId="6D727DE5" w:rsidR="004A2629" w:rsidRPr="00226F9D" w:rsidRDefault="00351ECB"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66%</w:t>
            </w:r>
          </w:p>
        </w:tc>
      </w:tr>
      <w:tr w:rsidR="004A2629" w:rsidRPr="00226F9D" w14:paraId="2D757C0F" w14:textId="77777777" w:rsidTr="008C793E">
        <w:tc>
          <w:tcPr>
            <w:tcW w:w="1311" w:type="pct"/>
            <w:vAlign w:val="center"/>
          </w:tcPr>
          <w:p w14:paraId="04F814FE" w14:textId="3D80C0C6" w:rsidR="004A2629" w:rsidRPr="00226F9D" w:rsidRDefault="004A2629" w:rsidP="00A36864">
            <w:pPr>
              <w:rPr>
                <w:rFonts w:ascii="Times New Roman" w:eastAsia="Times New Roman" w:hAnsi="Times New Roman" w:cs="Times New Roman"/>
                <w:color w:val="000000" w:themeColor="text1"/>
                <w:sz w:val="20"/>
                <w:szCs w:val="20"/>
                <w:lang w:val="sr-Cyrl-RS" w:eastAsia="en-GB"/>
              </w:rPr>
            </w:pPr>
            <w:r w:rsidRPr="00226F9D">
              <w:rPr>
                <w:rFonts w:ascii="Times New Roman" w:eastAsia="Times New Roman" w:hAnsi="Times New Roman" w:cs="Times New Roman"/>
                <w:color w:val="000000" w:themeColor="text1"/>
                <w:sz w:val="20"/>
                <w:szCs w:val="20"/>
                <w:lang w:val="sr-Cyrl-RS" w:eastAsia="en-GB"/>
              </w:rPr>
              <w:t>Степен обучености локалних органа и управе  за примену новог системског правног оквира за локалну самоуправу</w:t>
            </w:r>
          </w:p>
        </w:tc>
        <w:tc>
          <w:tcPr>
            <w:tcW w:w="778" w:type="pct"/>
            <w:vAlign w:val="center"/>
          </w:tcPr>
          <w:p w14:paraId="3C4A03DA" w14:textId="1CDAB3C2"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0</w:t>
            </w:r>
            <w:r w:rsidR="00FC57DA" w:rsidRPr="00226F9D">
              <w:rPr>
                <w:rFonts w:ascii="Times New Roman" w:eastAsia="Times New Roman" w:hAnsi="Times New Roman" w:cs="Times New Roman"/>
                <w:sz w:val="20"/>
                <w:szCs w:val="20"/>
                <w:lang w:val="en-GB" w:eastAsia="en-GB"/>
              </w:rPr>
              <w:t xml:space="preserve"> </w:t>
            </w:r>
            <w:r w:rsidRPr="00226F9D">
              <w:rPr>
                <w:rFonts w:ascii="Times New Roman" w:eastAsia="Times New Roman" w:hAnsi="Times New Roman" w:cs="Times New Roman"/>
                <w:sz w:val="20"/>
                <w:szCs w:val="20"/>
                <w:lang w:val="sr-Cyrl-RS" w:eastAsia="en-GB"/>
              </w:rPr>
              <w:t>(2025)</w:t>
            </w:r>
          </w:p>
        </w:tc>
        <w:tc>
          <w:tcPr>
            <w:tcW w:w="484" w:type="pct"/>
            <w:vAlign w:val="center"/>
          </w:tcPr>
          <w:p w14:paraId="7E82A925" w14:textId="1B003CDE"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1</w:t>
            </w:r>
          </w:p>
        </w:tc>
        <w:tc>
          <w:tcPr>
            <w:tcW w:w="607" w:type="pct"/>
            <w:vAlign w:val="center"/>
          </w:tcPr>
          <w:p w14:paraId="759FE04E" w14:textId="732BE025"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2</w:t>
            </w:r>
          </w:p>
        </w:tc>
        <w:tc>
          <w:tcPr>
            <w:tcW w:w="607" w:type="pct"/>
            <w:vAlign w:val="center"/>
          </w:tcPr>
          <w:p w14:paraId="116D17E2" w14:textId="7542E0ED"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3</w:t>
            </w:r>
          </w:p>
        </w:tc>
        <w:tc>
          <w:tcPr>
            <w:tcW w:w="607" w:type="pct"/>
            <w:vAlign w:val="center"/>
          </w:tcPr>
          <w:p w14:paraId="213A0335" w14:textId="21BBDD1C"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4</w:t>
            </w:r>
          </w:p>
        </w:tc>
        <w:tc>
          <w:tcPr>
            <w:tcW w:w="606" w:type="pct"/>
            <w:vAlign w:val="center"/>
          </w:tcPr>
          <w:p w14:paraId="4999D461" w14:textId="3F1E3C23" w:rsidR="004A2629" w:rsidRPr="00226F9D" w:rsidRDefault="004A2629" w:rsidP="004A2629">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5</w:t>
            </w:r>
          </w:p>
        </w:tc>
      </w:tr>
    </w:tbl>
    <w:p w14:paraId="76527A8C" w14:textId="77777777" w:rsidR="00CF32C3" w:rsidRPr="00226F9D" w:rsidRDefault="00CF32C3" w:rsidP="006B59F4">
      <w:pPr>
        <w:spacing w:after="0" w:line="240" w:lineRule="auto"/>
        <w:jc w:val="both"/>
        <w:rPr>
          <w:rFonts w:ascii="Times New Roman" w:eastAsia="Arial" w:hAnsi="Times New Roman" w:cs="Times New Roman"/>
          <w:color w:val="000000" w:themeColor="text1"/>
          <w:kern w:val="0"/>
          <w:sz w:val="22"/>
          <w:szCs w:val="22"/>
          <w:lang w:val="sr-Cyrl-RS"/>
          <w14:ligatures w14:val="none"/>
        </w:rPr>
      </w:pPr>
    </w:p>
    <w:p w14:paraId="1975317A" w14:textId="413E91C7" w:rsidR="00CA471C" w:rsidRPr="00226F9D" w:rsidRDefault="00835317"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noProof/>
          <w:u w:val="single"/>
        </w:rPr>
        <w:drawing>
          <wp:anchor distT="0" distB="0" distL="114300" distR="114300" simplePos="0" relativeHeight="251658252" behindDoc="0" locked="0" layoutInCell="1" allowOverlap="1" wp14:anchorId="17CA9CC0" wp14:editId="6A5ADE8C">
            <wp:simplePos x="0" y="0"/>
            <wp:positionH relativeFrom="column">
              <wp:posOffset>0</wp:posOffset>
            </wp:positionH>
            <wp:positionV relativeFrom="paragraph">
              <wp:posOffset>-2540</wp:posOffset>
            </wp:positionV>
            <wp:extent cx="801370" cy="611505"/>
            <wp:effectExtent l="0" t="0" r="0" b="0"/>
            <wp:wrapThrough wrapText="bothSides">
              <wp:wrapPolygon edited="0">
                <wp:start x="0" y="0"/>
                <wp:lineTo x="0" y="20860"/>
                <wp:lineTo x="21052" y="20860"/>
                <wp:lineTo x="21052" y="0"/>
                <wp:lineTo x="0" y="0"/>
              </wp:wrapPolygon>
            </wp:wrapThrough>
            <wp:docPr id="1677817913" name="Picture 1" descr="A colorful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33888" name="Picture 1" descr="A colorful circle with text&#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1370" cy="611505"/>
                    </a:xfrm>
                    <a:prstGeom prst="rect">
                      <a:avLst/>
                    </a:prstGeom>
                  </pic:spPr>
                </pic:pic>
              </a:graphicData>
            </a:graphic>
          </wp:anchor>
        </w:drawing>
      </w:r>
      <w:r w:rsidR="00384C07" w:rsidRPr="00226F9D">
        <w:rPr>
          <w:rFonts w:ascii="Times New Roman" w:eastAsia="Calibri" w:hAnsi="Times New Roman" w:cs="Times New Roman"/>
          <w:lang w:val="sr-Cyrl-RS"/>
        </w:rPr>
        <w:t xml:space="preserve">Када је реч </w:t>
      </w:r>
      <w:r w:rsidR="00F312C7" w:rsidRPr="00226F9D">
        <w:rPr>
          <w:rFonts w:ascii="Times New Roman" w:eastAsia="Calibri" w:hAnsi="Times New Roman" w:cs="Times New Roman"/>
          <w:lang w:val="sr-Cyrl-RS"/>
        </w:rPr>
        <w:t xml:space="preserve">о доприносу Агенди </w:t>
      </w:r>
      <w:r w:rsidR="00444332" w:rsidRPr="00226F9D">
        <w:rPr>
          <w:rFonts w:ascii="Times New Roman" w:eastAsia="Calibri" w:hAnsi="Times New Roman" w:cs="Times New Roman"/>
          <w:lang w:val="sr-Cyrl-RS"/>
        </w:rPr>
        <w:t>2030</w:t>
      </w:r>
      <w:r w:rsidR="00CF0344" w:rsidRPr="00226F9D">
        <w:rPr>
          <w:rFonts w:ascii="Times New Roman" w:eastAsia="Calibri" w:hAnsi="Times New Roman" w:cs="Times New Roman"/>
          <w:lang w:val="sr-Cyrl-RS"/>
        </w:rPr>
        <w:t>,</w:t>
      </w:r>
      <w:r w:rsidR="00444332" w:rsidRPr="00226F9D">
        <w:rPr>
          <w:rFonts w:ascii="Times New Roman" w:eastAsia="Calibri" w:hAnsi="Times New Roman" w:cs="Times New Roman"/>
          <w:lang w:val="sr-Cyrl-RS"/>
        </w:rPr>
        <w:t xml:space="preserve"> н</w:t>
      </w:r>
      <w:r w:rsidR="00A02190" w:rsidRPr="00226F9D">
        <w:rPr>
          <w:rFonts w:ascii="Times New Roman" w:eastAsia="Calibri" w:hAnsi="Times New Roman" w:cs="Times New Roman"/>
          <w:lang w:val="sr-Cyrl-RS"/>
        </w:rPr>
        <w:t xml:space="preserve">а нивоу </w:t>
      </w:r>
      <w:r w:rsidR="00384C07" w:rsidRPr="00226F9D">
        <w:rPr>
          <w:rFonts w:ascii="Times New Roman" w:eastAsia="Calibri" w:hAnsi="Times New Roman" w:cs="Times New Roman"/>
          <w:b/>
          <w:bCs/>
          <w:lang w:val="sr-Cyrl-RS"/>
        </w:rPr>
        <w:t>првог посебног</w:t>
      </w:r>
      <w:r w:rsidR="00A02190" w:rsidRPr="00226F9D">
        <w:rPr>
          <w:rFonts w:ascii="Times New Roman" w:eastAsia="Calibri" w:hAnsi="Times New Roman" w:cs="Times New Roman"/>
          <w:b/>
          <w:bCs/>
          <w:lang w:val="sr-Cyrl-RS"/>
        </w:rPr>
        <w:t xml:space="preserve"> циља</w:t>
      </w:r>
      <w:r w:rsidR="00A02190" w:rsidRPr="00226F9D">
        <w:rPr>
          <w:rFonts w:ascii="Times New Roman" w:eastAsia="Calibri" w:hAnsi="Times New Roman" w:cs="Times New Roman"/>
          <w:lang w:val="sr-Cyrl-RS"/>
        </w:rPr>
        <w:t xml:space="preserve"> ПРСЛС 2026-2030</w:t>
      </w:r>
      <w:r w:rsidR="00CF7536" w:rsidRPr="00226F9D">
        <w:rPr>
          <w:rFonts w:ascii="Times New Roman" w:eastAsia="Calibri" w:hAnsi="Times New Roman" w:cs="Times New Roman"/>
          <w:lang w:val="sr-Cyrl-RS"/>
        </w:rPr>
        <w:t xml:space="preserve"> </w:t>
      </w:r>
      <w:r w:rsidR="003B39D8" w:rsidRPr="00226F9D">
        <w:rPr>
          <w:rFonts w:ascii="Times New Roman" w:eastAsia="Calibri" w:hAnsi="Times New Roman" w:cs="Times New Roman"/>
          <w:lang w:val="sr-Cyrl-RS"/>
        </w:rPr>
        <w:t xml:space="preserve">- </w:t>
      </w:r>
      <w:r w:rsidR="002509D6" w:rsidRPr="00226F9D">
        <w:rPr>
          <w:rFonts w:ascii="Times New Roman" w:eastAsia="Calibri" w:hAnsi="Times New Roman" w:cs="Times New Roman"/>
          <w:lang w:val="sr-Cyrl-RS"/>
        </w:rPr>
        <w:t xml:space="preserve">релевантан је </w:t>
      </w:r>
      <w:r w:rsidR="0050462B" w:rsidRPr="00226F9D">
        <w:rPr>
          <w:rFonts w:ascii="Times New Roman" w:eastAsia="Calibri" w:hAnsi="Times New Roman" w:cs="Times New Roman"/>
          <w:lang w:val="sr-Cyrl-RS"/>
        </w:rPr>
        <w:t xml:space="preserve">посебно показатељ </w:t>
      </w:r>
      <w:r w:rsidR="00DD201C" w:rsidRPr="00226F9D">
        <w:rPr>
          <w:rFonts w:ascii="Times New Roman" w:eastAsia="Calibri" w:hAnsi="Times New Roman" w:cs="Times New Roman"/>
          <w:lang w:val="sr-Cyrl-RS"/>
        </w:rPr>
        <w:t>који прати елементе доброг управљања</w:t>
      </w:r>
      <w:r w:rsidR="00E56B2B" w:rsidRPr="00226F9D">
        <w:rPr>
          <w:rFonts w:ascii="Times New Roman" w:eastAsia="Calibri" w:hAnsi="Times New Roman" w:cs="Times New Roman"/>
          <w:lang w:val="sr-Cyrl-RS"/>
        </w:rPr>
        <w:t xml:space="preserve">, тако да је </w:t>
      </w:r>
      <w:r w:rsidR="00A02190" w:rsidRPr="00226F9D">
        <w:rPr>
          <w:rFonts w:ascii="Times New Roman" w:eastAsia="Calibri" w:hAnsi="Times New Roman" w:cs="Times New Roman"/>
          <w:lang w:val="sr-Cyrl-RS"/>
        </w:rPr>
        <w:t>основни приказ ових веза како следи:</w:t>
      </w:r>
    </w:p>
    <w:p w14:paraId="0F5C0461" w14:textId="77777777" w:rsidR="00CA471C" w:rsidRPr="00226F9D" w:rsidRDefault="00CA471C" w:rsidP="006B59F4">
      <w:pPr>
        <w:spacing w:after="0" w:line="240" w:lineRule="auto"/>
        <w:jc w:val="both"/>
        <w:rPr>
          <w:rFonts w:ascii="Times New Roman" w:eastAsia="Calibri" w:hAnsi="Times New Roman" w:cs="Times New Roman"/>
          <w:sz w:val="22"/>
          <w:szCs w:val="22"/>
          <w:lang w:val="sr-Latn-RS"/>
        </w:rPr>
      </w:pPr>
    </w:p>
    <w:tbl>
      <w:tblPr>
        <w:tblW w:w="5000" w:type="pct"/>
        <w:tblInd w:w="-5" w:type="dxa"/>
        <w:tblCellMar>
          <w:top w:w="57" w:type="dxa"/>
          <w:bottom w:w="57" w:type="dxa"/>
        </w:tblCellMar>
        <w:tblLook w:val="04A0" w:firstRow="1" w:lastRow="0" w:firstColumn="1" w:lastColumn="0" w:noHBand="0" w:noVBand="1"/>
      </w:tblPr>
      <w:tblGrid>
        <w:gridCol w:w="1891"/>
        <w:gridCol w:w="1913"/>
        <w:gridCol w:w="2125"/>
        <w:gridCol w:w="3693"/>
      </w:tblGrid>
      <w:tr w:rsidR="00FB1C71" w:rsidRPr="00226F9D" w14:paraId="36F28F8E" w14:textId="77777777" w:rsidTr="00CA471C">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694D75E4" w14:textId="16C74C39" w:rsidR="0097408D" w:rsidRPr="00226F9D" w:rsidRDefault="0097408D" w:rsidP="007E1BCC">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ПОСЕБНИ ЦИЉ</w:t>
            </w:r>
            <w:r w:rsidR="00622F67" w:rsidRPr="00226F9D">
              <w:rPr>
                <w:rFonts w:ascii="Times New Roman" w:eastAsia="Times New Roman" w:hAnsi="Times New Roman" w:cs="Times New Roman"/>
                <w:b/>
                <w:bCs/>
                <w:i/>
                <w:iCs/>
                <w:color w:val="000000"/>
                <w:kern w:val="0"/>
                <w:sz w:val="20"/>
                <w:szCs w:val="20"/>
                <w:lang w:val="sr-Cyrl-RS" w:eastAsia="en-GB"/>
                <w14:ligatures w14:val="none"/>
              </w:rPr>
              <w:t xml:space="preserve"> </w:t>
            </w:r>
            <w:r w:rsidRPr="00226F9D">
              <w:rPr>
                <w:rFonts w:ascii="Times New Roman" w:eastAsia="Times New Roman" w:hAnsi="Times New Roman" w:cs="Times New Roman"/>
                <w:b/>
                <w:bCs/>
                <w:i/>
                <w:iCs/>
                <w:color w:val="000000"/>
                <w:kern w:val="0"/>
                <w:sz w:val="20"/>
                <w:szCs w:val="20"/>
                <w:lang w:val="sr-Cyrl-RS" w:eastAsia="en-GB"/>
                <w14:ligatures w14:val="none"/>
              </w:rPr>
              <w:t>ПР</w:t>
            </w:r>
            <w:r w:rsidR="00293C06" w:rsidRPr="00226F9D">
              <w:rPr>
                <w:rFonts w:ascii="Times New Roman" w:eastAsia="Times New Roman" w:hAnsi="Times New Roman" w:cs="Times New Roman"/>
                <w:b/>
                <w:bCs/>
                <w:i/>
                <w:iCs/>
                <w:color w:val="000000"/>
                <w:kern w:val="0"/>
                <w:sz w:val="20"/>
                <w:szCs w:val="20"/>
                <w:lang w:val="sr-Cyrl-RS" w:eastAsia="en-GB"/>
                <w14:ligatures w14:val="none"/>
              </w:rPr>
              <w:t>СЛС 2026-2030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BB08B6F" w14:textId="5C42C131" w:rsidR="0097408D" w:rsidRPr="00226F9D" w:rsidRDefault="0097408D" w:rsidP="007E1BCC">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П</w:t>
            </w:r>
            <w:r w:rsidR="009C3704" w:rsidRPr="00226F9D">
              <w:rPr>
                <w:rFonts w:ascii="Times New Roman" w:eastAsia="Times New Roman" w:hAnsi="Times New Roman" w:cs="Times New Roman"/>
                <w:b/>
                <w:bCs/>
                <w:i/>
                <w:iCs/>
                <w:color w:val="000000"/>
                <w:kern w:val="0"/>
                <w:sz w:val="20"/>
                <w:szCs w:val="20"/>
                <w:lang w:val="sr-Cyrl-RS" w:eastAsia="en-GB"/>
                <w14:ligatures w14:val="none"/>
              </w:rPr>
              <w:t>оказатељ</w:t>
            </w:r>
            <w:r w:rsidRPr="00226F9D">
              <w:rPr>
                <w:rFonts w:ascii="Times New Roman" w:eastAsia="Times New Roman" w:hAnsi="Times New Roman" w:cs="Times New Roman"/>
                <w:b/>
                <w:bCs/>
                <w:i/>
                <w:iCs/>
                <w:color w:val="000000"/>
                <w:kern w:val="0"/>
                <w:sz w:val="20"/>
                <w:szCs w:val="20"/>
                <w:lang w:val="sr-Cyrl-RS" w:eastAsia="en-GB"/>
                <w14:ligatures w14:val="none"/>
              </w:rPr>
              <w:t xml:space="preserve"> </w:t>
            </w:r>
            <w:r w:rsidR="009C3704" w:rsidRPr="00226F9D">
              <w:rPr>
                <w:rFonts w:ascii="Times New Roman" w:eastAsia="Times New Roman" w:hAnsi="Times New Roman" w:cs="Times New Roman"/>
                <w:b/>
                <w:bCs/>
                <w:i/>
                <w:iCs/>
                <w:color w:val="000000"/>
                <w:kern w:val="0"/>
                <w:sz w:val="20"/>
                <w:szCs w:val="20"/>
                <w:lang w:val="sr-Cyrl-RS" w:eastAsia="en-GB"/>
                <w14:ligatures w14:val="none"/>
              </w:rPr>
              <w:t>циља</w:t>
            </w:r>
            <w:r w:rsidRPr="00226F9D">
              <w:rPr>
                <w:rFonts w:ascii="Times New Roman" w:eastAsia="Times New Roman" w:hAnsi="Times New Roman" w:cs="Times New Roman"/>
                <w:b/>
                <w:bCs/>
                <w:i/>
                <w:iCs/>
                <w:color w:val="000000"/>
                <w:kern w:val="0"/>
                <w:sz w:val="20"/>
                <w:szCs w:val="20"/>
                <w:lang w:val="sr-Cyrl-RS" w:eastAsia="en-GB"/>
                <w14:ligatures w14:val="none"/>
              </w:rPr>
              <w:t xml:space="preserve"> </w:t>
            </w:r>
            <w:r w:rsidR="009C3704" w:rsidRPr="00226F9D">
              <w:rPr>
                <w:rFonts w:ascii="Times New Roman" w:eastAsia="Times New Roman" w:hAnsi="Times New Roman" w:cs="Times New Roman"/>
                <w:b/>
                <w:bCs/>
                <w:i/>
                <w:iCs/>
                <w:color w:val="000000"/>
                <w:kern w:val="0"/>
                <w:sz w:val="20"/>
                <w:szCs w:val="20"/>
                <w:lang w:val="sr-Cyrl-RS" w:eastAsia="en-GB"/>
                <w14:ligatures w14:val="none"/>
              </w:rPr>
              <w:t>у</w:t>
            </w:r>
            <w:r w:rsidRPr="00226F9D">
              <w:rPr>
                <w:rFonts w:ascii="Times New Roman" w:eastAsia="Times New Roman" w:hAnsi="Times New Roman" w:cs="Times New Roman"/>
                <w:b/>
                <w:bCs/>
                <w:i/>
                <w:iCs/>
                <w:color w:val="000000"/>
                <w:kern w:val="0"/>
                <w:sz w:val="20"/>
                <w:szCs w:val="20"/>
                <w:lang w:val="sr-Cyrl-RS" w:eastAsia="en-GB"/>
                <w14:ligatures w14:val="none"/>
              </w:rPr>
              <w:t xml:space="preserve"> ПР</w:t>
            </w:r>
            <w:r w:rsidR="001E3099" w:rsidRPr="00226F9D">
              <w:rPr>
                <w:rFonts w:ascii="Times New Roman" w:eastAsia="Times New Roman" w:hAnsi="Times New Roman" w:cs="Times New Roman"/>
                <w:b/>
                <w:bCs/>
                <w:i/>
                <w:iCs/>
                <w:color w:val="000000"/>
                <w:kern w:val="0"/>
                <w:sz w:val="20"/>
                <w:szCs w:val="20"/>
                <w:lang w:val="sr-Cyrl-RS" w:eastAsia="en-GB"/>
                <w14:ligatures w14:val="none"/>
              </w:rPr>
              <w:t>СЛС</w:t>
            </w:r>
          </w:p>
        </w:tc>
        <w:tc>
          <w:tcPr>
            <w:tcW w:w="2071" w:type="dxa"/>
            <w:tcBorders>
              <w:top w:val="single" w:sz="4" w:space="0" w:color="auto"/>
              <w:left w:val="single" w:sz="4" w:space="0" w:color="auto"/>
              <w:bottom w:val="single" w:sz="4" w:space="0" w:color="auto"/>
              <w:right w:val="single" w:sz="4" w:space="0" w:color="auto"/>
            </w:tcBorders>
            <w:shd w:val="clear" w:color="auto" w:fill="FFFFFF"/>
            <w:hideMark/>
          </w:tcPr>
          <w:p w14:paraId="1EE218D6" w14:textId="73DCE9EF" w:rsidR="0097408D" w:rsidRPr="00226F9D" w:rsidRDefault="0097408D" w:rsidP="007E1BCC">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В</w:t>
            </w:r>
            <w:r w:rsidR="009C3704" w:rsidRPr="00226F9D">
              <w:rPr>
                <w:rFonts w:ascii="Times New Roman" w:eastAsia="Times New Roman" w:hAnsi="Times New Roman" w:cs="Times New Roman"/>
                <w:b/>
                <w:bCs/>
                <w:i/>
                <w:iCs/>
                <w:color w:val="000000"/>
                <w:kern w:val="0"/>
                <w:sz w:val="20"/>
                <w:szCs w:val="20"/>
                <w:lang w:val="sr-Cyrl-RS" w:eastAsia="en-GB"/>
                <w14:ligatures w14:val="none"/>
              </w:rPr>
              <w:t xml:space="preserve">еза са потциљем </w:t>
            </w:r>
            <w:r w:rsidR="00B3047B" w:rsidRPr="00226F9D">
              <w:rPr>
                <w:rFonts w:ascii="Times New Roman" w:eastAsia="Times New Roman" w:hAnsi="Times New Roman" w:cs="Times New Roman"/>
                <w:b/>
                <w:bCs/>
                <w:i/>
                <w:iCs/>
                <w:color w:val="000000"/>
                <w:kern w:val="0"/>
                <w:sz w:val="20"/>
                <w:szCs w:val="20"/>
                <w:lang w:val="sr-Cyrl-RS" w:eastAsia="en-GB"/>
                <w14:ligatures w14:val="none"/>
              </w:rPr>
              <w:t xml:space="preserve">одрживог развоја </w:t>
            </w:r>
          </w:p>
        </w:tc>
        <w:tc>
          <w:tcPr>
            <w:tcW w:w="3599" w:type="dxa"/>
            <w:tcBorders>
              <w:top w:val="single" w:sz="4" w:space="0" w:color="auto"/>
              <w:left w:val="single" w:sz="4" w:space="0" w:color="auto"/>
              <w:bottom w:val="single" w:sz="4" w:space="0" w:color="auto"/>
              <w:right w:val="single" w:sz="4" w:space="0" w:color="auto"/>
            </w:tcBorders>
            <w:shd w:val="clear" w:color="auto" w:fill="FFFFFF"/>
            <w:hideMark/>
          </w:tcPr>
          <w:p w14:paraId="62DF98B7" w14:textId="7E06F4B2" w:rsidR="0097408D" w:rsidRPr="00226F9D" w:rsidRDefault="0097408D" w:rsidP="007E1BCC">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В</w:t>
            </w:r>
            <w:r w:rsidR="00B3047B" w:rsidRPr="00226F9D">
              <w:rPr>
                <w:rFonts w:ascii="Times New Roman" w:eastAsia="Times New Roman" w:hAnsi="Times New Roman" w:cs="Times New Roman"/>
                <w:b/>
                <w:bCs/>
                <w:i/>
                <w:iCs/>
                <w:color w:val="000000"/>
                <w:kern w:val="0"/>
                <w:sz w:val="20"/>
                <w:szCs w:val="20"/>
                <w:lang w:val="sr-Cyrl-RS" w:eastAsia="en-GB"/>
                <w14:ligatures w14:val="none"/>
              </w:rPr>
              <w:t>еза са показатељем</w:t>
            </w:r>
            <w:r w:rsidR="0030081D" w:rsidRPr="00226F9D">
              <w:rPr>
                <w:rFonts w:ascii="Times New Roman" w:eastAsia="Times New Roman" w:hAnsi="Times New Roman" w:cs="Times New Roman"/>
                <w:b/>
                <w:bCs/>
                <w:i/>
                <w:iCs/>
                <w:color w:val="000000"/>
                <w:kern w:val="0"/>
                <w:sz w:val="20"/>
                <w:szCs w:val="20"/>
                <w:lang w:val="sr-Cyrl-RS" w:eastAsia="en-GB"/>
                <w14:ligatures w14:val="none"/>
              </w:rPr>
              <w:t xml:space="preserve"> ЦОР</w:t>
            </w:r>
          </w:p>
        </w:tc>
      </w:tr>
      <w:tr w:rsidR="00FB1C71" w:rsidRPr="00226F9D" w14:paraId="2646F83F" w14:textId="77777777" w:rsidTr="00CA471C">
        <w:trPr>
          <w:trHeight w:val="77"/>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63D3BEE" w14:textId="77777777" w:rsidR="008C6E38" w:rsidRPr="00226F9D" w:rsidRDefault="008C6E38"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160FE66E" w14:textId="77777777" w:rsidR="008C6E38" w:rsidRPr="00226F9D" w:rsidRDefault="008C6E38"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4B3298AF" w14:textId="77777777" w:rsidR="008C6E38" w:rsidRPr="00226F9D" w:rsidRDefault="008C6E38"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2911C37B" w14:textId="77777777" w:rsidR="008C6E38" w:rsidRPr="00226F9D" w:rsidRDefault="008C6E38"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127A03B8" w14:textId="6F9DC54C" w:rsidR="0097408D" w:rsidRPr="00226F9D" w:rsidRDefault="0097408D"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1: Унапређење положаја и одговорности локалне самоуправе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58BA4CF" w14:textId="77777777" w:rsidR="008C6E38" w:rsidRPr="00226F9D" w:rsidRDefault="008C6E38"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p>
          <w:p w14:paraId="3147E530" w14:textId="77777777" w:rsidR="008C6E38" w:rsidRPr="00226F9D" w:rsidRDefault="008C6E38"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p>
          <w:p w14:paraId="6DED681B" w14:textId="75E7F7DA" w:rsidR="0097408D" w:rsidRPr="00226F9D" w:rsidRDefault="0097408D"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r w:rsidRPr="00226F9D">
              <w:rPr>
                <w:rFonts w:ascii="Times New Roman" w:eastAsia="Calibri" w:hAnsi="Times New Roman" w:cs="Times New Roman"/>
                <w:i/>
                <w:iCs/>
                <w:color w:val="000000"/>
                <w:kern w:val="0"/>
                <w:sz w:val="20"/>
                <w:szCs w:val="20"/>
                <w:lang w:val="sr-Cyrl-RS"/>
                <w14:ligatures w14:val="none"/>
              </w:rPr>
              <w:t xml:space="preserve">Просечна вредност индекса добре управе у издвојеним областима: 1) </w:t>
            </w:r>
            <w:r w:rsidRPr="00226F9D">
              <w:rPr>
                <w:rFonts w:ascii="Times New Roman" w:eastAsia="Calibri" w:hAnsi="Times New Roman" w:cs="Times New Roman"/>
                <w:i/>
                <w:iCs/>
                <w:color w:val="000000"/>
                <w:kern w:val="0"/>
                <w:sz w:val="20"/>
                <w:szCs w:val="20"/>
                <w:lang w:val="en-GB"/>
                <w14:ligatures w14:val="none"/>
              </w:rPr>
              <w:t>o</w:t>
            </w:r>
            <w:r w:rsidRPr="00226F9D">
              <w:rPr>
                <w:rFonts w:ascii="Times New Roman" w:eastAsia="Calibri" w:hAnsi="Times New Roman" w:cs="Times New Roman"/>
                <w:i/>
                <w:iCs/>
                <w:color w:val="000000"/>
                <w:kern w:val="0"/>
                <w:sz w:val="20"/>
                <w:szCs w:val="20"/>
                <w:lang w:val="sr-Cyrl-RS"/>
                <w14:ligatures w14:val="none"/>
              </w:rPr>
              <w:t xml:space="preserve">дговорност; 2) транспарентност, отвореност и партиципација </w:t>
            </w:r>
          </w:p>
          <w:p w14:paraId="47BFD1D6" w14:textId="77777777" w:rsidR="0097408D" w:rsidRPr="00226F9D" w:rsidRDefault="0097408D"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p>
        </w:tc>
        <w:tc>
          <w:tcPr>
            <w:tcW w:w="2071" w:type="dxa"/>
            <w:tcBorders>
              <w:top w:val="single" w:sz="4" w:space="0" w:color="auto"/>
              <w:left w:val="single" w:sz="4" w:space="0" w:color="auto"/>
              <w:bottom w:val="single" w:sz="4" w:space="0" w:color="auto"/>
              <w:right w:val="single" w:sz="4" w:space="0" w:color="auto"/>
            </w:tcBorders>
            <w:shd w:val="clear" w:color="auto" w:fill="FFFFFF"/>
          </w:tcPr>
          <w:p w14:paraId="24E1ECAA" w14:textId="17ECF8B3"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r w:rsidRPr="00226F9D">
              <w:rPr>
                <w:rFonts w:ascii="Times New Roman" w:eastAsia="Times New Roman" w:hAnsi="Times New Roman" w:cs="Times New Roman"/>
                <w:i/>
                <w:iCs/>
                <w:color w:val="000000"/>
                <w:kern w:val="0"/>
                <w:sz w:val="20"/>
                <w:szCs w:val="20"/>
                <w:lang w:val="en-GB" w:eastAsia="en-GB"/>
                <w14:ligatures w14:val="none"/>
              </w:rPr>
              <w:t>16.7</w:t>
            </w:r>
          </w:p>
          <w:p w14:paraId="0A40FB25"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79EF758E"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727DD4D9"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605B8A3B"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7C97C693" w14:textId="77777777" w:rsidR="00CA471C" w:rsidRPr="00226F9D" w:rsidRDefault="00CA471C"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3C7C5DE9"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A2B9428" w14:textId="790DA0BF"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r w:rsidRPr="00226F9D">
              <w:rPr>
                <w:rFonts w:ascii="Times New Roman" w:eastAsia="Times New Roman" w:hAnsi="Times New Roman" w:cs="Times New Roman"/>
                <w:i/>
                <w:iCs/>
                <w:color w:val="000000"/>
                <w:kern w:val="0"/>
                <w:sz w:val="20"/>
                <w:szCs w:val="20"/>
                <w:lang w:val="en-GB" w:eastAsia="en-GB"/>
                <w14:ligatures w14:val="none"/>
              </w:rPr>
              <w:t>16.а</w:t>
            </w:r>
          </w:p>
          <w:p w14:paraId="44DF7435"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4B79FF80"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224BC112"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3E4DE617" w14:textId="77777777" w:rsidR="00807589" w:rsidRPr="00226F9D" w:rsidRDefault="00807589"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4F3A94C6" w14:textId="1ADCC8A8"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r w:rsidRPr="00226F9D">
              <w:rPr>
                <w:rFonts w:ascii="Times New Roman" w:eastAsia="Times New Roman" w:hAnsi="Times New Roman" w:cs="Times New Roman"/>
                <w:i/>
                <w:iCs/>
                <w:color w:val="000000"/>
                <w:kern w:val="0"/>
                <w:sz w:val="20"/>
                <w:szCs w:val="20"/>
                <w:lang w:val="en-GB" w:eastAsia="en-GB"/>
                <w14:ligatures w14:val="none"/>
              </w:rPr>
              <w:t>11.3</w:t>
            </w:r>
          </w:p>
        </w:tc>
        <w:tc>
          <w:tcPr>
            <w:tcW w:w="3599" w:type="dxa"/>
            <w:tcBorders>
              <w:top w:val="single" w:sz="4" w:space="0" w:color="auto"/>
              <w:left w:val="single" w:sz="4" w:space="0" w:color="auto"/>
              <w:bottom w:val="single" w:sz="4" w:space="0" w:color="auto"/>
              <w:right w:val="single" w:sz="4" w:space="0" w:color="auto"/>
            </w:tcBorders>
            <w:shd w:val="clear" w:color="auto" w:fill="FFFFFF"/>
          </w:tcPr>
          <w:p w14:paraId="156A437A" w14:textId="77777777" w:rsidR="0097408D" w:rsidRPr="00226F9D" w:rsidRDefault="0097408D" w:rsidP="006B59F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r w:rsidRPr="00226F9D">
              <w:rPr>
                <w:rFonts w:ascii="Times New Roman" w:eastAsia="Times New Roman" w:hAnsi="Times New Roman" w:cs="Times New Roman"/>
                <w:i/>
                <w:iCs/>
                <w:color w:val="000000"/>
                <w:kern w:val="0"/>
                <w:sz w:val="20"/>
                <w:szCs w:val="20"/>
                <w:lang w:val="en-GB" w:eastAsia="en-GB"/>
                <w14:ligatures w14:val="none"/>
              </w:rPr>
              <w:t>16.7.2 Удео становништва које сматра да је процес доношења одлука инклузиван и одговара на потребе, према полу, старости, инвалидитету или популационим групама</w:t>
            </w:r>
          </w:p>
          <w:p w14:paraId="28AB671A"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529F2ABC" w14:textId="77777777" w:rsidR="0097408D" w:rsidRPr="00226F9D" w:rsidRDefault="0097408D" w:rsidP="006B59F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r w:rsidRPr="00226F9D">
              <w:rPr>
                <w:rFonts w:ascii="Times New Roman" w:eastAsia="Times New Roman" w:hAnsi="Times New Roman" w:cs="Times New Roman"/>
                <w:i/>
                <w:iCs/>
                <w:color w:val="000000"/>
                <w:kern w:val="0"/>
                <w:sz w:val="20"/>
                <w:szCs w:val="20"/>
                <w:lang w:val="en-GB" w:eastAsia="en-GB"/>
                <w14:ligatures w14:val="none"/>
              </w:rPr>
              <w:t>16.а.1 Постојање независних националних институција за заштиту људских права у складу са Париским начелима</w:t>
            </w:r>
          </w:p>
          <w:p w14:paraId="3F37436A" w14:textId="77777777" w:rsidR="0097408D" w:rsidRPr="00226F9D" w:rsidRDefault="0097408D" w:rsidP="0009088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p>
          <w:p w14:paraId="46222089" w14:textId="77777777" w:rsidR="0097408D" w:rsidRPr="00226F9D" w:rsidRDefault="0097408D" w:rsidP="006B59F4">
            <w:pPr>
              <w:spacing w:after="0" w:line="240" w:lineRule="auto"/>
              <w:jc w:val="both"/>
              <w:rPr>
                <w:rFonts w:ascii="Times New Roman" w:eastAsia="Times New Roman" w:hAnsi="Times New Roman" w:cs="Times New Roman"/>
                <w:i/>
                <w:iCs/>
                <w:color w:val="000000"/>
                <w:kern w:val="0"/>
                <w:sz w:val="20"/>
                <w:szCs w:val="20"/>
                <w:lang w:val="en-GB" w:eastAsia="en-GB"/>
                <w14:ligatures w14:val="none"/>
              </w:rPr>
            </w:pPr>
            <w:r w:rsidRPr="00226F9D">
              <w:rPr>
                <w:rFonts w:ascii="Times New Roman" w:eastAsia="Times New Roman" w:hAnsi="Times New Roman" w:cs="Times New Roman"/>
                <w:i/>
                <w:iCs/>
                <w:color w:val="000000"/>
                <w:kern w:val="0"/>
                <w:sz w:val="20"/>
                <w:szCs w:val="20"/>
                <w:lang w:val="en-GB" w:eastAsia="en-GB"/>
                <w14:ligatures w14:val="none"/>
              </w:rPr>
              <w:t>11.3.2 Удео градова који имају структуре за директно учешће цивилног друштва у урбаном планирању и управљању које функционишу редовно и на демократски начин</w:t>
            </w:r>
          </w:p>
        </w:tc>
      </w:tr>
    </w:tbl>
    <w:p w14:paraId="72748AEF" w14:textId="77777777" w:rsidR="004A0709" w:rsidRPr="00226F9D" w:rsidRDefault="004A0709" w:rsidP="00090884">
      <w:pPr>
        <w:spacing w:after="0" w:line="240" w:lineRule="auto"/>
        <w:jc w:val="both"/>
        <w:rPr>
          <w:rFonts w:ascii="Times New Roman" w:eastAsia="Times New Roman" w:hAnsi="Times New Roman" w:cs="Times New Roman"/>
          <w:color w:val="EE0000"/>
          <w:u w:val="single"/>
          <w:lang w:val="sr-Cyrl-RS" w:eastAsia="de-CH"/>
        </w:rPr>
      </w:pPr>
    </w:p>
    <w:p w14:paraId="0A2609B2" w14:textId="6C2F6CF9" w:rsidR="00E81F98" w:rsidRPr="00226F9D" w:rsidRDefault="004B4BFB" w:rsidP="00486459">
      <w:pPr>
        <w:spacing w:after="0" w:line="240" w:lineRule="auto"/>
        <w:jc w:val="both"/>
        <w:rPr>
          <w:rFonts w:ascii="Times New Roman" w:eastAsia="Times New Roman" w:hAnsi="Times New Roman" w:cs="Times New Roman"/>
          <w:lang w:val="sr-Cyrl-RS" w:eastAsia="de-CH"/>
        </w:rPr>
      </w:pPr>
      <w:r w:rsidRPr="00226F9D">
        <w:rPr>
          <w:rFonts w:ascii="Times New Roman" w:eastAsia="Times New Roman" w:hAnsi="Times New Roman" w:cs="Times New Roman"/>
          <w:u w:val="single"/>
          <w:lang w:val="sr-Cyrl-RS" w:eastAsia="de-CH"/>
        </w:rPr>
        <w:t xml:space="preserve">Опције за </w:t>
      </w:r>
      <w:r w:rsidR="00650FE1" w:rsidRPr="00226F9D">
        <w:rPr>
          <w:rFonts w:ascii="Times New Roman" w:eastAsia="Times New Roman" w:hAnsi="Times New Roman" w:cs="Times New Roman"/>
          <w:u w:val="single"/>
          <w:lang w:val="sr-Cyrl-RS" w:eastAsia="de-CH"/>
        </w:rPr>
        <w:t xml:space="preserve">достизање </w:t>
      </w:r>
      <w:r w:rsidR="009E1DFF" w:rsidRPr="00226F9D">
        <w:rPr>
          <w:rFonts w:ascii="Times New Roman" w:eastAsia="Times New Roman" w:hAnsi="Times New Roman" w:cs="Times New Roman"/>
          <w:u w:val="single"/>
          <w:lang w:val="sr-Cyrl-RS" w:eastAsia="de-CH"/>
        </w:rPr>
        <w:t xml:space="preserve">Посебног циља </w:t>
      </w:r>
      <w:r w:rsidR="009C3E89" w:rsidRPr="00226F9D">
        <w:rPr>
          <w:rFonts w:ascii="Times New Roman" w:eastAsia="Times New Roman" w:hAnsi="Times New Roman" w:cs="Times New Roman"/>
          <w:u w:val="single"/>
          <w:lang w:val="sr-Cyrl-RS" w:eastAsia="de-CH"/>
        </w:rPr>
        <w:t>1</w:t>
      </w:r>
      <w:r w:rsidR="002B52C1" w:rsidRPr="00226F9D">
        <w:rPr>
          <w:rFonts w:ascii="Times New Roman" w:eastAsia="Times New Roman" w:hAnsi="Times New Roman" w:cs="Times New Roman"/>
          <w:u w:val="single"/>
          <w:lang w:val="sr-Cyrl-RS" w:eastAsia="de-CH"/>
        </w:rPr>
        <w:t xml:space="preserve"> </w:t>
      </w:r>
      <w:r w:rsidR="00522920" w:rsidRPr="00226F9D">
        <w:rPr>
          <w:rFonts w:ascii="Times New Roman" w:eastAsia="Times New Roman" w:hAnsi="Times New Roman" w:cs="Times New Roman"/>
          <w:u w:val="single"/>
          <w:lang w:val="sr-Cyrl-RS" w:eastAsia="de-CH"/>
        </w:rPr>
        <w:t>–</w:t>
      </w:r>
      <w:r w:rsidR="003D07D5" w:rsidRPr="00226F9D">
        <w:rPr>
          <w:rFonts w:ascii="Times New Roman" w:eastAsia="Times New Roman" w:hAnsi="Times New Roman" w:cs="Times New Roman"/>
          <w:u w:val="single"/>
          <w:lang w:val="sr-Cyrl-RS" w:eastAsia="de-CH"/>
        </w:rPr>
        <w:t xml:space="preserve"> </w:t>
      </w:r>
      <w:r w:rsidR="00C91F0C" w:rsidRPr="00226F9D">
        <w:rPr>
          <w:rFonts w:ascii="Times New Roman" w:eastAsia="Times New Roman" w:hAnsi="Times New Roman" w:cs="Times New Roman"/>
          <w:u w:val="single"/>
          <w:lang w:val="sr-Cyrl-RS" w:eastAsia="de-CH"/>
        </w:rPr>
        <w:t>приказ адаптације</w:t>
      </w:r>
      <w:r w:rsidR="00522920" w:rsidRPr="00226F9D">
        <w:rPr>
          <w:rFonts w:ascii="Times New Roman" w:eastAsia="Times New Roman" w:hAnsi="Times New Roman" w:cs="Times New Roman"/>
          <w:u w:val="single"/>
          <w:lang w:val="sr-Cyrl-RS" w:eastAsia="de-CH"/>
        </w:rPr>
        <w:t xml:space="preserve"> у односу на претходни програмски период</w:t>
      </w:r>
      <w:r w:rsidR="0050600E" w:rsidRPr="00226F9D">
        <w:rPr>
          <w:rFonts w:ascii="Times New Roman" w:eastAsia="Times New Roman" w:hAnsi="Times New Roman" w:cs="Times New Roman"/>
          <w:u w:val="single"/>
          <w:lang w:val="sr-Cyrl-RS" w:eastAsia="de-CH"/>
        </w:rPr>
        <w:t xml:space="preserve"> и одговор </w:t>
      </w:r>
      <w:r w:rsidR="0028411D" w:rsidRPr="00226F9D">
        <w:rPr>
          <w:rFonts w:ascii="Times New Roman" w:eastAsia="Times New Roman" w:hAnsi="Times New Roman" w:cs="Times New Roman"/>
          <w:u w:val="single"/>
          <w:lang w:val="sr-Cyrl-RS" w:eastAsia="de-CH"/>
        </w:rPr>
        <w:t>прилагођеног сета мера на препознате ризике</w:t>
      </w:r>
      <w:r w:rsidR="00C05945" w:rsidRPr="00226F9D">
        <w:rPr>
          <w:rFonts w:ascii="Times New Roman" w:eastAsia="Times New Roman" w:hAnsi="Times New Roman" w:cs="Times New Roman"/>
          <w:lang w:val="sr-Cyrl-RS" w:eastAsia="de-CH"/>
        </w:rPr>
        <w:t>:</w:t>
      </w:r>
    </w:p>
    <w:p w14:paraId="6D26D6F6" w14:textId="7C4C0C7F" w:rsidR="00E76C58" w:rsidRPr="00226F9D" w:rsidRDefault="00E76C58" w:rsidP="00486459">
      <w:pPr>
        <w:spacing w:after="0" w:line="240" w:lineRule="auto"/>
        <w:jc w:val="both"/>
        <w:rPr>
          <w:rFonts w:ascii="Times New Roman" w:eastAsia="Times New Roman" w:hAnsi="Times New Roman" w:cs="Times New Roman"/>
          <w:kern w:val="0"/>
          <w:lang w:val="sr-Cyrl-RS" w:eastAsia="de-CH"/>
          <w14:ligatures w14:val="none"/>
        </w:rPr>
      </w:pPr>
    </w:p>
    <w:p w14:paraId="10545FC2" w14:textId="77777777" w:rsidR="00D66225" w:rsidRPr="00226F9D" w:rsidRDefault="008C3544" w:rsidP="00486459">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У детаљном разматрању опција </w:t>
      </w:r>
      <w:r w:rsidR="00557195" w:rsidRPr="00226F9D">
        <w:rPr>
          <w:rFonts w:ascii="Times New Roman" w:eastAsia="Times New Roman" w:hAnsi="Times New Roman" w:cs="Times New Roman"/>
          <w:kern w:val="0"/>
          <w:lang w:val="sr-Cyrl-RS" w:eastAsia="de-CH"/>
          <w14:ligatures w14:val="none"/>
        </w:rPr>
        <w:t xml:space="preserve">и анализи ефеката </w:t>
      </w:r>
      <w:r w:rsidR="00F27DA1" w:rsidRPr="00226F9D">
        <w:rPr>
          <w:rFonts w:ascii="Times New Roman" w:eastAsia="Times New Roman" w:hAnsi="Times New Roman" w:cs="Times New Roman"/>
          <w:kern w:val="0"/>
          <w:lang w:val="sr-Cyrl-RS" w:eastAsia="de-CH"/>
          <w14:ligatures w14:val="none"/>
        </w:rPr>
        <w:t xml:space="preserve">на нивоу овог циља </w:t>
      </w:r>
      <w:r w:rsidR="005B2448" w:rsidRPr="00226F9D">
        <w:rPr>
          <w:rFonts w:ascii="Times New Roman" w:eastAsia="Times New Roman" w:hAnsi="Times New Roman" w:cs="Times New Roman"/>
          <w:kern w:val="0"/>
          <w:lang w:val="sr-Cyrl-RS" w:eastAsia="de-CH"/>
          <w14:ligatures w14:val="none"/>
        </w:rPr>
        <w:t xml:space="preserve">у оквиру </w:t>
      </w:r>
      <w:r w:rsidR="00BF4338" w:rsidRPr="00226F9D">
        <w:rPr>
          <w:rFonts w:ascii="Times New Roman" w:eastAsia="Times New Roman" w:hAnsi="Times New Roman" w:cs="Times New Roman"/>
          <w:kern w:val="0"/>
          <w:lang w:val="sr-Cyrl-RS" w:eastAsia="de-CH"/>
          <w14:ligatures w14:val="none"/>
        </w:rPr>
        <w:t>ПРСЛС 2021-2025</w:t>
      </w:r>
      <w:r w:rsidR="00DE2386" w:rsidRPr="00226F9D">
        <w:rPr>
          <w:rFonts w:ascii="Times New Roman" w:eastAsia="Times New Roman" w:hAnsi="Times New Roman" w:cs="Times New Roman"/>
          <w:kern w:val="0"/>
          <w:lang w:val="sr-Cyrl-RS" w:eastAsia="de-CH"/>
          <w14:ligatures w14:val="none"/>
        </w:rPr>
        <w:t xml:space="preserve">, аргументован је </w:t>
      </w:r>
      <w:r w:rsidR="00153427" w:rsidRPr="00226F9D">
        <w:rPr>
          <w:rFonts w:ascii="Times New Roman" w:eastAsia="Times New Roman" w:hAnsi="Times New Roman" w:cs="Times New Roman"/>
          <w:kern w:val="0"/>
          <w:lang w:val="sr-Cyrl-RS" w:eastAsia="de-CH"/>
          <w14:ligatures w14:val="none"/>
        </w:rPr>
        <w:t xml:space="preserve">и опредељен избор опције </w:t>
      </w:r>
      <w:r w:rsidR="005D1A37" w:rsidRPr="00226F9D">
        <w:rPr>
          <w:rFonts w:ascii="Times New Roman" w:eastAsia="Times New Roman" w:hAnsi="Times New Roman" w:cs="Times New Roman"/>
          <w:kern w:val="0"/>
          <w:lang w:val="sr-Cyrl-RS" w:eastAsia="de-CH"/>
          <w14:ligatures w14:val="none"/>
        </w:rPr>
        <w:t xml:space="preserve">која потенцира </w:t>
      </w:r>
      <w:r w:rsidR="00C46A67" w:rsidRPr="00226F9D">
        <w:rPr>
          <w:rFonts w:ascii="Times New Roman" w:eastAsia="Times New Roman" w:hAnsi="Times New Roman" w:cs="Times New Roman"/>
          <w:i/>
          <w:iCs/>
          <w:kern w:val="0"/>
          <w:lang w:val="sr-Cyrl-RS" w:eastAsia="de-CH"/>
          <w14:ligatures w14:val="none"/>
        </w:rPr>
        <w:t>измене законског оквира и паралелно јачање капацитета ЈЛС који побољшавају примену принципа доброг управљања</w:t>
      </w:r>
      <w:r w:rsidR="00C46A67" w:rsidRPr="00226F9D">
        <w:rPr>
          <w:rFonts w:ascii="Times New Roman" w:eastAsia="Times New Roman" w:hAnsi="Times New Roman" w:cs="Times New Roman"/>
          <w:kern w:val="0"/>
          <w:lang w:val="sr-Cyrl-RS" w:eastAsia="de-CH"/>
          <w14:ligatures w14:val="none"/>
        </w:rPr>
        <w:t>.</w:t>
      </w:r>
      <w:r w:rsidR="00DE2386" w:rsidRPr="00226F9D">
        <w:rPr>
          <w:rFonts w:ascii="Times New Roman" w:eastAsia="Times New Roman" w:hAnsi="Times New Roman" w:cs="Times New Roman"/>
          <w:kern w:val="0"/>
          <w:lang w:val="sr-Cyrl-RS" w:eastAsia="de-CH"/>
          <w14:ligatures w14:val="none"/>
        </w:rPr>
        <w:t xml:space="preserve"> </w:t>
      </w:r>
      <w:r w:rsidR="000038A6" w:rsidRPr="00226F9D">
        <w:rPr>
          <w:rFonts w:ascii="Times New Roman" w:eastAsia="Times New Roman" w:hAnsi="Times New Roman" w:cs="Times New Roman"/>
          <w:kern w:val="0"/>
          <w:lang w:val="sr-Cyrl-RS" w:eastAsia="de-CH"/>
          <w14:ligatures w14:val="none"/>
        </w:rPr>
        <w:t>О</w:t>
      </w:r>
      <w:r w:rsidR="001D3CEA" w:rsidRPr="00226F9D">
        <w:rPr>
          <w:rFonts w:ascii="Times New Roman" w:eastAsia="Times New Roman" w:hAnsi="Times New Roman" w:cs="Times New Roman"/>
          <w:kern w:val="0"/>
          <w:lang w:val="sr-Cyrl-RS" w:eastAsia="de-CH"/>
          <w14:ligatures w14:val="none"/>
        </w:rPr>
        <w:t xml:space="preserve">ва опција остаје у потпуности валидна </w:t>
      </w:r>
      <w:r w:rsidR="00AC30BA" w:rsidRPr="00226F9D">
        <w:rPr>
          <w:rFonts w:ascii="Times New Roman" w:eastAsia="Times New Roman" w:hAnsi="Times New Roman" w:cs="Times New Roman"/>
          <w:kern w:val="0"/>
          <w:lang w:val="sr-Cyrl-RS" w:eastAsia="de-CH"/>
          <w14:ligatures w14:val="none"/>
        </w:rPr>
        <w:t>за нови програмски период</w:t>
      </w:r>
      <w:r w:rsidR="00B52B57" w:rsidRPr="00226F9D">
        <w:rPr>
          <w:rFonts w:ascii="Times New Roman" w:eastAsia="Times New Roman" w:hAnsi="Times New Roman" w:cs="Times New Roman"/>
          <w:kern w:val="0"/>
          <w:lang w:val="sr-Cyrl-RS" w:eastAsia="de-CH"/>
          <w14:ligatures w14:val="none"/>
        </w:rPr>
        <w:t xml:space="preserve">, уз консолидовање </w:t>
      </w:r>
      <w:r w:rsidR="000038A6" w:rsidRPr="00226F9D">
        <w:rPr>
          <w:rFonts w:ascii="Times New Roman" w:eastAsia="Times New Roman" w:hAnsi="Times New Roman" w:cs="Times New Roman"/>
          <w:kern w:val="0"/>
          <w:lang w:val="sr-Cyrl-RS" w:eastAsia="de-CH"/>
          <w14:ligatures w14:val="none"/>
        </w:rPr>
        <w:t>сета мера</w:t>
      </w:r>
      <w:r w:rsidR="00FD74D7" w:rsidRPr="00226F9D">
        <w:rPr>
          <w:rFonts w:ascii="Times New Roman" w:eastAsia="Times New Roman" w:hAnsi="Times New Roman" w:cs="Times New Roman"/>
          <w:kern w:val="0"/>
          <w:lang w:val="sr-Cyrl-RS" w:eastAsia="de-CH"/>
          <w14:ligatures w14:val="none"/>
        </w:rPr>
        <w:t xml:space="preserve"> руковођено</w:t>
      </w:r>
      <w:r w:rsidR="00282510" w:rsidRPr="00226F9D">
        <w:rPr>
          <w:rFonts w:ascii="Times New Roman" w:eastAsia="Times New Roman" w:hAnsi="Times New Roman" w:cs="Times New Roman"/>
          <w:kern w:val="0"/>
          <w:lang w:val="sr-Cyrl-RS" w:eastAsia="de-CH"/>
          <w14:ligatures w14:val="none"/>
        </w:rPr>
        <w:t>:</w:t>
      </w:r>
      <w:r w:rsidR="00FD74D7" w:rsidRPr="00226F9D">
        <w:rPr>
          <w:rFonts w:ascii="Times New Roman" w:eastAsia="Times New Roman" w:hAnsi="Times New Roman" w:cs="Times New Roman"/>
          <w:kern w:val="0"/>
          <w:lang w:val="sr-Cyrl-RS" w:eastAsia="de-CH"/>
          <w14:ligatures w14:val="none"/>
        </w:rPr>
        <w:t xml:space="preserve"> искуствима стеченим у </w:t>
      </w:r>
      <w:r w:rsidR="00860085" w:rsidRPr="00226F9D">
        <w:rPr>
          <w:rFonts w:ascii="Times New Roman" w:eastAsia="Times New Roman" w:hAnsi="Times New Roman" w:cs="Times New Roman"/>
          <w:kern w:val="0"/>
          <w:lang w:val="sr-Cyrl-RS" w:eastAsia="de-CH"/>
          <w14:ligatures w14:val="none"/>
        </w:rPr>
        <w:t>спровођењу претходног Програма</w:t>
      </w:r>
      <w:r w:rsidR="00282510" w:rsidRPr="00226F9D">
        <w:rPr>
          <w:rFonts w:ascii="Times New Roman" w:eastAsia="Times New Roman" w:hAnsi="Times New Roman" w:cs="Times New Roman"/>
          <w:kern w:val="0"/>
          <w:lang w:val="sr-Cyrl-RS" w:eastAsia="de-CH"/>
          <w14:ligatures w14:val="none"/>
        </w:rPr>
        <w:t>;</w:t>
      </w:r>
      <w:r w:rsidR="00A16748" w:rsidRPr="00226F9D">
        <w:rPr>
          <w:rFonts w:ascii="Times New Roman" w:eastAsia="Times New Roman" w:hAnsi="Times New Roman" w:cs="Times New Roman"/>
          <w:kern w:val="0"/>
          <w:lang w:val="sr-Cyrl-RS" w:eastAsia="de-CH"/>
          <w14:ligatures w14:val="none"/>
        </w:rPr>
        <w:t xml:space="preserve"> </w:t>
      </w:r>
      <w:r w:rsidR="00CE0A57" w:rsidRPr="00226F9D">
        <w:rPr>
          <w:rFonts w:ascii="Times New Roman" w:eastAsia="Times New Roman" w:hAnsi="Times New Roman" w:cs="Times New Roman"/>
          <w:kern w:val="0"/>
          <w:lang w:val="sr-Cyrl-RS" w:eastAsia="de-CH"/>
          <w14:ligatures w14:val="none"/>
        </w:rPr>
        <w:t xml:space="preserve">смањењем комплексности и </w:t>
      </w:r>
      <w:r w:rsidR="003A7A80" w:rsidRPr="00226F9D">
        <w:rPr>
          <w:rFonts w:ascii="Times New Roman" w:eastAsia="Times New Roman" w:hAnsi="Times New Roman" w:cs="Times New Roman"/>
          <w:kern w:val="0"/>
          <w:lang w:val="sr-Cyrl-RS" w:eastAsia="de-CH"/>
          <w14:ligatures w14:val="none"/>
        </w:rPr>
        <w:t xml:space="preserve">бољим фокусирањем </w:t>
      </w:r>
      <w:r w:rsidR="00455179" w:rsidRPr="00226F9D">
        <w:rPr>
          <w:rFonts w:ascii="Times New Roman" w:eastAsia="Times New Roman" w:hAnsi="Times New Roman" w:cs="Times New Roman"/>
          <w:kern w:val="0"/>
          <w:lang w:val="sr-Cyrl-RS" w:eastAsia="de-CH"/>
          <w14:ligatures w14:val="none"/>
        </w:rPr>
        <w:t>планова и ресурса</w:t>
      </w:r>
      <w:r w:rsidR="00282510" w:rsidRPr="00226F9D">
        <w:rPr>
          <w:rFonts w:ascii="Times New Roman" w:eastAsia="Times New Roman" w:hAnsi="Times New Roman" w:cs="Times New Roman"/>
          <w:kern w:val="0"/>
          <w:lang w:val="sr-Cyrl-RS" w:eastAsia="de-CH"/>
          <w14:ligatures w14:val="none"/>
        </w:rPr>
        <w:t xml:space="preserve">; </w:t>
      </w:r>
      <w:r w:rsidR="002252CA" w:rsidRPr="00226F9D">
        <w:rPr>
          <w:rFonts w:ascii="Times New Roman" w:eastAsia="Times New Roman" w:hAnsi="Times New Roman" w:cs="Times New Roman"/>
          <w:kern w:val="0"/>
          <w:lang w:val="sr-Cyrl-RS" w:eastAsia="de-CH"/>
          <w14:ligatures w14:val="none"/>
        </w:rPr>
        <w:t xml:space="preserve">адресирањем </w:t>
      </w:r>
      <w:r w:rsidR="008E3155" w:rsidRPr="00226F9D">
        <w:rPr>
          <w:rFonts w:ascii="Times New Roman" w:eastAsia="Times New Roman" w:hAnsi="Times New Roman" w:cs="Times New Roman"/>
          <w:kern w:val="0"/>
          <w:lang w:val="sr-Cyrl-RS" w:eastAsia="de-CH"/>
          <w14:ligatures w14:val="none"/>
        </w:rPr>
        <w:t xml:space="preserve">налаза/препорука </w:t>
      </w:r>
      <w:r w:rsidR="008E3155" w:rsidRPr="00226F9D">
        <w:rPr>
          <w:rFonts w:ascii="Times New Roman" w:eastAsia="Times New Roman" w:hAnsi="Times New Roman" w:cs="Times New Roman"/>
          <w:kern w:val="0"/>
          <w:lang w:val="sr-Cyrl-RS" w:eastAsia="de-CH"/>
          <w14:ligatures w14:val="none"/>
        </w:rPr>
        <w:lastRenderedPageBreak/>
        <w:t>СИГМА</w:t>
      </w:r>
      <w:r w:rsidR="005F296E" w:rsidRPr="00226F9D">
        <w:rPr>
          <w:rFonts w:ascii="Times New Roman" w:eastAsia="Times New Roman" w:hAnsi="Times New Roman" w:cs="Times New Roman"/>
          <w:kern w:val="0"/>
          <w:lang w:val="sr-Cyrl-RS" w:eastAsia="de-CH"/>
          <w14:ligatures w14:val="none"/>
        </w:rPr>
        <w:t xml:space="preserve">. Упоредни преглед </w:t>
      </w:r>
      <w:r w:rsidR="00403C56" w:rsidRPr="00226F9D">
        <w:rPr>
          <w:rFonts w:ascii="Times New Roman" w:eastAsia="Times New Roman" w:hAnsi="Times New Roman" w:cs="Times New Roman"/>
          <w:kern w:val="0"/>
          <w:lang w:val="sr-Cyrl-RS" w:eastAsia="de-CH"/>
          <w14:ligatures w14:val="none"/>
        </w:rPr>
        <w:t xml:space="preserve">сетова мера као опција претходног и новог Програма </w:t>
      </w:r>
      <w:r w:rsidR="00D66225" w:rsidRPr="00226F9D">
        <w:rPr>
          <w:rFonts w:ascii="Times New Roman" w:eastAsia="Times New Roman" w:hAnsi="Times New Roman" w:cs="Times New Roman"/>
          <w:kern w:val="0"/>
          <w:lang w:val="sr-Cyrl-RS" w:eastAsia="de-CH"/>
          <w14:ligatures w14:val="none"/>
        </w:rPr>
        <w:t>за достизање Посебног циља 1 је како следи:</w:t>
      </w:r>
    </w:p>
    <w:p w14:paraId="0D453CCB" w14:textId="77777777" w:rsidR="00480CF9" w:rsidRPr="00226F9D" w:rsidRDefault="00480CF9" w:rsidP="00090884">
      <w:pPr>
        <w:spacing w:after="0" w:line="240" w:lineRule="auto"/>
        <w:jc w:val="both"/>
        <w:rPr>
          <w:rFonts w:ascii="Times New Roman" w:eastAsia="Times New Roman" w:hAnsi="Times New Roman" w:cs="Times New Roman"/>
          <w:color w:val="EE0000"/>
          <w:kern w:val="0"/>
          <w:lang w:val="sr-Cyrl-RS" w:eastAsia="de-CH"/>
          <w14:ligatures w14:val="none"/>
        </w:rPr>
      </w:pPr>
    </w:p>
    <w:tbl>
      <w:tblPr>
        <w:tblStyle w:val="TableGrid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1"/>
        <w:gridCol w:w="420"/>
        <w:gridCol w:w="4601"/>
      </w:tblGrid>
      <w:tr w:rsidR="00C161F9" w:rsidRPr="00226F9D" w14:paraId="54243BD9" w14:textId="77777777" w:rsidTr="00A36864">
        <w:trPr>
          <w:tblHeader/>
          <w:jc w:val="center"/>
        </w:trPr>
        <w:tc>
          <w:tcPr>
            <w:tcW w:w="5000" w:type="pct"/>
            <w:gridSpan w:val="3"/>
            <w:shd w:val="clear" w:color="auto" w:fill="FFCE3C"/>
          </w:tcPr>
          <w:p w14:paraId="4DD3DF24" w14:textId="69111DFE" w:rsidR="00C161F9" w:rsidRPr="00226F9D" w:rsidRDefault="00C161F9" w:rsidP="00724F50">
            <w:pPr>
              <w:jc w:val="center"/>
              <w:rPr>
                <w:rFonts w:ascii="Times New Roman" w:eastAsia="Times New Roman" w:hAnsi="Times New Roman" w:cs="Times New Roman"/>
                <w:i/>
                <w:iCs/>
                <w:color w:val="EE0000"/>
                <w:sz w:val="20"/>
                <w:szCs w:val="20"/>
                <w:lang w:val="sr-Cyrl-RS" w:eastAsia="en-GB"/>
              </w:rPr>
            </w:pPr>
            <w:r w:rsidRPr="00226F9D">
              <w:rPr>
                <w:rFonts w:ascii="Times New Roman" w:eastAsia="Times New Roman" w:hAnsi="Times New Roman" w:cs="Times New Roman"/>
                <w:i/>
                <w:iCs/>
                <w:sz w:val="20"/>
                <w:szCs w:val="20"/>
                <w:lang w:val="sr-Cyrl-RS" w:eastAsia="en-GB"/>
              </w:rPr>
              <w:t>Опција: измене законског оквира и јачање капацитета ЈЛС који побољшавају примену принципа доброг управљања</w:t>
            </w:r>
          </w:p>
        </w:tc>
      </w:tr>
      <w:tr w:rsidR="00227027" w:rsidRPr="00226F9D" w14:paraId="671BE928" w14:textId="77777777" w:rsidTr="00A36864">
        <w:trPr>
          <w:tblHeader/>
          <w:jc w:val="center"/>
        </w:trPr>
        <w:tc>
          <w:tcPr>
            <w:tcW w:w="2391" w:type="pct"/>
            <w:shd w:val="clear" w:color="auto" w:fill="FFCE3C"/>
          </w:tcPr>
          <w:p w14:paraId="3512295D" w14:textId="69064127" w:rsidR="00227027" w:rsidRPr="00226F9D" w:rsidRDefault="00227027" w:rsidP="00C026E7">
            <w:pPr>
              <w:jc w:val="both"/>
              <w:rPr>
                <w:rFonts w:ascii="Times New Roman" w:eastAsia="Times New Roman" w:hAnsi="Times New Roman" w:cs="Times New Roman"/>
                <w:color w:val="EE0000"/>
                <w:sz w:val="20"/>
                <w:szCs w:val="20"/>
                <w:lang w:val="sr-Cyrl-RS" w:eastAsia="en-GB"/>
              </w:rPr>
            </w:pPr>
            <w:r w:rsidRPr="00226F9D">
              <w:rPr>
                <w:rFonts w:ascii="Times New Roman" w:eastAsia="Times New Roman" w:hAnsi="Times New Roman" w:cs="Times New Roman"/>
                <w:i/>
                <w:iCs/>
                <w:sz w:val="20"/>
                <w:szCs w:val="20"/>
                <w:lang w:val="sr-Latn-RS" w:eastAsia="en-GB"/>
              </w:rPr>
              <w:t>Status quo</w:t>
            </w:r>
            <w:r w:rsidRPr="00226F9D">
              <w:rPr>
                <w:rFonts w:ascii="Times New Roman" w:eastAsia="Times New Roman" w:hAnsi="Times New Roman" w:cs="Times New Roman"/>
                <w:sz w:val="20"/>
                <w:szCs w:val="20"/>
                <w:lang w:val="sr-Latn-RS" w:eastAsia="en-GB"/>
              </w:rPr>
              <w:t xml:space="preserve"> – </w:t>
            </w:r>
            <w:r w:rsidRPr="00226F9D">
              <w:rPr>
                <w:rFonts w:ascii="Times New Roman" w:eastAsia="Times New Roman" w:hAnsi="Times New Roman" w:cs="Times New Roman"/>
                <w:sz w:val="20"/>
                <w:szCs w:val="20"/>
                <w:lang w:val="sr-Cyrl-RS" w:eastAsia="en-GB"/>
              </w:rPr>
              <w:t>сет мера за ПЦ 1 ПРСЛС 2021-2025</w:t>
            </w:r>
          </w:p>
        </w:tc>
        <w:tc>
          <w:tcPr>
            <w:tcW w:w="218" w:type="pct"/>
            <w:vMerge w:val="restart"/>
            <w:tcBorders>
              <w:bottom w:val="nil"/>
            </w:tcBorders>
          </w:tcPr>
          <w:p w14:paraId="2688E1E9" w14:textId="77777777" w:rsidR="00227027" w:rsidRPr="00226F9D" w:rsidRDefault="00227027" w:rsidP="00C026E7">
            <w:pPr>
              <w:jc w:val="both"/>
              <w:rPr>
                <w:rFonts w:ascii="Times New Roman" w:eastAsia="Times New Roman" w:hAnsi="Times New Roman" w:cs="Times New Roman"/>
                <w:i/>
                <w:iCs/>
                <w:color w:val="EE0000"/>
                <w:sz w:val="20"/>
                <w:szCs w:val="20"/>
                <w:lang w:val="sr-Cyrl-RS" w:eastAsia="en-GB"/>
              </w:rPr>
            </w:pPr>
          </w:p>
        </w:tc>
        <w:tc>
          <w:tcPr>
            <w:tcW w:w="2391" w:type="pct"/>
            <w:shd w:val="clear" w:color="auto" w:fill="FFCE3C"/>
          </w:tcPr>
          <w:p w14:paraId="428E45E3" w14:textId="589D5313" w:rsidR="00227027" w:rsidRPr="00226F9D" w:rsidRDefault="00227027" w:rsidP="00C026E7">
            <w:pPr>
              <w:jc w:val="both"/>
              <w:rPr>
                <w:rFonts w:ascii="Times New Roman" w:eastAsia="Times New Roman" w:hAnsi="Times New Roman" w:cs="Times New Roman"/>
                <w:color w:val="EE0000"/>
                <w:sz w:val="20"/>
                <w:szCs w:val="20"/>
                <w:lang w:val="sr-Cyrl-RS" w:eastAsia="en-GB"/>
              </w:rPr>
            </w:pPr>
            <w:r w:rsidRPr="00226F9D">
              <w:rPr>
                <w:rFonts w:ascii="Times New Roman" w:eastAsia="Times New Roman" w:hAnsi="Times New Roman" w:cs="Times New Roman"/>
                <w:i/>
                <w:iCs/>
                <w:sz w:val="20"/>
                <w:szCs w:val="20"/>
                <w:lang w:val="sr-Cyrl-RS" w:eastAsia="en-GB"/>
              </w:rPr>
              <w:t xml:space="preserve">Умерени даљи реформски приступ – </w:t>
            </w:r>
            <w:r w:rsidRPr="00226F9D">
              <w:rPr>
                <w:rFonts w:ascii="Times New Roman" w:eastAsia="Times New Roman" w:hAnsi="Times New Roman" w:cs="Times New Roman"/>
                <w:sz w:val="20"/>
                <w:szCs w:val="20"/>
                <w:lang w:val="sr-Cyrl-RS" w:eastAsia="en-GB"/>
              </w:rPr>
              <w:t>сет мера за ПЦ 1 ПРСЛС 2026-2030</w:t>
            </w:r>
          </w:p>
        </w:tc>
      </w:tr>
      <w:tr w:rsidR="00413FE2" w:rsidRPr="00226F9D" w14:paraId="4150BE85" w14:textId="77777777" w:rsidTr="00A36864">
        <w:trPr>
          <w:jc w:val="center"/>
        </w:trPr>
        <w:tc>
          <w:tcPr>
            <w:tcW w:w="2391" w:type="pct"/>
          </w:tcPr>
          <w:p w14:paraId="4CA6131F" w14:textId="2589023D" w:rsidR="00413FE2" w:rsidRPr="00226F9D" w:rsidRDefault="00413FE2"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1.1</w:t>
            </w:r>
            <w:r w:rsidRPr="00226F9D">
              <w:rPr>
                <w:rFonts w:ascii="Times New Roman" w:eastAsia="Times New Roman" w:hAnsi="Times New Roman" w:cs="Times New Roman"/>
                <w:sz w:val="20"/>
                <w:szCs w:val="20"/>
                <w:lang w:val="sr-Cyrl-RS" w:eastAsia="en-GB"/>
              </w:rPr>
              <w:t>: Наставак усклађивања правног оквира Републике Србије за локалну самоуправу са принципима Европске повеље о локалној самоуправи</w:t>
            </w:r>
          </w:p>
        </w:tc>
        <w:tc>
          <w:tcPr>
            <w:tcW w:w="218" w:type="pct"/>
            <w:vMerge/>
            <w:tcBorders>
              <w:bottom w:val="nil"/>
            </w:tcBorders>
          </w:tcPr>
          <w:p w14:paraId="5EEAF7C6" w14:textId="77777777" w:rsidR="00413FE2" w:rsidRPr="00226F9D" w:rsidRDefault="00413FE2" w:rsidP="00C026E7">
            <w:pPr>
              <w:jc w:val="both"/>
              <w:rPr>
                <w:rFonts w:ascii="Times New Roman" w:eastAsia="Times New Roman" w:hAnsi="Times New Roman" w:cs="Times New Roman"/>
                <w:sz w:val="20"/>
                <w:szCs w:val="20"/>
                <w:lang w:val="sr-Cyrl-RS" w:eastAsia="en-GB"/>
              </w:rPr>
            </w:pPr>
          </w:p>
        </w:tc>
        <w:tc>
          <w:tcPr>
            <w:tcW w:w="2391" w:type="pct"/>
            <w:vMerge w:val="restart"/>
          </w:tcPr>
          <w:p w14:paraId="500D8C0D" w14:textId="77777777" w:rsidR="00413FE2" w:rsidRPr="00226F9D" w:rsidRDefault="00413FE2"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1.1:</w:t>
            </w:r>
            <w:r w:rsidRPr="00226F9D">
              <w:rPr>
                <w:rFonts w:ascii="Times New Roman" w:eastAsia="Times New Roman" w:hAnsi="Times New Roman" w:cs="Times New Roman"/>
                <w:sz w:val="20"/>
                <w:szCs w:val="20"/>
                <w:lang w:val="sr-Cyrl-RS" w:eastAsia="en-GB"/>
              </w:rPr>
              <w:t xml:space="preserve"> Реформа системског правног оквира за остваривање локалне самоуправе у Републици Србији</w:t>
            </w:r>
          </w:p>
          <w:p w14:paraId="2EE27935" w14:textId="388C588D" w:rsidR="00413FE2" w:rsidRPr="00226F9D" w:rsidRDefault="00413FE2" w:rsidP="00C026E7">
            <w:pPr>
              <w:jc w:val="both"/>
              <w:rPr>
                <w:rFonts w:ascii="Times New Roman" w:eastAsia="Times New Roman" w:hAnsi="Times New Roman" w:cs="Times New Roman"/>
                <w:sz w:val="20"/>
                <w:szCs w:val="20"/>
                <w:lang w:val="sr-Cyrl-RS" w:eastAsia="en-GB"/>
              </w:rPr>
            </w:pPr>
          </w:p>
        </w:tc>
      </w:tr>
      <w:tr w:rsidR="00413FE2" w:rsidRPr="00226F9D" w14:paraId="0700DD52" w14:textId="77777777" w:rsidTr="00A36864">
        <w:trPr>
          <w:jc w:val="center"/>
        </w:trPr>
        <w:tc>
          <w:tcPr>
            <w:tcW w:w="2391" w:type="pct"/>
          </w:tcPr>
          <w:p w14:paraId="34591F9E" w14:textId="5826F62D" w:rsidR="00413FE2" w:rsidRPr="00226F9D" w:rsidRDefault="00413FE2"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1.2</w:t>
            </w:r>
            <w:r w:rsidRPr="00226F9D">
              <w:rPr>
                <w:rFonts w:ascii="Times New Roman" w:eastAsia="Times New Roman" w:hAnsi="Times New Roman" w:cs="Times New Roman"/>
                <w:sz w:val="20"/>
                <w:szCs w:val="20"/>
                <w:lang w:val="sr-Cyrl-RS" w:eastAsia="en-GB"/>
              </w:rPr>
              <w:t>: Унапређење изборног система и јачање капацитета локалне администрације за спровођење локалних избора</w:t>
            </w:r>
          </w:p>
        </w:tc>
        <w:tc>
          <w:tcPr>
            <w:tcW w:w="218" w:type="pct"/>
            <w:vMerge/>
            <w:tcBorders>
              <w:bottom w:val="nil"/>
            </w:tcBorders>
          </w:tcPr>
          <w:p w14:paraId="473C62B1" w14:textId="77777777" w:rsidR="00413FE2" w:rsidRPr="00226F9D" w:rsidRDefault="00413FE2" w:rsidP="00C026E7">
            <w:pPr>
              <w:jc w:val="both"/>
              <w:rPr>
                <w:rFonts w:ascii="Times New Roman" w:eastAsia="Times New Roman" w:hAnsi="Times New Roman" w:cs="Times New Roman"/>
                <w:sz w:val="20"/>
                <w:szCs w:val="20"/>
                <w:lang w:val="sr-Cyrl-RS" w:eastAsia="en-GB"/>
              </w:rPr>
            </w:pPr>
          </w:p>
        </w:tc>
        <w:tc>
          <w:tcPr>
            <w:tcW w:w="2391" w:type="pct"/>
            <w:vMerge/>
          </w:tcPr>
          <w:p w14:paraId="5B41D122" w14:textId="03CE848C" w:rsidR="00413FE2" w:rsidRPr="00226F9D" w:rsidRDefault="00413FE2" w:rsidP="00C026E7">
            <w:pPr>
              <w:jc w:val="both"/>
              <w:rPr>
                <w:rFonts w:ascii="Times New Roman" w:eastAsia="Times New Roman" w:hAnsi="Times New Roman" w:cs="Times New Roman"/>
                <w:sz w:val="20"/>
                <w:szCs w:val="20"/>
                <w:lang w:val="sr-Cyrl-RS" w:eastAsia="en-GB"/>
              </w:rPr>
            </w:pPr>
          </w:p>
        </w:tc>
      </w:tr>
      <w:tr w:rsidR="00413FE2" w:rsidRPr="00226F9D" w14:paraId="2365ADFB" w14:textId="77777777" w:rsidTr="00A36864">
        <w:trPr>
          <w:jc w:val="center"/>
        </w:trPr>
        <w:tc>
          <w:tcPr>
            <w:tcW w:w="2391" w:type="pct"/>
          </w:tcPr>
          <w:p w14:paraId="39B1934D" w14:textId="07ADB316" w:rsidR="00413FE2" w:rsidRPr="00226F9D" w:rsidRDefault="00413FE2"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1.3</w:t>
            </w:r>
            <w:r w:rsidRPr="00226F9D">
              <w:rPr>
                <w:rFonts w:ascii="Times New Roman" w:eastAsia="Times New Roman" w:hAnsi="Times New Roman" w:cs="Times New Roman"/>
                <w:sz w:val="20"/>
                <w:szCs w:val="20"/>
                <w:lang w:val="sr-Cyrl-RS" w:eastAsia="en-GB"/>
              </w:rPr>
              <w:t>: Унапређење правног оквира и процедура за непосредно учешће грађана у управљању локалном самоуправом</w:t>
            </w:r>
          </w:p>
        </w:tc>
        <w:tc>
          <w:tcPr>
            <w:tcW w:w="218" w:type="pct"/>
            <w:vMerge/>
            <w:tcBorders>
              <w:bottom w:val="nil"/>
            </w:tcBorders>
          </w:tcPr>
          <w:p w14:paraId="65F04009" w14:textId="77777777" w:rsidR="00413FE2" w:rsidRPr="00226F9D" w:rsidRDefault="00413FE2" w:rsidP="00C026E7">
            <w:pPr>
              <w:jc w:val="both"/>
              <w:rPr>
                <w:rFonts w:ascii="Times New Roman" w:eastAsia="Times New Roman" w:hAnsi="Times New Roman" w:cs="Times New Roman"/>
                <w:sz w:val="20"/>
                <w:szCs w:val="20"/>
                <w:lang w:val="sr-Cyrl-RS" w:eastAsia="en-GB"/>
              </w:rPr>
            </w:pPr>
          </w:p>
        </w:tc>
        <w:tc>
          <w:tcPr>
            <w:tcW w:w="2391" w:type="pct"/>
            <w:vMerge w:val="restart"/>
          </w:tcPr>
          <w:p w14:paraId="4CE4EA46" w14:textId="77777777" w:rsidR="00413FE2" w:rsidRPr="00226F9D" w:rsidRDefault="00413FE2" w:rsidP="00413FE2">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1.2:</w:t>
            </w:r>
            <w:r w:rsidRPr="00226F9D">
              <w:rPr>
                <w:rFonts w:ascii="Times New Roman" w:eastAsia="Times New Roman" w:hAnsi="Times New Roman" w:cs="Times New Roman"/>
                <w:sz w:val="20"/>
                <w:szCs w:val="20"/>
                <w:lang w:val="sr-Cyrl-RS" w:eastAsia="en-GB"/>
              </w:rPr>
              <w:t xml:space="preserve"> Унапређење капацитета локалне администрације за примену системског правног оквира за локалну самоуправу</w:t>
            </w:r>
          </w:p>
          <w:p w14:paraId="6C6CC244" w14:textId="7B545C2B" w:rsidR="00413FE2" w:rsidRPr="00226F9D" w:rsidRDefault="00413FE2" w:rsidP="00C026E7">
            <w:pPr>
              <w:jc w:val="both"/>
              <w:rPr>
                <w:rFonts w:ascii="Times New Roman" w:eastAsia="Times New Roman" w:hAnsi="Times New Roman" w:cs="Times New Roman"/>
                <w:sz w:val="20"/>
                <w:szCs w:val="20"/>
                <w:lang w:val="sr-Cyrl-RS" w:eastAsia="en-GB"/>
              </w:rPr>
            </w:pPr>
          </w:p>
        </w:tc>
      </w:tr>
      <w:tr w:rsidR="00413FE2" w:rsidRPr="00226F9D" w14:paraId="760E44F2" w14:textId="77777777" w:rsidTr="00A36864">
        <w:trPr>
          <w:jc w:val="center"/>
        </w:trPr>
        <w:tc>
          <w:tcPr>
            <w:tcW w:w="2391" w:type="pct"/>
          </w:tcPr>
          <w:p w14:paraId="391FAA72" w14:textId="51D78C74" w:rsidR="00413FE2" w:rsidRPr="00226F9D" w:rsidRDefault="00413FE2"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1.4</w:t>
            </w:r>
            <w:r w:rsidRPr="00226F9D">
              <w:rPr>
                <w:rFonts w:ascii="Times New Roman" w:eastAsia="Times New Roman" w:hAnsi="Times New Roman" w:cs="Times New Roman"/>
                <w:sz w:val="20"/>
                <w:szCs w:val="20"/>
                <w:lang w:val="sr-Cyrl-RS" w:eastAsia="en-GB"/>
              </w:rPr>
              <w:t>: Унапређење учешћа локалне самоуправе у процесу израде националних прописа и јавних политика</w:t>
            </w:r>
          </w:p>
        </w:tc>
        <w:tc>
          <w:tcPr>
            <w:tcW w:w="218" w:type="pct"/>
            <w:vMerge/>
            <w:tcBorders>
              <w:bottom w:val="nil"/>
            </w:tcBorders>
          </w:tcPr>
          <w:p w14:paraId="7D60103B" w14:textId="77777777" w:rsidR="00413FE2" w:rsidRPr="00226F9D" w:rsidRDefault="00413FE2" w:rsidP="00C026E7">
            <w:pPr>
              <w:jc w:val="both"/>
              <w:rPr>
                <w:rFonts w:ascii="Times New Roman" w:eastAsia="Times New Roman" w:hAnsi="Times New Roman" w:cs="Times New Roman"/>
                <w:sz w:val="20"/>
                <w:szCs w:val="20"/>
                <w:lang w:val="sr-Cyrl-RS" w:eastAsia="en-GB"/>
              </w:rPr>
            </w:pPr>
          </w:p>
        </w:tc>
        <w:tc>
          <w:tcPr>
            <w:tcW w:w="2391" w:type="pct"/>
            <w:vMerge/>
          </w:tcPr>
          <w:p w14:paraId="0EDAAC3C" w14:textId="3E3B7F10" w:rsidR="00413FE2" w:rsidRPr="00226F9D" w:rsidRDefault="00413FE2" w:rsidP="00C026E7">
            <w:pPr>
              <w:jc w:val="both"/>
              <w:rPr>
                <w:rFonts w:ascii="Times New Roman" w:eastAsia="Times New Roman" w:hAnsi="Times New Roman" w:cs="Times New Roman"/>
                <w:sz w:val="20"/>
                <w:szCs w:val="20"/>
                <w:lang w:val="sr-Cyrl-RS" w:eastAsia="en-GB"/>
              </w:rPr>
            </w:pPr>
          </w:p>
        </w:tc>
      </w:tr>
      <w:tr w:rsidR="00413FE2" w:rsidRPr="00226F9D" w14:paraId="02227DA7" w14:textId="77777777" w:rsidTr="00A36864">
        <w:trPr>
          <w:jc w:val="center"/>
        </w:trPr>
        <w:tc>
          <w:tcPr>
            <w:tcW w:w="2391" w:type="pct"/>
          </w:tcPr>
          <w:p w14:paraId="62BD8DC8" w14:textId="1AF10B19" w:rsidR="00413FE2" w:rsidRPr="00226F9D" w:rsidRDefault="00413FE2"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1.5</w:t>
            </w:r>
            <w:r w:rsidRPr="00226F9D">
              <w:rPr>
                <w:rFonts w:ascii="Times New Roman" w:eastAsia="Times New Roman" w:hAnsi="Times New Roman" w:cs="Times New Roman"/>
                <w:sz w:val="20"/>
                <w:szCs w:val="20"/>
                <w:lang w:val="sr-Cyrl-RS" w:eastAsia="en-GB"/>
              </w:rPr>
              <w:t>: Даљи развој капацитета локалне самоуправе за примену принципа доброг управљања</w:t>
            </w:r>
          </w:p>
        </w:tc>
        <w:tc>
          <w:tcPr>
            <w:tcW w:w="218" w:type="pct"/>
            <w:vMerge/>
            <w:tcBorders>
              <w:bottom w:val="nil"/>
            </w:tcBorders>
          </w:tcPr>
          <w:p w14:paraId="0CB5C8B2" w14:textId="77777777" w:rsidR="00413FE2" w:rsidRPr="00226F9D" w:rsidRDefault="00413FE2" w:rsidP="00C026E7">
            <w:pPr>
              <w:jc w:val="both"/>
              <w:rPr>
                <w:rFonts w:ascii="Times New Roman" w:eastAsia="Times New Roman" w:hAnsi="Times New Roman" w:cs="Times New Roman"/>
                <w:sz w:val="20"/>
                <w:szCs w:val="20"/>
                <w:lang w:val="sr-Cyrl-RS" w:eastAsia="en-GB"/>
              </w:rPr>
            </w:pPr>
          </w:p>
        </w:tc>
        <w:tc>
          <w:tcPr>
            <w:tcW w:w="2391" w:type="pct"/>
            <w:vMerge w:val="restart"/>
          </w:tcPr>
          <w:p w14:paraId="1CF51B3C" w14:textId="7B2DDB75" w:rsidR="00413FE2" w:rsidRPr="00226F9D" w:rsidRDefault="00413FE2"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1.3:</w:t>
            </w:r>
            <w:r w:rsidRPr="00226F9D">
              <w:rPr>
                <w:rFonts w:ascii="Times New Roman" w:eastAsia="Times New Roman" w:hAnsi="Times New Roman" w:cs="Times New Roman"/>
                <w:sz w:val="20"/>
                <w:szCs w:val="20"/>
                <w:lang w:val="sr-Cyrl-RS" w:eastAsia="en-GB"/>
              </w:rPr>
              <w:t xml:space="preserve"> Унапређење примене принципа доброг управљања у локалној самоуправи</w:t>
            </w:r>
          </w:p>
        </w:tc>
      </w:tr>
      <w:tr w:rsidR="00413FE2" w:rsidRPr="00226F9D" w14:paraId="735D52AA" w14:textId="77777777" w:rsidTr="00A36864">
        <w:trPr>
          <w:jc w:val="center"/>
        </w:trPr>
        <w:tc>
          <w:tcPr>
            <w:tcW w:w="2391" w:type="pct"/>
          </w:tcPr>
          <w:p w14:paraId="63538CDE" w14:textId="10B8F144" w:rsidR="00413FE2" w:rsidRPr="00226F9D" w:rsidRDefault="00413FE2"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1.6</w:t>
            </w:r>
            <w:r w:rsidRPr="00226F9D">
              <w:rPr>
                <w:rFonts w:ascii="Times New Roman" w:eastAsia="Times New Roman" w:hAnsi="Times New Roman" w:cs="Times New Roman"/>
                <w:sz w:val="20"/>
                <w:szCs w:val="20"/>
                <w:lang w:val="sr-Cyrl-RS" w:eastAsia="en-GB"/>
              </w:rPr>
              <w:t>: Унапређење вертикалног и хоризонталног надзора у обављању изворних и поверених послова ЈЛС</w:t>
            </w:r>
          </w:p>
        </w:tc>
        <w:tc>
          <w:tcPr>
            <w:tcW w:w="218" w:type="pct"/>
            <w:vMerge/>
            <w:tcBorders>
              <w:bottom w:val="nil"/>
            </w:tcBorders>
          </w:tcPr>
          <w:p w14:paraId="457EDFD3" w14:textId="77777777" w:rsidR="00413FE2" w:rsidRPr="00226F9D" w:rsidRDefault="00413FE2" w:rsidP="00C026E7">
            <w:pPr>
              <w:jc w:val="both"/>
              <w:rPr>
                <w:rFonts w:ascii="Times New Roman" w:eastAsia="Times New Roman" w:hAnsi="Times New Roman" w:cs="Times New Roman"/>
                <w:sz w:val="20"/>
                <w:szCs w:val="20"/>
                <w:lang w:val="sr-Cyrl-RS" w:eastAsia="en-GB"/>
              </w:rPr>
            </w:pPr>
          </w:p>
        </w:tc>
        <w:tc>
          <w:tcPr>
            <w:tcW w:w="2391" w:type="pct"/>
            <w:vMerge/>
          </w:tcPr>
          <w:p w14:paraId="175001AF" w14:textId="429ABE2F" w:rsidR="00413FE2" w:rsidRPr="00226F9D" w:rsidRDefault="00413FE2" w:rsidP="00C026E7">
            <w:pPr>
              <w:jc w:val="both"/>
              <w:rPr>
                <w:rFonts w:ascii="Times New Roman" w:eastAsia="Times New Roman" w:hAnsi="Times New Roman" w:cs="Times New Roman"/>
                <w:sz w:val="20"/>
                <w:szCs w:val="20"/>
                <w:lang w:val="sr-Cyrl-RS" w:eastAsia="en-GB"/>
              </w:rPr>
            </w:pPr>
          </w:p>
        </w:tc>
      </w:tr>
    </w:tbl>
    <w:p w14:paraId="5C0C8E99" w14:textId="77777777" w:rsidR="00995E90" w:rsidRPr="00226F9D" w:rsidRDefault="00995E90" w:rsidP="00090884">
      <w:pPr>
        <w:spacing w:after="0" w:line="240" w:lineRule="auto"/>
        <w:jc w:val="both"/>
        <w:rPr>
          <w:rFonts w:ascii="Times New Roman" w:eastAsia="Times New Roman" w:hAnsi="Times New Roman" w:cs="Times New Roman"/>
          <w:kern w:val="0"/>
          <w:lang w:val="sr-Cyrl-RS" w:eastAsia="de-CH"/>
          <w14:ligatures w14:val="none"/>
        </w:rPr>
      </w:pPr>
    </w:p>
    <w:p w14:paraId="2525ABD5" w14:textId="165F2B4B" w:rsidR="001A7298" w:rsidRPr="00226F9D" w:rsidRDefault="00D932A2" w:rsidP="00090884">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П</w:t>
      </w:r>
      <w:r w:rsidR="00E6779E" w:rsidRPr="00226F9D">
        <w:rPr>
          <w:rFonts w:ascii="Times New Roman" w:eastAsia="Times New Roman" w:hAnsi="Times New Roman" w:cs="Times New Roman"/>
          <w:kern w:val="0"/>
          <w:lang w:val="sr-Cyrl-RS" w:eastAsia="de-CH"/>
          <w14:ligatures w14:val="none"/>
        </w:rPr>
        <w:t>остав</w:t>
      </w:r>
      <w:r w:rsidRPr="00226F9D">
        <w:rPr>
          <w:rFonts w:ascii="Times New Roman" w:eastAsia="Times New Roman" w:hAnsi="Times New Roman" w:cs="Times New Roman"/>
          <w:kern w:val="0"/>
          <w:lang w:val="sr-Cyrl-RS" w:eastAsia="de-CH"/>
          <w14:ligatures w14:val="none"/>
        </w:rPr>
        <w:t>ка</w:t>
      </w:r>
      <w:r w:rsidR="00E6779E" w:rsidRPr="00226F9D">
        <w:rPr>
          <w:rFonts w:ascii="Times New Roman" w:eastAsia="Times New Roman" w:hAnsi="Times New Roman" w:cs="Times New Roman"/>
          <w:kern w:val="0"/>
          <w:lang w:val="sr-Cyrl-RS" w:eastAsia="de-CH"/>
          <w14:ligatures w14:val="none"/>
        </w:rPr>
        <w:t xml:space="preserve"> мера новог Програма</w:t>
      </w:r>
      <w:r w:rsidR="00901E6C" w:rsidRPr="00226F9D">
        <w:rPr>
          <w:rFonts w:ascii="Times New Roman" w:eastAsia="Times New Roman" w:hAnsi="Times New Roman" w:cs="Times New Roman"/>
          <w:kern w:val="0"/>
          <w:lang w:val="sr-Cyrl-RS" w:eastAsia="de-CH"/>
          <w14:ligatures w14:val="none"/>
        </w:rPr>
        <w:t xml:space="preserve"> за П</w:t>
      </w:r>
      <w:r w:rsidR="00AB30EC" w:rsidRPr="00226F9D">
        <w:rPr>
          <w:rFonts w:ascii="Times New Roman" w:eastAsia="Times New Roman" w:hAnsi="Times New Roman" w:cs="Times New Roman"/>
          <w:kern w:val="0"/>
          <w:lang w:val="sr-Cyrl-RS" w:eastAsia="de-CH"/>
          <w14:ligatures w14:val="none"/>
        </w:rPr>
        <w:t xml:space="preserve">рограмски циљ </w:t>
      </w:r>
      <w:r w:rsidR="00901E6C" w:rsidRPr="00226F9D">
        <w:rPr>
          <w:rFonts w:ascii="Times New Roman" w:eastAsia="Times New Roman" w:hAnsi="Times New Roman" w:cs="Times New Roman"/>
          <w:kern w:val="0"/>
          <w:lang w:val="sr-Cyrl-RS" w:eastAsia="de-CH"/>
          <w14:ligatures w14:val="none"/>
        </w:rPr>
        <w:t>1</w:t>
      </w:r>
      <w:r w:rsidR="0034456B" w:rsidRPr="00226F9D">
        <w:rPr>
          <w:rFonts w:ascii="Times New Roman" w:eastAsia="Times New Roman" w:hAnsi="Times New Roman" w:cs="Times New Roman"/>
          <w:kern w:val="0"/>
          <w:lang w:val="sr-Cyrl-RS" w:eastAsia="de-CH"/>
          <w14:ligatures w14:val="none"/>
        </w:rPr>
        <w:t>:</w:t>
      </w:r>
      <w:r w:rsidR="00E6779E" w:rsidRPr="00226F9D">
        <w:rPr>
          <w:rFonts w:ascii="Times New Roman" w:eastAsia="Times New Roman" w:hAnsi="Times New Roman" w:cs="Times New Roman"/>
          <w:kern w:val="0"/>
          <w:lang w:val="sr-Cyrl-RS" w:eastAsia="de-CH"/>
          <w14:ligatures w14:val="none"/>
        </w:rPr>
        <w:t xml:space="preserve"> </w:t>
      </w:r>
      <w:r w:rsidR="00AB30EC" w:rsidRPr="00226F9D">
        <w:rPr>
          <w:rFonts w:ascii="Times New Roman" w:eastAsia="Times New Roman" w:hAnsi="Times New Roman" w:cs="Times New Roman"/>
          <w:kern w:val="0"/>
          <w:lang w:val="sr-Cyrl-RS" w:eastAsia="de-CH"/>
          <w14:ligatures w14:val="none"/>
        </w:rPr>
        <w:t>1)</w:t>
      </w:r>
      <w:r w:rsidR="00B97C8E" w:rsidRPr="00226F9D">
        <w:rPr>
          <w:rFonts w:ascii="Times New Roman" w:eastAsia="Times New Roman" w:hAnsi="Times New Roman" w:cs="Times New Roman"/>
          <w:kern w:val="0"/>
          <w:lang w:val="sr-Cyrl-RS" w:eastAsia="de-CH"/>
          <w14:ligatures w14:val="none"/>
        </w:rPr>
        <w:t xml:space="preserve"> </w:t>
      </w:r>
      <w:r w:rsidR="00B41145" w:rsidRPr="00226F9D">
        <w:rPr>
          <w:rFonts w:ascii="Times New Roman" w:eastAsia="Times New Roman" w:hAnsi="Times New Roman" w:cs="Times New Roman"/>
          <w:kern w:val="0"/>
          <w:lang w:val="sr-Cyrl-RS" w:eastAsia="de-CH"/>
          <w14:ligatures w14:val="none"/>
        </w:rPr>
        <w:t xml:space="preserve">уважава чињеницу да </w:t>
      </w:r>
      <w:r w:rsidR="009D303A" w:rsidRPr="00226F9D">
        <w:rPr>
          <w:rFonts w:ascii="Times New Roman" w:eastAsia="Times New Roman" w:hAnsi="Times New Roman" w:cs="Times New Roman"/>
          <w:kern w:val="0"/>
          <w:lang w:val="sr-Cyrl-RS" w:eastAsia="de-CH"/>
          <w14:ligatures w14:val="none"/>
        </w:rPr>
        <w:t xml:space="preserve">у претходном програмском </w:t>
      </w:r>
      <w:r w:rsidR="00BD446E" w:rsidRPr="00226F9D">
        <w:rPr>
          <w:rFonts w:ascii="Times New Roman" w:eastAsia="Times New Roman" w:hAnsi="Times New Roman" w:cs="Times New Roman"/>
          <w:kern w:val="0"/>
          <w:lang w:val="sr-Cyrl-RS" w:eastAsia="de-CH"/>
          <w14:ligatures w14:val="none"/>
        </w:rPr>
        <w:t xml:space="preserve">периоду није дошло до реализације </w:t>
      </w:r>
      <w:r w:rsidR="00806AF0" w:rsidRPr="00226F9D">
        <w:rPr>
          <w:rFonts w:ascii="Times New Roman" w:eastAsia="Times New Roman" w:hAnsi="Times New Roman" w:cs="Times New Roman"/>
          <w:kern w:val="0"/>
          <w:lang w:val="sr-Cyrl-RS" w:eastAsia="de-CH"/>
          <w14:ligatures w14:val="none"/>
        </w:rPr>
        <w:t xml:space="preserve">важних измена правног оквира </w:t>
      </w:r>
      <w:r w:rsidR="00D0168C" w:rsidRPr="00226F9D">
        <w:rPr>
          <w:rFonts w:ascii="Times New Roman" w:eastAsia="Times New Roman" w:hAnsi="Times New Roman" w:cs="Times New Roman"/>
          <w:kern w:val="0"/>
          <w:lang w:val="sr-Cyrl-RS" w:eastAsia="de-CH"/>
          <w14:ligatures w14:val="none"/>
        </w:rPr>
        <w:t xml:space="preserve">и наставља да инсистира на њима </w:t>
      </w:r>
      <w:r w:rsidR="001A1F80" w:rsidRPr="00226F9D">
        <w:rPr>
          <w:rFonts w:ascii="Times New Roman" w:eastAsia="Times New Roman" w:hAnsi="Times New Roman" w:cs="Times New Roman"/>
          <w:kern w:val="0"/>
          <w:lang w:val="sr-Cyrl-RS" w:eastAsia="de-CH"/>
          <w14:ligatures w14:val="none"/>
        </w:rPr>
        <w:t>појачава</w:t>
      </w:r>
      <w:r w:rsidR="00882C49" w:rsidRPr="00226F9D">
        <w:rPr>
          <w:rFonts w:ascii="Times New Roman" w:eastAsia="Times New Roman" w:hAnsi="Times New Roman" w:cs="Times New Roman"/>
          <w:kern w:val="0"/>
          <w:lang w:val="sr-Cyrl-RS" w:eastAsia="de-CH"/>
          <w14:ligatures w14:val="none"/>
        </w:rPr>
        <w:t>јући наг</w:t>
      </w:r>
      <w:r w:rsidR="002A1AB9" w:rsidRPr="00226F9D">
        <w:rPr>
          <w:rFonts w:ascii="Times New Roman" w:eastAsia="Times New Roman" w:hAnsi="Times New Roman" w:cs="Times New Roman"/>
          <w:kern w:val="0"/>
          <w:lang w:val="sr-Cyrl-RS" w:eastAsia="de-CH"/>
          <w14:ligatures w14:val="none"/>
        </w:rPr>
        <w:t>л</w:t>
      </w:r>
      <w:r w:rsidR="00882C49" w:rsidRPr="00226F9D">
        <w:rPr>
          <w:rFonts w:ascii="Times New Roman" w:eastAsia="Times New Roman" w:hAnsi="Times New Roman" w:cs="Times New Roman"/>
          <w:kern w:val="0"/>
          <w:lang w:val="sr-Cyrl-RS" w:eastAsia="de-CH"/>
          <w14:ligatures w14:val="none"/>
        </w:rPr>
        <w:t xml:space="preserve">асак </w:t>
      </w:r>
      <w:r w:rsidR="008C05D3" w:rsidRPr="00226F9D">
        <w:rPr>
          <w:rFonts w:ascii="Times New Roman" w:eastAsia="Times New Roman" w:hAnsi="Times New Roman" w:cs="Times New Roman"/>
          <w:kern w:val="0"/>
          <w:lang w:val="sr-Cyrl-RS" w:eastAsia="de-CH"/>
          <w14:ligatures w14:val="none"/>
        </w:rPr>
        <w:t>на аналитичкој подлози за такве измене</w:t>
      </w:r>
      <w:r w:rsidR="00F110AD" w:rsidRPr="00226F9D">
        <w:rPr>
          <w:rFonts w:ascii="Times New Roman" w:eastAsia="Times New Roman" w:hAnsi="Times New Roman" w:cs="Times New Roman"/>
          <w:kern w:val="0"/>
          <w:lang w:val="sr-Cyrl-RS" w:eastAsia="de-CH"/>
          <w14:ligatures w14:val="none"/>
        </w:rPr>
        <w:t xml:space="preserve"> (консолидација </w:t>
      </w:r>
      <w:r w:rsidR="0034456B" w:rsidRPr="00226F9D">
        <w:rPr>
          <w:rFonts w:ascii="Times New Roman" w:eastAsia="Times New Roman" w:hAnsi="Times New Roman" w:cs="Times New Roman"/>
          <w:kern w:val="0"/>
          <w:lang w:val="sr-Cyrl-RS" w:eastAsia="de-CH"/>
          <w14:ligatures w14:val="none"/>
        </w:rPr>
        <w:t xml:space="preserve">на нивоу мере 1.1); </w:t>
      </w:r>
      <w:r w:rsidR="00AB30EC" w:rsidRPr="00226F9D">
        <w:rPr>
          <w:rFonts w:ascii="Times New Roman" w:eastAsia="Times New Roman" w:hAnsi="Times New Roman" w:cs="Times New Roman"/>
          <w:kern w:val="0"/>
          <w:lang w:val="sr-Cyrl-RS" w:eastAsia="de-CH"/>
          <w14:ligatures w14:val="none"/>
        </w:rPr>
        <w:t>2)</w:t>
      </w:r>
      <w:r w:rsidR="00B97C8E" w:rsidRPr="00226F9D">
        <w:rPr>
          <w:rFonts w:ascii="Times New Roman" w:eastAsia="Times New Roman" w:hAnsi="Times New Roman" w:cs="Times New Roman"/>
          <w:kern w:val="0"/>
          <w:lang w:val="sr-Cyrl-RS" w:eastAsia="de-CH"/>
          <w14:ligatures w14:val="none"/>
        </w:rPr>
        <w:t xml:space="preserve"> </w:t>
      </w:r>
      <w:r w:rsidR="0034456B" w:rsidRPr="00226F9D">
        <w:rPr>
          <w:rFonts w:ascii="Times New Roman" w:eastAsia="Times New Roman" w:hAnsi="Times New Roman" w:cs="Times New Roman"/>
          <w:kern w:val="0"/>
          <w:lang w:val="sr-Cyrl-RS" w:eastAsia="de-CH"/>
          <w14:ligatures w14:val="none"/>
        </w:rPr>
        <w:t xml:space="preserve">предвиђа </w:t>
      </w:r>
      <w:r w:rsidR="00C05CBD" w:rsidRPr="00226F9D">
        <w:rPr>
          <w:rFonts w:ascii="Times New Roman" w:eastAsia="Times New Roman" w:hAnsi="Times New Roman" w:cs="Times New Roman"/>
          <w:kern w:val="0"/>
          <w:lang w:val="sr-Cyrl-RS" w:eastAsia="de-CH"/>
          <w14:ligatures w14:val="none"/>
        </w:rPr>
        <w:t xml:space="preserve">свеобухватну изградњу капацитета </w:t>
      </w:r>
      <w:r w:rsidR="009C7A6B" w:rsidRPr="00226F9D">
        <w:rPr>
          <w:rFonts w:ascii="Times New Roman" w:eastAsia="Times New Roman" w:hAnsi="Times New Roman" w:cs="Times New Roman"/>
          <w:kern w:val="0"/>
          <w:lang w:val="sr-Cyrl-RS" w:eastAsia="de-CH"/>
          <w14:ligatures w14:val="none"/>
        </w:rPr>
        <w:t xml:space="preserve">за носиоце активности у органима </w:t>
      </w:r>
      <w:r w:rsidR="00B635CF" w:rsidRPr="00226F9D">
        <w:rPr>
          <w:rFonts w:ascii="Times New Roman" w:eastAsia="Times New Roman" w:hAnsi="Times New Roman" w:cs="Times New Roman"/>
          <w:kern w:val="0"/>
          <w:lang w:val="sr-Cyrl-RS" w:eastAsia="de-CH"/>
          <w14:ligatures w14:val="none"/>
        </w:rPr>
        <w:t xml:space="preserve">градова и општина </w:t>
      </w:r>
      <w:r w:rsidR="00C86FD3" w:rsidRPr="00226F9D">
        <w:rPr>
          <w:rFonts w:ascii="Times New Roman" w:eastAsia="Times New Roman" w:hAnsi="Times New Roman" w:cs="Times New Roman"/>
          <w:kern w:val="0"/>
          <w:lang w:val="sr-Cyrl-RS" w:eastAsia="de-CH"/>
          <w14:ligatures w14:val="none"/>
        </w:rPr>
        <w:t xml:space="preserve">и оспособљавање за примену нових регулаторних решења </w:t>
      </w:r>
      <w:r w:rsidR="00D10F3F" w:rsidRPr="00226F9D">
        <w:rPr>
          <w:rFonts w:ascii="Times New Roman" w:eastAsia="Times New Roman" w:hAnsi="Times New Roman" w:cs="Times New Roman"/>
          <w:kern w:val="0"/>
          <w:lang w:val="sr-Cyrl-RS" w:eastAsia="de-CH"/>
          <w14:ligatures w14:val="none"/>
        </w:rPr>
        <w:t xml:space="preserve">(мера 1.2) </w:t>
      </w:r>
      <w:r w:rsidR="00C86FD3" w:rsidRPr="00226F9D">
        <w:rPr>
          <w:rFonts w:ascii="Times New Roman" w:eastAsia="Times New Roman" w:hAnsi="Times New Roman" w:cs="Times New Roman"/>
          <w:kern w:val="0"/>
          <w:lang w:val="sr-Cyrl-RS" w:eastAsia="de-CH"/>
          <w14:ligatures w14:val="none"/>
        </w:rPr>
        <w:t xml:space="preserve">– усклађено са периодима </w:t>
      </w:r>
      <w:r w:rsidR="00D10F3F" w:rsidRPr="00226F9D">
        <w:rPr>
          <w:rFonts w:ascii="Times New Roman" w:eastAsia="Times New Roman" w:hAnsi="Times New Roman" w:cs="Times New Roman"/>
          <w:kern w:val="0"/>
          <w:lang w:val="sr-Cyrl-RS" w:eastAsia="de-CH"/>
          <w14:ligatures w14:val="none"/>
        </w:rPr>
        <w:t>планир</w:t>
      </w:r>
      <w:r w:rsidR="004E250A" w:rsidRPr="00226F9D">
        <w:rPr>
          <w:rFonts w:ascii="Times New Roman" w:eastAsia="Times New Roman" w:hAnsi="Times New Roman" w:cs="Times New Roman"/>
          <w:kern w:val="0"/>
          <w:lang w:val="sr-Cyrl-RS" w:eastAsia="de-CH"/>
          <w14:ligatures w14:val="none"/>
        </w:rPr>
        <w:t>а</w:t>
      </w:r>
      <w:r w:rsidR="00D10F3F" w:rsidRPr="00226F9D">
        <w:rPr>
          <w:rFonts w:ascii="Times New Roman" w:eastAsia="Times New Roman" w:hAnsi="Times New Roman" w:cs="Times New Roman"/>
          <w:kern w:val="0"/>
          <w:lang w:val="sr-Cyrl-RS" w:eastAsia="de-CH"/>
          <w14:ligatures w14:val="none"/>
        </w:rPr>
        <w:t xml:space="preserve">них законских измена; </w:t>
      </w:r>
      <w:r w:rsidR="00AB30EC" w:rsidRPr="00226F9D">
        <w:rPr>
          <w:rFonts w:ascii="Times New Roman" w:eastAsia="Times New Roman" w:hAnsi="Times New Roman" w:cs="Times New Roman"/>
          <w:kern w:val="0"/>
          <w:lang w:val="sr-Cyrl-RS" w:eastAsia="de-CH"/>
          <w14:ligatures w14:val="none"/>
        </w:rPr>
        <w:t>3)</w:t>
      </w:r>
      <w:r w:rsidR="00B97C8E" w:rsidRPr="00226F9D">
        <w:rPr>
          <w:rFonts w:ascii="Times New Roman" w:eastAsia="Times New Roman" w:hAnsi="Times New Roman" w:cs="Times New Roman"/>
          <w:kern w:val="0"/>
          <w:lang w:val="sr-Cyrl-RS" w:eastAsia="de-CH"/>
          <w14:ligatures w14:val="none"/>
        </w:rPr>
        <w:t xml:space="preserve"> </w:t>
      </w:r>
      <w:r w:rsidR="00E648FA" w:rsidRPr="00226F9D">
        <w:rPr>
          <w:rFonts w:ascii="Times New Roman" w:eastAsia="Times New Roman" w:hAnsi="Times New Roman" w:cs="Times New Roman"/>
          <w:kern w:val="0"/>
          <w:lang w:val="sr-Cyrl-RS" w:eastAsia="de-CH"/>
          <w14:ligatures w14:val="none"/>
        </w:rPr>
        <w:t xml:space="preserve">потенцира унапређену примену принципа доброг управљања </w:t>
      </w:r>
      <w:r w:rsidR="009D6438" w:rsidRPr="00226F9D">
        <w:rPr>
          <w:rFonts w:ascii="Times New Roman" w:eastAsia="Times New Roman" w:hAnsi="Times New Roman" w:cs="Times New Roman"/>
          <w:kern w:val="0"/>
          <w:lang w:val="sr-Cyrl-RS" w:eastAsia="de-CH"/>
          <w14:ligatures w14:val="none"/>
        </w:rPr>
        <w:t xml:space="preserve">у ЛС </w:t>
      </w:r>
      <w:r w:rsidR="0077539E" w:rsidRPr="00226F9D">
        <w:rPr>
          <w:rFonts w:ascii="Times New Roman" w:eastAsia="Times New Roman" w:hAnsi="Times New Roman" w:cs="Times New Roman"/>
          <w:kern w:val="0"/>
          <w:lang w:val="sr-Cyrl-RS" w:eastAsia="de-CH"/>
          <w14:ligatures w14:val="none"/>
        </w:rPr>
        <w:t xml:space="preserve">уз стимулативне интервенције </w:t>
      </w:r>
      <w:r w:rsidR="0051152F" w:rsidRPr="00226F9D">
        <w:rPr>
          <w:rFonts w:ascii="Times New Roman" w:eastAsia="Times New Roman" w:hAnsi="Times New Roman" w:cs="Times New Roman"/>
          <w:kern w:val="0"/>
          <w:lang w:val="sr-Cyrl-RS" w:eastAsia="de-CH"/>
          <w14:ligatures w14:val="none"/>
        </w:rPr>
        <w:t xml:space="preserve">и осигуравање </w:t>
      </w:r>
      <w:r w:rsidR="00C627D8" w:rsidRPr="00226F9D">
        <w:rPr>
          <w:rFonts w:ascii="Times New Roman" w:eastAsia="Times New Roman" w:hAnsi="Times New Roman" w:cs="Times New Roman"/>
          <w:kern w:val="0"/>
          <w:lang w:val="sr-Cyrl-RS" w:eastAsia="de-CH"/>
          <w14:ligatures w14:val="none"/>
        </w:rPr>
        <w:t>стручне подршке</w:t>
      </w:r>
      <w:r w:rsidR="00292DA5" w:rsidRPr="00226F9D">
        <w:rPr>
          <w:rFonts w:ascii="Times New Roman" w:eastAsia="Times New Roman" w:hAnsi="Times New Roman" w:cs="Times New Roman"/>
          <w:kern w:val="0"/>
          <w:lang w:val="sr-Cyrl-RS" w:eastAsia="de-CH"/>
          <w14:ligatures w14:val="none"/>
        </w:rPr>
        <w:t xml:space="preserve"> (мера 1.3)</w:t>
      </w:r>
      <w:r w:rsidR="00D950C2" w:rsidRPr="00226F9D">
        <w:rPr>
          <w:rFonts w:ascii="Times New Roman" w:eastAsia="Times New Roman" w:hAnsi="Times New Roman" w:cs="Times New Roman"/>
          <w:kern w:val="0"/>
          <w:lang w:val="sr-Cyrl-RS" w:eastAsia="de-CH"/>
          <w14:ligatures w14:val="none"/>
        </w:rPr>
        <w:t xml:space="preserve">. </w:t>
      </w:r>
    </w:p>
    <w:p w14:paraId="2683DEB7" w14:textId="7406AB7B" w:rsidR="002B52C1" w:rsidRPr="00226F9D" w:rsidRDefault="002B52C1" w:rsidP="00090884">
      <w:pPr>
        <w:spacing w:after="0" w:line="240" w:lineRule="auto"/>
        <w:jc w:val="both"/>
        <w:rPr>
          <w:rFonts w:ascii="Times New Roman" w:eastAsia="Times New Roman" w:hAnsi="Times New Roman" w:cs="Times New Roman"/>
          <w:color w:val="EE0000"/>
          <w:kern w:val="0"/>
          <w:lang w:val="sr-Latn-RS" w:eastAsia="de-CH"/>
          <w14:ligatures w14:val="none"/>
        </w:rPr>
      </w:pPr>
    </w:p>
    <w:p w14:paraId="004FF7D0" w14:textId="487789ED" w:rsidR="000C0553" w:rsidRPr="00226F9D" w:rsidRDefault="00BF4ADD" w:rsidP="00090884">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З</w:t>
      </w:r>
      <w:r w:rsidR="00433798" w:rsidRPr="00226F9D">
        <w:rPr>
          <w:rFonts w:ascii="Times New Roman" w:eastAsia="Times New Roman" w:hAnsi="Times New Roman" w:cs="Times New Roman"/>
          <w:kern w:val="0"/>
          <w:lang w:val="sr-Cyrl-RS" w:eastAsia="de-CH"/>
          <w14:ligatures w14:val="none"/>
        </w:rPr>
        <w:t>а ефективн</w:t>
      </w:r>
      <w:r w:rsidR="00D92985" w:rsidRPr="00226F9D">
        <w:rPr>
          <w:rFonts w:ascii="Times New Roman" w:eastAsia="Times New Roman" w:hAnsi="Times New Roman" w:cs="Times New Roman"/>
          <w:kern w:val="0"/>
          <w:lang w:val="sr-Cyrl-RS" w:eastAsia="de-CH"/>
          <w14:ligatures w14:val="none"/>
        </w:rPr>
        <w:t>у реализацију мера и</w:t>
      </w:r>
      <w:r w:rsidR="00433798" w:rsidRPr="00226F9D">
        <w:rPr>
          <w:rFonts w:ascii="Times New Roman" w:eastAsia="Times New Roman" w:hAnsi="Times New Roman" w:cs="Times New Roman"/>
          <w:kern w:val="0"/>
          <w:lang w:val="sr-Cyrl-RS" w:eastAsia="de-CH"/>
          <w14:ligatures w14:val="none"/>
        </w:rPr>
        <w:t xml:space="preserve"> остваривање </w:t>
      </w:r>
      <w:r w:rsidR="00B04BC0" w:rsidRPr="00226F9D">
        <w:rPr>
          <w:rFonts w:ascii="Times New Roman" w:eastAsia="Times New Roman" w:hAnsi="Times New Roman" w:cs="Times New Roman"/>
          <w:kern w:val="0"/>
          <w:lang w:val="sr-Cyrl-RS" w:eastAsia="de-CH"/>
          <w14:ligatures w14:val="none"/>
        </w:rPr>
        <w:t>Посебног циља 1</w:t>
      </w:r>
      <w:r w:rsidR="00074840" w:rsidRPr="00226F9D">
        <w:rPr>
          <w:rFonts w:ascii="Times New Roman" w:eastAsia="Times New Roman" w:hAnsi="Times New Roman" w:cs="Times New Roman"/>
          <w:kern w:val="0"/>
          <w:lang w:val="sr-Cyrl-RS" w:eastAsia="de-CH"/>
          <w14:ligatures w14:val="none"/>
        </w:rPr>
        <w:t xml:space="preserve">, </w:t>
      </w:r>
      <w:r w:rsidR="00074840" w:rsidRPr="00226F9D">
        <w:rPr>
          <w:rFonts w:ascii="Times New Roman" w:eastAsia="Times New Roman" w:hAnsi="Times New Roman" w:cs="Times New Roman"/>
          <w:b/>
          <w:bCs/>
          <w:i/>
          <w:iCs/>
          <w:kern w:val="0"/>
          <w:lang w:val="sr-Cyrl-RS" w:eastAsia="de-CH"/>
          <w14:ligatures w14:val="none"/>
        </w:rPr>
        <w:t>кључни ризик</w:t>
      </w:r>
      <w:r w:rsidR="00074840" w:rsidRPr="00226F9D">
        <w:rPr>
          <w:rFonts w:ascii="Times New Roman" w:eastAsia="Times New Roman" w:hAnsi="Times New Roman" w:cs="Times New Roman"/>
          <w:kern w:val="0"/>
          <w:lang w:val="sr-Cyrl-RS" w:eastAsia="de-CH"/>
          <w14:ligatures w14:val="none"/>
        </w:rPr>
        <w:t xml:space="preserve"> који се у значајној мери </w:t>
      </w:r>
      <w:r w:rsidR="00AE341C" w:rsidRPr="00226F9D">
        <w:rPr>
          <w:rFonts w:ascii="Times New Roman" w:eastAsia="Times New Roman" w:hAnsi="Times New Roman" w:cs="Times New Roman"/>
          <w:kern w:val="0"/>
          <w:lang w:val="sr-Cyrl-RS" w:eastAsia="de-CH"/>
          <w14:ligatures w14:val="none"/>
        </w:rPr>
        <w:t xml:space="preserve">испољио у претходном програмском периоду и </w:t>
      </w:r>
      <w:r w:rsidR="0016398B" w:rsidRPr="00226F9D">
        <w:rPr>
          <w:rFonts w:ascii="Times New Roman" w:eastAsia="Times New Roman" w:hAnsi="Times New Roman" w:cs="Times New Roman"/>
          <w:kern w:val="0"/>
          <w:lang w:val="sr-Cyrl-RS" w:eastAsia="de-CH"/>
          <w14:ligatures w14:val="none"/>
        </w:rPr>
        <w:t xml:space="preserve">стога </w:t>
      </w:r>
      <w:r w:rsidR="00D26D33" w:rsidRPr="00226F9D">
        <w:rPr>
          <w:rFonts w:ascii="Times New Roman" w:eastAsia="Times New Roman" w:hAnsi="Times New Roman" w:cs="Times New Roman"/>
          <w:kern w:val="0"/>
          <w:lang w:val="sr-Cyrl-RS" w:eastAsia="de-CH"/>
          <w14:ligatures w14:val="none"/>
        </w:rPr>
        <w:t xml:space="preserve">треба да буде праћен и </w:t>
      </w:r>
      <w:r w:rsidR="00101954" w:rsidRPr="00226F9D">
        <w:rPr>
          <w:rFonts w:ascii="Times New Roman" w:eastAsia="Times New Roman" w:hAnsi="Times New Roman" w:cs="Times New Roman"/>
          <w:kern w:val="0"/>
          <w:lang w:val="sr-Cyrl-RS" w:eastAsia="de-CH"/>
          <w14:ligatures w14:val="none"/>
        </w:rPr>
        <w:t xml:space="preserve">адекватно </w:t>
      </w:r>
      <w:r w:rsidR="00D26D33" w:rsidRPr="00226F9D">
        <w:rPr>
          <w:rFonts w:ascii="Times New Roman" w:eastAsia="Times New Roman" w:hAnsi="Times New Roman" w:cs="Times New Roman"/>
          <w:kern w:val="0"/>
          <w:lang w:val="sr-Cyrl-RS" w:eastAsia="de-CH"/>
          <w14:ligatures w14:val="none"/>
        </w:rPr>
        <w:t xml:space="preserve">адресиран </w:t>
      </w:r>
      <w:r w:rsidR="00101954" w:rsidRPr="00226F9D">
        <w:rPr>
          <w:rFonts w:ascii="Times New Roman" w:eastAsia="Times New Roman" w:hAnsi="Times New Roman" w:cs="Times New Roman"/>
          <w:kern w:val="0"/>
          <w:lang w:val="sr-Cyrl-RS" w:eastAsia="de-CH"/>
          <w14:ligatures w14:val="none"/>
        </w:rPr>
        <w:t>у оквиру ПРСЛС 2026-2030 је како следи</w:t>
      </w:r>
      <w:r w:rsidR="00D92985" w:rsidRPr="00226F9D">
        <w:rPr>
          <w:rFonts w:ascii="Times New Roman" w:eastAsia="Times New Roman" w:hAnsi="Times New Roman" w:cs="Times New Roman"/>
          <w:kern w:val="0"/>
          <w:lang w:val="sr-Cyrl-RS" w:eastAsia="de-CH"/>
          <w14:ligatures w14:val="none"/>
        </w:rPr>
        <w:t>:</w:t>
      </w:r>
    </w:p>
    <w:p w14:paraId="457C8C12" w14:textId="77777777" w:rsidR="00D92985" w:rsidRPr="00226F9D" w:rsidRDefault="00D92985" w:rsidP="00D92985">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518"/>
        <w:gridCol w:w="5104"/>
      </w:tblGrid>
      <w:tr w:rsidR="005477BD" w:rsidRPr="00226F9D" w14:paraId="2A1D959C" w14:textId="77777777" w:rsidTr="008413D9">
        <w:tc>
          <w:tcPr>
            <w:tcW w:w="2348" w:type="pct"/>
            <w:shd w:val="clear" w:color="auto" w:fill="FFFFFF" w:themeFill="background1"/>
          </w:tcPr>
          <w:p w14:paraId="49639386" w14:textId="6CB7A820" w:rsidR="005477BD" w:rsidRPr="00226F9D" w:rsidRDefault="00A21175" w:rsidP="00C026E7">
            <w:pPr>
              <w:spacing w:after="0" w:line="240" w:lineRule="auto"/>
              <w:jc w:val="center"/>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О</w:t>
            </w:r>
            <w:r w:rsidR="005477BD" w:rsidRPr="00226F9D">
              <w:rPr>
                <w:rFonts w:ascii="Times New Roman" w:eastAsia="Times New Roman" w:hAnsi="Times New Roman" w:cs="Times New Roman"/>
                <w:b/>
                <w:bCs/>
                <w:kern w:val="0"/>
                <w:sz w:val="20"/>
                <w:szCs w:val="20"/>
                <w:lang w:val="sr-Cyrl-RS"/>
                <w14:ligatures w14:val="none"/>
              </w:rPr>
              <w:t>пис ризика</w:t>
            </w:r>
          </w:p>
        </w:tc>
        <w:tc>
          <w:tcPr>
            <w:tcW w:w="2652" w:type="pct"/>
            <w:shd w:val="clear" w:color="auto" w:fill="FFFFFF" w:themeFill="background1"/>
          </w:tcPr>
          <w:p w14:paraId="0C1F5C1E" w14:textId="5CDB61F9" w:rsidR="005477BD" w:rsidRPr="00226F9D" w:rsidRDefault="00A21175" w:rsidP="00C026E7">
            <w:pPr>
              <w:spacing w:after="0" w:line="240" w:lineRule="auto"/>
              <w:jc w:val="center"/>
              <w:rPr>
                <w:rFonts w:ascii="Times New Roman" w:eastAsia="Calibri"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У</w:t>
            </w:r>
            <w:r w:rsidR="005477BD" w:rsidRPr="00226F9D">
              <w:rPr>
                <w:rFonts w:ascii="Times New Roman" w:eastAsia="Times New Roman" w:hAnsi="Times New Roman" w:cs="Times New Roman"/>
                <w:b/>
                <w:bCs/>
                <w:kern w:val="0"/>
                <w:sz w:val="20"/>
                <w:szCs w:val="20"/>
                <w:lang w:val="sr-Cyrl-RS"/>
                <w14:ligatures w14:val="none"/>
              </w:rPr>
              <w:t>блажавање ризика</w:t>
            </w:r>
          </w:p>
        </w:tc>
      </w:tr>
      <w:tr w:rsidR="005477BD" w:rsidRPr="00226F9D" w14:paraId="60C9AD8C" w14:textId="77777777" w:rsidTr="008413D9">
        <w:tc>
          <w:tcPr>
            <w:tcW w:w="2348" w:type="pct"/>
          </w:tcPr>
          <w:p w14:paraId="7D6C6177" w14:textId="7E8EF0DF" w:rsidR="00D239E7" w:rsidRPr="00226F9D" w:rsidRDefault="000F4159" w:rsidP="00910372">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Л</w:t>
            </w:r>
            <w:r w:rsidR="00EF020F" w:rsidRPr="00226F9D">
              <w:rPr>
                <w:rFonts w:ascii="Times New Roman" w:eastAsia="Times New Roman" w:hAnsi="Times New Roman" w:cs="Times New Roman"/>
                <w:kern w:val="0"/>
                <w:sz w:val="20"/>
                <w:szCs w:val="20"/>
                <w:lang w:val="sr-Cyrl-RS"/>
                <w14:ligatures w14:val="none"/>
              </w:rPr>
              <w:t>имитиране перформансе ЛС</w:t>
            </w:r>
            <w:r w:rsidRPr="00226F9D">
              <w:rPr>
                <w:rFonts w:ascii="Times New Roman" w:eastAsia="Times New Roman" w:hAnsi="Times New Roman" w:cs="Times New Roman"/>
                <w:kern w:val="0"/>
                <w:sz w:val="20"/>
                <w:szCs w:val="20"/>
                <w:lang w:val="sr-Cyrl-RS"/>
                <w14:ligatures w14:val="none"/>
              </w:rPr>
              <w:t xml:space="preserve"> услед </w:t>
            </w:r>
            <w:r w:rsidR="00D239E7" w:rsidRPr="00226F9D">
              <w:rPr>
                <w:rFonts w:ascii="Times New Roman" w:eastAsia="Times New Roman" w:hAnsi="Times New Roman" w:cs="Times New Roman"/>
                <w:kern w:val="0"/>
                <w:sz w:val="20"/>
                <w:szCs w:val="20"/>
                <w:lang w:val="sr-Cyrl-RS"/>
                <w14:ligatures w14:val="none"/>
              </w:rPr>
              <w:t>успореног усклађивања правног оквира</w:t>
            </w:r>
          </w:p>
          <w:p w14:paraId="61B8CCE6" w14:textId="12897ABA" w:rsidR="005477BD" w:rsidRPr="00226F9D" w:rsidRDefault="00D239E7" w:rsidP="00C026E7">
            <w:pPr>
              <w:spacing w:after="0" w:line="240" w:lineRule="auto"/>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(Закон о потврђивању ЕПЛС, Закон о локалној самоуправи, Закон о државној управи</w:t>
            </w:r>
            <w:r w:rsidR="00E41007" w:rsidRPr="00226F9D">
              <w:rPr>
                <w:rFonts w:ascii="Times New Roman" w:eastAsia="Times New Roman" w:hAnsi="Times New Roman" w:cs="Times New Roman"/>
                <w:kern w:val="0"/>
                <w:sz w:val="20"/>
                <w:szCs w:val="20"/>
                <w:lang w:val="sr-Cyrl-RS"/>
                <w14:ligatures w14:val="none"/>
              </w:rPr>
              <w:t xml:space="preserve">, </w:t>
            </w:r>
            <w:r w:rsidRPr="00226F9D">
              <w:rPr>
                <w:rFonts w:ascii="Times New Roman" w:eastAsia="Times New Roman" w:hAnsi="Times New Roman" w:cs="Times New Roman"/>
                <w:kern w:val="0"/>
                <w:sz w:val="20"/>
                <w:szCs w:val="20"/>
                <w:lang w:val="sr-Cyrl-RS"/>
                <w14:ligatures w14:val="none"/>
              </w:rPr>
              <w:t xml:space="preserve">Закон о локалним изборима) </w:t>
            </w:r>
            <w:r w:rsidR="00EF020F" w:rsidRPr="00226F9D">
              <w:rPr>
                <w:rFonts w:ascii="Times New Roman" w:eastAsia="Times New Roman" w:hAnsi="Times New Roman" w:cs="Times New Roman"/>
                <w:kern w:val="0"/>
                <w:sz w:val="20"/>
                <w:szCs w:val="20"/>
                <w:lang w:val="sr-Cyrl-RS"/>
                <w14:ligatures w14:val="none"/>
              </w:rPr>
              <w:t xml:space="preserve"> </w:t>
            </w:r>
            <w:r w:rsidR="005477BD" w:rsidRPr="00226F9D">
              <w:rPr>
                <w:rFonts w:ascii="Times New Roman" w:eastAsia="Times New Roman" w:hAnsi="Times New Roman" w:cs="Times New Roman"/>
                <w:kern w:val="0"/>
                <w:sz w:val="20"/>
                <w:szCs w:val="20"/>
                <w:lang w:val="sr-Cyrl-RS"/>
                <w14:ligatures w14:val="none"/>
              </w:rPr>
              <w:t xml:space="preserve"> </w:t>
            </w:r>
          </w:p>
        </w:tc>
        <w:tc>
          <w:tcPr>
            <w:tcW w:w="2652" w:type="pct"/>
          </w:tcPr>
          <w:p w14:paraId="09997FD4" w14:textId="20CB5F32" w:rsidR="005477BD" w:rsidRPr="00226F9D" w:rsidRDefault="002518D1" w:rsidP="00910372">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Фокусиране и</w:t>
            </w:r>
            <w:r w:rsidR="00045D64" w:rsidRPr="00226F9D">
              <w:rPr>
                <w:rFonts w:ascii="Times New Roman" w:eastAsia="Times New Roman" w:hAnsi="Times New Roman" w:cs="Times New Roman"/>
                <w:kern w:val="0"/>
                <w:sz w:val="20"/>
                <w:szCs w:val="20"/>
                <w:lang w:val="sr-Cyrl-RS"/>
                <w14:ligatures w14:val="none"/>
              </w:rPr>
              <w:t xml:space="preserve"> приоритиз</w:t>
            </w:r>
            <w:r w:rsidRPr="00226F9D">
              <w:rPr>
                <w:rFonts w:ascii="Times New Roman" w:eastAsia="Times New Roman" w:hAnsi="Times New Roman" w:cs="Times New Roman"/>
                <w:kern w:val="0"/>
                <w:sz w:val="20"/>
                <w:szCs w:val="20"/>
                <w:lang w:val="sr-Cyrl-RS"/>
                <w14:ligatures w14:val="none"/>
              </w:rPr>
              <w:t xml:space="preserve">оване активности </w:t>
            </w:r>
            <w:r w:rsidR="00833B74" w:rsidRPr="00226F9D">
              <w:rPr>
                <w:rFonts w:ascii="Times New Roman" w:eastAsia="Times New Roman" w:hAnsi="Times New Roman" w:cs="Times New Roman"/>
                <w:kern w:val="0"/>
                <w:sz w:val="20"/>
                <w:szCs w:val="20"/>
                <w:lang w:val="sr-Cyrl-RS"/>
                <w14:ligatures w14:val="none"/>
              </w:rPr>
              <w:t xml:space="preserve">за измене правног оквира </w:t>
            </w:r>
            <w:r w:rsidR="00045D64" w:rsidRPr="00226F9D">
              <w:rPr>
                <w:rFonts w:ascii="Times New Roman" w:eastAsia="Times New Roman" w:hAnsi="Times New Roman" w:cs="Times New Roman"/>
                <w:kern w:val="0"/>
                <w:sz w:val="20"/>
                <w:szCs w:val="20"/>
                <w:lang w:val="sr-Cyrl-RS"/>
                <w14:ligatures w14:val="none"/>
              </w:rPr>
              <w:t xml:space="preserve"> </w:t>
            </w:r>
            <w:r w:rsidR="0035337B" w:rsidRPr="00226F9D">
              <w:rPr>
                <w:rFonts w:ascii="Times New Roman" w:eastAsia="Times New Roman" w:hAnsi="Times New Roman" w:cs="Times New Roman"/>
                <w:kern w:val="0"/>
                <w:sz w:val="20"/>
                <w:szCs w:val="20"/>
                <w:lang w:val="sr-Cyrl-RS"/>
                <w14:ligatures w14:val="none"/>
              </w:rPr>
              <w:t xml:space="preserve">уз благовремену </w:t>
            </w:r>
            <w:r w:rsidR="00043D44" w:rsidRPr="00226F9D">
              <w:rPr>
                <w:rFonts w:ascii="Times New Roman" w:eastAsia="Times New Roman" w:hAnsi="Times New Roman" w:cs="Times New Roman"/>
                <w:kern w:val="0"/>
                <w:sz w:val="20"/>
                <w:szCs w:val="20"/>
                <w:lang w:val="sr-Cyrl-RS"/>
                <w14:ligatures w14:val="none"/>
              </w:rPr>
              <w:t>припрему и координацију ресорних институција</w:t>
            </w:r>
            <w:r w:rsidR="006709E0" w:rsidRPr="00226F9D">
              <w:rPr>
                <w:rFonts w:ascii="Times New Roman" w:eastAsia="Times New Roman" w:hAnsi="Times New Roman" w:cs="Times New Roman"/>
                <w:kern w:val="0"/>
                <w:sz w:val="20"/>
                <w:szCs w:val="20"/>
                <w:lang w:val="sr-Cyrl-RS"/>
                <w14:ligatures w14:val="none"/>
              </w:rPr>
              <w:t xml:space="preserve">; </w:t>
            </w:r>
            <w:r w:rsidR="005477BD" w:rsidRPr="00226F9D">
              <w:rPr>
                <w:rFonts w:ascii="Times New Roman" w:eastAsia="Times New Roman" w:hAnsi="Times New Roman" w:cs="Times New Roman"/>
                <w:kern w:val="0"/>
                <w:sz w:val="20"/>
                <w:szCs w:val="20"/>
                <w:lang w:val="sr-Cyrl-RS"/>
                <w14:ligatures w14:val="none"/>
              </w:rPr>
              <w:t xml:space="preserve"> </w:t>
            </w:r>
            <w:r w:rsidR="0081287F" w:rsidRPr="00226F9D">
              <w:rPr>
                <w:rFonts w:ascii="Times New Roman" w:eastAsia="Times New Roman" w:hAnsi="Times New Roman" w:cs="Times New Roman"/>
                <w:kern w:val="0"/>
                <w:sz w:val="20"/>
                <w:szCs w:val="20"/>
                <w:lang w:val="sr-Cyrl-RS"/>
                <w14:ligatures w14:val="none"/>
              </w:rPr>
              <w:t xml:space="preserve">циљане активности </w:t>
            </w:r>
            <w:r w:rsidR="00376CF6" w:rsidRPr="00226F9D">
              <w:rPr>
                <w:rFonts w:ascii="Times New Roman" w:eastAsia="Times New Roman" w:hAnsi="Times New Roman" w:cs="Times New Roman"/>
                <w:kern w:val="0"/>
                <w:sz w:val="20"/>
                <w:szCs w:val="20"/>
                <w:lang w:val="sr-Cyrl-RS"/>
                <w14:ligatures w14:val="none"/>
              </w:rPr>
              <w:t xml:space="preserve">за едукацију и </w:t>
            </w:r>
            <w:r w:rsidR="005F3088" w:rsidRPr="00226F9D">
              <w:rPr>
                <w:rFonts w:ascii="Times New Roman" w:eastAsia="Times New Roman" w:hAnsi="Times New Roman" w:cs="Times New Roman"/>
                <w:kern w:val="0"/>
                <w:sz w:val="20"/>
                <w:szCs w:val="20"/>
                <w:lang w:val="sr-Cyrl-RS"/>
                <w14:ligatures w14:val="none"/>
              </w:rPr>
              <w:t>изградњу капацитета ЛС</w:t>
            </w:r>
            <w:r w:rsidR="0081287F" w:rsidRPr="00226F9D">
              <w:rPr>
                <w:rFonts w:ascii="Times New Roman" w:eastAsia="Times New Roman" w:hAnsi="Times New Roman" w:cs="Times New Roman"/>
                <w:kern w:val="0"/>
                <w:sz w:val="20"/>
                <w:szCs w:val="20"/>
                <w:lang w:val="sr-Cyrl-RS"/>
                <w14:ligatures w14:val="none"/>
              </w:rPr>
              <w:t xml:space="preserve"> </w:t>
            </w:r>
          </w:p>
        </w:tc>
      </w:tr>
    </w:tbl>
    <w:p w14:paraId="15BCCDF7" w14:textId="77777777" w:rsidR="00D92985" w:rsidRPr="00226F9D" w:rsidRDefault="00D92985" w:rsidP="00090884">
      <w:pPr>
        <w:spacing w:after="0" w:line="240" w:lineRule="auto"/>
        <w:jc w:val="both"/>
        <w:rPr>
          <w:rFonts w:ascii="Times New Roman" w:eastAsia="Times New Roman" w:hAnsi="Times New Roman" w:cs="Times New Roman"/>
          <w:color w:val="000000" w:themeColor="text1"/>
          <w:kern w:val="0"/>
          <w:lang w:val="sr-Cyrl-RS" w:eastAsia="de-CH"/>
          <w14:ligatures w14:val="none"/>
        </w:rPr>
      </w:pPr>
    </w:p>
    <w:p w14:paraId="2D6B5904" w14:textId="13460758" w:rsidR="002B52C1" w:rsidRPr="00226F9D" w:rsidRDefault="0057245B" w:rsidP="00090884">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Описи</w:t>
      </w:r>
      <w:r w:rsidR="00F15CEF" w:rsidRPr="00226F9D">
        <w:rPr>
          <w:rFonts w:ascii="Times New Roman" w:eastAsia="Times New Roman" w:hAnsi="Times New Roman" w:cs="Times New Roman"/>
          <w:kern w:val="0"/>
          <w:lang w:val="sr-Cyrl-RS" w:eastAsia="de-CH"/>
          <w14:ligatures w14:val="none"/>
        </w:rPr>
        <w:t>ма</w:t>
      </w:r>
      <w:r w:rsidRPr="00226F9D">
        <w:rPr>
          <w:rFonts w:ascii="Times New Roman" w:eastAsia="Times New Roman" w:hAnsi="Times New Roman" w:cs="Times New Roman"/>
          <w:kern w:val="0"/>
          <w:lang w:val="sr-Cyrl-RS" w:eastAsia="de-CH"/>
          <w14:ligatures w14:val="none"/>
        </w:rPr>
        <w:t xml:space="preserve"> мера у наставку </w:t>
      </w:r>
      <w:r w:rsidR="008F6F42" w:rsidRPr="00226F9D">
        <w:rPr>
          <w:rFonts w:ascii="Times New Roman" w:eastAsia="Times New Roman" w:hAnsi="Times New Roman" w:cs="Times New Roman"/>
          <w:kern w:val="0"/>
          <w:lang w:val="sr-Cyrl-RS" w:eastAsia="de-CH"/>
          <w14:ligatures w14:val="none"/>
        </w:rPr>
        <w:t>и пратећи</w:t>
      </w:r>
      <w:r w:rsidR="00F15CEF" w:rsidRPr="00226F9D">
        <w:rPr>
          <w:rFonts w:ascii="Times New Roman" w:eastAsia="Times New Roman" w:hAnsi="Times New Roman" w:cs="Times New Roman"/>
          <w:kern w:val="0"/>
          <w:lang w:val="sr-Cyrl-RS" w:eastAsia="de-CH"/>
          <w14:ligatures w14:val="none"/>
        </w:rPr>
        <w:t>м</w:t>
      </w:r>
      <w:r w:rsidR="008F6F42" w:rsidRPr="00226F9D">
        <w:rPr>
          <w:rFonts w:ascii="Times New Roman" w:eastAsia="Times New Roman" w:hAnsi="Times New Roman" w:cs="Times New Roman"/>
          <w:kern w:val="0"/>
          <w:lang w:val="sr-Cyrl-RS" w:eastAsia="de-CH"/>
          <w14:ligatures w14:val="none"/>
        </w:rPr>
        <w:t xml:space="preserve"> Акциони</w:t>
      </w:r>
      <w:r w:rsidR="00F15CEF" w:rsidRPr="00226F9D">
        <w:rPr>
          <w:rFonts w:ascii="Times New Roman" w:eastAsia="Times New Roman" w:hAnsi="Times New Roman" w:cs="Times New Roman"/>
          <w:kern w:val="0"/>
          <w:lang w:val="sr-Cyrl-RS" w:eastAsia="de-CH"/>
          <w14:ligatures w14:val="none"/>
        </w:rPr>
        <w:t>м</w:t>
      </w:r>
      <w:r w:rsidR="008F6F42" w:rsidRPr="00226F9D">
        <w:rPr>
          <w:rFonts w:ascii="Times New Roman" w:eastAsia="Times New Roman" w:hAnsi="Times New Roman" w:cs="Times New Roman"/>
          <w:kern w:val="0"/>
          <w:lang w:val="sr-Cyrl-RS" w:eastAsia="de-CH"/>
          <w14:ligatures w14:val="none"/>
        </w:rPr>
        <w:t xml:space="preserve"> план</w:t>
      </w:r>
      <w:r w:rsidR="00F15CEF" w:rsidRPr="00226F9D">
        <w:rPr>
          <w:rFonts w:ascii="Times New Roman" w:eastAsia="Times New Roman" w:hAnsi="Times New Roman" w:cs="Times New Roman"/>
          <w:kern w:val="0"/>
          <w:lang w:val="sr-Cyrl-RS" w:eastAsia="de-CH"/>
          <w14:ligatures w14:val="none"/>
        </w:rPr>
        <w:t>ом,</w:t>
      </w:r>
      <w:r w:rsidR="00C56581" w:rsidRPr="00226F9D">
        <w:rPr>
          <w:rFonts w:ascii="Times New Roman" w:eastAsia="Times New Roman" w:hAnsi="Times New Roman" w:cs="Times New Roman"/>
          <w:kern w:val="0"/>
          <w:lang w:val="sr-Cyrl-RS" w:eastAsia="de-CH"/>
          <w14:ligatures w14:val="none"/>
        </w:rPr>
        <w:t xml:space="preserve"> </w:t>
      </w:r>
      <w:r w:rsidR="00EC5ACC" w:rsidRPr="00226F9D">
        <w:rPr>
          <w:rFonts w:ascii="Times New Roman" w:eastAsia="Times New Roman" w:hAnsi="Times New Roman" w:cs="Times New Roman"/>
          <w:kern w:val="0"/>
          <w:lang w:val="sr-Cyrl-RS" w:eastAsia="de-CH"/>
          <w14:ligatures w14:val="none"/>
        </w:rPr>
        <w:t xml:space="preserve">комплетирају </w:t>
      </w:r>
      <w:r w:rsidR="00F15CEF" w:rsidRPr="00226F9D">
        <w:rPr>
          <w:rFonts w:ascii="Times New Roman" w:eastAsia="Times New Roman" w:hAnsi="Times New Roman" w:cs="Times New Roman"/>
          <w:kern w:val="0"/>
          <w:lang w:val="sr-Cyrl-RS" w:eastAsia="de-CH"/>
          <w14:ligatures w14:val="none"/>
        </w:rPr>
        <w:t xml:space="preserve">се </w:t>
      </w:r>
      <w:r w:rsidR="00EC5ACC" w:rsidRPr="00226F9D">
        <w:rPr>
          <w:rFonts w:ascii="Times New Roman" w:eastAsia="Times New Roman" w:hAnsi="Times New Roman" w:cs="Times New Roman"/>
          <w:kern w:val="0"/>
          <w:lang w:val="sr-Cyrl-RS" w:eastAsia="de-CH"/>
          <w14:ligatures w14:val="none"/>
        </w:rPr>
        <w:t>информације</w:t>
      </w:r>
      <w:r w:rsidR="00F15CEF" w:rsidRPr="00226F9D">
        <w:rPr>
          <w:rFonts w:ascii="Times New Roman" w:eastAsia="Times New Roman" w:hAnsi="Times New Roman" w:cs="Times New Roman"/>
          <w:kern w:val="0"/>
          <w:lang w:val="sr-Cyrl-RS" w:eastAsia="de-CH"/>
          <w14:ligatures w14:val="none"/>
        </w:rPr>
        <w:t xml:space="preserve"> о </w:t>
      </w:r>
      <w:r w:rsidR="006D68B0" w:rsidRPr="00226F9D">
        <w:rPr>
          <w:rFonts w:ascii="Times New Roman" w:eastAsia="Times New Roman" w:hAnsi="Times New Roman" w:cs="Times New Roman"/>
          <w:kern w:val="0"/>
          <w:lang w:val="sr-Cyrl-RS" w:eastAsia="de-CH"/>
          <w14:ligatures w14:val="none"/>
        </w:rPr>
        <w:t xml:space="preserve">роковима, </w:t>
      </w:r>
      <w:r w:rsidR="000041D6" w:rsidRPr="00226F9D">
        <w:rPr>
          <w:rFonts w:ascii="Times New Roman" w:eastAsia="Times New Roman" w:hAnsi="Times New Roman" w:cs="Times New Roman"/>
          <w:kern w:val="0"/>
          <w:lang w:val="sr-Cyrl-RS" w:eastAsia="de-CH"/>
          <w14:ligatures w14:val="none"/>
        </w:rPr>
        <w:t>носиоцима реализације</w:t>
      </w:r>
      <w:r w:rsidR="00995136" w:rsidRPr="00226F9D">
        <w:rPr>
          <w:rFonts w:ascii="Times New Roman" w:eastAsia="Times New Roman" w:hAnsi="Times New Roman" w:cs="Times New Roman"/>
          <w:kern w:val="0"/>
          <w:lang w:val="sr-Cyrl-RS" w:eastAsia="de-CH"/>
          <w14:ligatures w14:val="none"/>
        </w:rPr>
        <w:t xml:space="preserve">, </w:t>
      </w:r>
      <w:r w:rsidR="001F45F6" w:rsidRPr="00226F9D">
        <w:rPr>
          <w:rFonts w:ascii="Times New Roman" w:eastAsia="Times New Roman" w:hAnsi="Times New Roman" w:cs="Times New Roman"/>
          <w:kern w:val="0"/>
          <w:lang w:val="sr-Cyrl-RS" w:eastAsia="de-CH"/>
          <w14:ligatures w14:val="none"/>
        </w:rPr>
        <w:t xml:space="preserve">потребним </w:t>
      </w:r>
      <w:r w:rsidR="00995136" w:rsidRPr="00226F9D">
        <w:rPr>
          <w:rFonts w:ascii="Times New Roman" w:eastAsia="Times New Roman" w:hAnsi="Times New Roman" w:cs="Times New Roman"/>
          <w:kern w:val="0"/>
          <w:lang w:val="sr-Cyrl-RS" w:eastAsia="de-CH"/>
          <w14:ligatures w14:val="none"/>
        </w:rPr>
        <w:t>ресурсима и</w:t>
      </w:r>
      <w:r w:rsidR="00E80CCA" w:rsidRPr="00226F9D">
        <w:rPr>
          <w:rFonts w:ascii="Times New Roman" w:eastAsia="Times New Roman" w:hAnsi="Times New Roman" w:cs="Times New Roman"/>
          <w:kern w:val="0"/>
          <w:lang w:val="sr-Cyrl-RS" w:eastAsia="de-CH"/>
          <w14:ligatures w14:val="none"/>
        </w:rPr>
        <w:t xml:space="preserve"> </w:t>
      </w:r>
      <w:r w:rsidR="001F45F6" w:rsidRPr="00226F9D">
        <w:rPr>
          <w:rFonts w:ascii="Times New Roman" w:eastAsia="Times New Roman" w:hAnsi="Times New Roman" w:cs="Times New Roman"/>
          <w:kern w:val="0"/>
          <w:lang w:val="sr-Cyrl-RS" w:eastAsia="de-CH"/>
          <w14:ligatures w14:val="none"/>
        </w:rPr>
        <w:t xml:space="preserve">очекиваним </w:t>
      </w:r>
      <w:r w:rsidR="00790588" w:rsidRPr="00226F9D">
        <w:rPr>
          <w:rFonts w:ascii="Times New Roman" w:eastAsia="Times New Roman" w:hAnsi="Times New Roman" w:cs="Times New Roman"/>
          <w:kern w:val="0"/>
          <w:lang w:val="sr-Cyrl-RS" w:eastAsia="de-CH"/>
          <w14:ligatures w14:val="none"/>
        </w:rPr>
        <w:t xml:space="preserve">променама </w:t>
      </w:r>
      <w:r w:rsidR="00ED4F61" w:rsidRPr="00226F9D">
        <w:rPr>
          <w:rFonts w:ascii="Times New Roman" w:eastAsia="Times New Roman" w:hAnsi="Times New Roman" w:cs="Times New Roman"/>
          <w:kern w:val="0"/>
          <w:lang w:val="sr-Cyrl-RS" w:eastAsia="de-CH"/>
          <w14:ligatures w14:val="none"/>
        </w:rPr>
        <w:t xml:space="preserve">у фунцији </w:t>
      </w:r>
      <w:r w:rsidR="00162DA3" w:rsidRPr="00226F9D">
        <w:rPr>
          <w:rFonts w:ascii="Times New Roman" w:eastAsia="Times New Roman" w:hAnsi="Times New Roman" w:cs="Times New Roman"/>
          <w:kern w:val="0"/>
          <w:lang w:val="sr-Cyrl-RS" w:eastAsia="de-CH"/>
          <w14:ligatures w14:val="none"/>
        </w:rPr>
        <w:t xml:space="preserve">остваривања опредељене </w:t>
      </w:r>
      <w:r w:rsidR="00845B4F" w:rsidRPr="00226F9D">
        <w:rPr>
          <w:rFonts w:ascii="Times New Roman" w:eastAsia="Times New Roman" w:hAnsi="Times New Roman" w:cs="Times New Roman"/>
          <w:kern w:val="0"/>
          <w:lang w:val="sr-Cyrl-RS" w:eastAsia="de-CH"/>
          <w14:ligatures w14:val="none"/>
        </w:rPr>
        <w:t xml:space="preserve">опције. </w:t>
      </w:r>
      <w:r w:rsidR="001F45F6" w:rsidRPr="00226F9D">
        <w:rPr>
          <w:rFonts w:ascii="Times New Roman" w:eastAsia="Times New Roman" w:hAnsi="Times New Roman" w:cs="Times New Roman"/>
          <w:kern w:val="0"/>
          <w:lang w:val="sr-Cyrl-RS" w:eastAsia="de-CH"/>
          <w14:ligatures w14:val="none"/>
        </w:rPr>
        <w:t xml:space="preserve"> </w:t>
      </w:r>
      <w:r w:rsidR="00995136" w:rsidRPr="00226F9D">
        <w:rPr>
          <w:rFonts w:ascii="Times New Roman" w:eastAsia="Times New Roman" w:hAnsi="Times New Roman" w:cs="Times New Roman"/>
          <w:kern w:val="0"/>
          <w:lang w:val="sr-Cyrl-RS" w:eastAsia="de-CH"/>
          <w14:ligatures w14:val="none"/>
        </w:rPr>
        <w:t xml:space="preserve"> </w:t>
      </w:r>
      <w:r w:rsidR="00EC5ACC" w:rsidRPr="00226F9D">
        <w:rPr>
          <w:rFonts w:ascii="Times New Roman" w:eastAsia="Times New Roman" w:hAnsi="Times New Roman" w:cs="Times New Roman"/>
          <w:kern w:val="0"/>
          <w:lang w:val="sr-Cyrl-RS" w:eastAsia="de-CH"/>
          <w14:ligatures w14:val="none"/>
        </w:rPr>
        <w:t xml:space="preserve"> </w:t>
      </w:r>
      <w:r w:rsidR="008F6F42" w:rsidRPr="00226F9D">
        <w:rPr>
          <w:rFonts w:ascii="Times New Roman" w:eastAsia="Times New Roman" w:hAnsi="Times New Roman" w:cs="Times New Roman"/>
          <w:kern w:val="0"/>
          <w:lang w:val="sr-Cyrl-RS" w:eastAsia="de-CH"/>
          <w14:ligatures w14:val="none"/>
        </w:rPr>
        <w:t xml:space="preserve"> </w:t>
      </w:r>
    </w:p>
    <w:p w14:paraId="15F33F28" w14:textId="77777777" w:rsidR="004A0709" w:rsidRPr="00226F9D" w:rsidRDefault="004A0709" w:rsidP="00090884">
      <w:pPr>
        <w:spacing w:after="0" w:line="240" w:lineRule="auto"/>
        <w:jc w:val="both"/>
        <w:rPr>
          <w:rFonts w:ascii="Times New Roman" w:eastAsia="Times New Roman" w:hAnsi="Times New Roman" w:cs="Times New Roman"/>
          <w:color w:val="EE0000"/>
          <w:kern w:val="0"/>
          <w:lang w:val="sr-Cyrl-RS" w:eastAsia="de-CH"/>
          <w14:ligatures w14:val="none"/>
        </w:rPr>
      </w:pPr>
    </w:p>
    <w:p w14:paraId="7C6CB796" w14:textId="3C5DD34D" w:rsidR="00CF32C3" w:rsidRPr="00226F9D" w:rsidRDefault="00CF32C3" w:rsidP="00C6042B">
      <w:pPr>
        <w:pStyle w:val="Heading4"/>
        <w:rPr>
          <w:rFonts w:ascii="Times New Roman" w:eastAsia="Times New Roman" w:hAnsi="Times New Roman" w:cs="Times New Roman"/>
          <w:lang w:val="sr-Cyrl-RS" w:eastAsia="de-CH"/>
        </w:rPr>
      </w:pPr>
      <w:bookmarkStart w:id="19" w:name="_Toc60136100"/>
      <w:bookmarkStart w:id="20" w:name="_Toc77068869"/>
      <w:r w:rsidRPr="00226F9D">
        <w:rPr>
          <w:rFonts w:ascii="Times New Roman" w:eastAsia="Times New Roman" w:hAnsi="Times New Roman" w:cs="Times New Roman"/>
          <w:lang w:val="sr-Cyrl-RS" w:eastAsia="de-CH"/>
        </w:rPr>
        <w:t xml:space="preserve">Мера 1.1. </w:t>
      </w:r>
      <w:bookmarkEnd w:id="19"/>
      <w:bookmarkEnd w:id="20"/>
      <w:r w:rsidRPr="00226F9D">
        <w:rPr>
          <w:rFonts w:ascii="Times New Roman" w:eastAsia="Times New Roman" w:hAnsi="Times New Roman" w:cs="Times New Roman"/>
          <w:lang w:val="sr-Cyrl-RS" w:eastAsia="de-CH"/>
        </w:rPr>
        <w:t>Реформа системског правног оквира за остваривање локалне самоуправе у Републици Србији</w:t>
      </w:r>
    </w:p>
    <w:p w14:paraId="71CBF012" w14:textId="6FB9DCB7"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bookmarkStart w:id="21" w:name="_Toc60136101"/>
      <w:r w:rsidRPr="00226F9D">
        <w:rPr>
          <w:rFonts w:ascii="Times New Roman" w:eastAsia="Arial" w:hAnsi="Times New Roman" w:cs="Times New Roman"/>
          <w:kern w:val="0"/>
          <w:lang w:val="sr-Cyrl-RS"/>
          <w14:ligatures w14:val="none"/>
        </w:rPr>
        <w:t xml:space="preserve">Кључни корак у реформи система локалне самоуправе Републике Србије јесу измене и допуне Закона о локалној самоуправи, као темељног системског прописа. </w:t>
      </w:r>
      <w:r w:rsidR="002709D2" w:rsidRPr="00226F9D">
        <w:rPr>
          <w:rFonts w:ascii="Times New Roman" w:eastAsia="Arial" w:hAnsi="Times New Roman" w:cs="Times New Roman"/>
          <w:kern w:val="0"/>
          <w:lang w:val="sr-Cyrl-RS"/>
          <w14:ligatures w14:val="none"/>
        </w:rPr>
        <w:t>У</w:t>
      </w:r>
      <w:r w:rsidR="00FE2EFC" w:rsidRPr="00226F9D">
        <w:rPr>
          <w:rFonts w:ascii="Times New Roman" w:eastAsia="Arial" w:hAnsi="Times New Roman" w:cs="Times New Roman"/>
          <w:kern w:val="0"/>
          <w:lang w:val="sr-Cyrl-RS"/>
          <w14:ligatures w14:val="none"/>
        </w:rPr>
        <w:t xml:space="preserve"> склопу</w:t>
      </w:r>
      <w:r w:rsidR="002709D2" w:rsidRPr="00226F9D">
        <w:rPr>
          <w:rFonts w:ascii="Times New Roman" w:eastAsia="Arial" w:hAnsi="Times New Roman" w:cs="Times New Roman"/>
          <w:kern w:val="0"/>
          <w:lang w:val="sr-Cyrl-RS"/>
          <w14:ligatures w14:val="none"/>
        </w:rPr>
        <w:t xml:space="preserve"> припреме</w:t>
      </w:r>
      <w:r w:rsidR="00D70853" w:rsidRPr="00226F9D">
        <w:rPr>
          <w:rFonts w:ascii="Times New Roman" w:eastAsia="Arial" w:hAnsi="Times New Roman" w:cs="Times New Roman"/>
          <w:kern w:val="0"/>
          <w:lang w:val="sr-Cyrl-RS"/>
          <w14:ligatures w14:val="none"/>
        </w:rPr>
        <w:t xml:space="preserve"> измена овог закона, биће припремљена </w:t>
      </w:r>
      <w:r w:rsidR="00D70853" w:rsidRPr="00226F9D">
        <w:rPr>
          <w:rFonts w:ascii="Times New Roman" w:eastAsia="Arial" w:hAnsi="Times New Roman" w:cs="Times New Roman"/>
          <w:i/>
          <w:iCs/>
          <w:kern w:val="0"/>
          <w:lang w:val="sr-Cyrl-RS"/>
          <w14:ligatures w14:val="none"/>
        </w:rPr>
        <w:t>Е</w:t>
      </w:r>
      <w:r w:rsidR="00D70853" w:rsidRPr="00226F9D">
        <w:rPr>
          <w:rFonts w:ascii="Times New Roman" w:eastAsia="Arial" w:hAnsi="Times New Roman" w:cs="Times New Roman"/>
          <w:i/>
          <w:iCs/>
          <w:kern w:val="0"/>
          <w:lang w:val="sr-Latn-RS"/>
          <w14:ligatures w14:val="none"/>
        </w:rPr>
        <w:t>x</w:t>
      </w:r>
      <w:r w:rsidR="000E00AC" w:rsidRPr="00226F9D">
        <w:rPr>
          <w:rFonts w:ascii="Times New Roman" w:eastAsia="Arial" w:hAnsi="Times New Roman" w:cs="Times New Roman"/>
          <w:i/>
          <w:iCs/>
          <w:kern w:val="0"/>
          <w:lang w:val="sr-Cyrl-RS"/>
          <w14:ligatures w14:val="none"/>
        </w:rPr>
        <w:t xml:space="preserve"> </w:t>
      </w:r>
      <w:r w:rsidR="00D70853" w:rsidRPr="00226F9D">
        <w:rPr>
          <w:rFonts w:ascii="Times New Roman" w:eastAsia="Arial" w:hAnsi="Times New Roman" w:cs="Times New Roman"/>
          <w:i/>
          <w:iCs/>
          <w:kern w:val="0"/>
          <w:lang w:val="sr-Latn-RS"/>
          <w14:ligatures w14:val="none"/>
        </w:rPr>
        <w:t>ante</w:t>
      </w:r>
      <w:r w:rsidR="00D70853" w:rsidRPr="00226F9D">
        <w:rPr>
          <w:rFonts w:ascii="Times New Roman" w:eastAsia="Arial" w:hAnsi="Times New Roman" w:cs="Times New Roman"/>
          <w:kern w:val="0"/>
          <w:lang w:val="sr-Latn-RS"/>
          <w14:ligatures w14:val="none"/>
        </w:rPr>
        <w:t xml:space="preserve"> </w:t>
      </w:r>
      <w:r w:rsidR="00D70853" w:rsidRPr="00226F9D">
        <w:rPr>
          <w:rFonts w:ascii="Times New Roman" w:eastAsia="Arial" w:hAnsi="Times New Roman" w:cs="Times New Roman"/>
          <w:kern w:val="0"/>
          <w:lang w:val="sr-Cyrl-RS"/>
          <w14:ligatures w14:val="none"/>
        </w:rPr>
        <w:t xml:space="preserve">анализа. </w:t>
      </w:r>
      <w:r w:rsidR="00FE2EFC" w:rsidRPr="00226F9D">
        <w:rPr>
          <w:rFonts w:ascii="Times New Roman" w:eastAsia="Arial" w:hAnsi="Times New Roman" w:cs="Times New Roman"/>
          <w:kern w:val="0"/>
          <w:lang w:val="sr-Cyrl-RS"/>
          <w14:ligatures w14:val="none"/>
        </w:rPr>
        <w:t>Ова</w:t>
      </w:r>
      <w:r w:rsidR="00DD57B3" w:rsidRPr="00226F9D">
        <w:rPr>
          <w:rFonts w:ascii="Times New Roman" w:eastAsia="Arial" w:hAnsi="Times New Roman" w:cs="Times New Roman"/>
          <w:kern w:val="0"/>
          <w:lang w:val="sr-Cyrl-RS"/>
          <w14:ligatures w14:val="none"/>
        </w:rPr>
        <w:t xml:space="preserve"> анализ</w:t>
      </w:r>
      <w:r w:rsidR="00FE2EFC" w:rsidRPr="00226F9D">
        <w:rPr>
          <w:rFonts w:ascii="Times New Roman" w:eastAsia="Arial" w:hAnsi="Times New Roman" w:cs="Times New Roman"/>
          <w:kern w:val="0"/>
          <w:lang w:val="sr-Cyrl-RS"/>
          <w14:ligatures w14:val="none"/>
        </w:rPr>
        <w:t>а</w:t>
      </w:r>
      <w:r w:rsidR="00DD57B3" w:rsidRPr="00226F9D">
        <w:rPr>
          <w:rFonts w:ascii="Times New Roman" w:eastAsia="Arial" w:hAnsi="Times New Roman" w:cs="Times New Roman"/>
          <w:kern w:val="0"/>
          <w:lang w:val="sr-Cyrl-RS"/>
          <w14:ligatures w14:val="none"/>
        </w:rPr>
        <w:t xml:space="preserve"> размотр</w:t>
      </w:r>
      <w:r w:rsidR="00FE2EFC" w:rsidRPr="00226F9D">
        <w:rPr>
          <w:rFonts w:ascii="Times New Roman" w:eastAsia="Arial" w:hAnsi="Times New Roman" w:cs="Times New Roman"/>
          <w:kern w:val="0"/>
          <w:lang w:val="sr-Cyrl-RS"/>
          <w14:ligatures w14:val="none"/>
        </w:rPr>
        <w:t>и</w:t>
      </w:r>
      <w:r w:rsidR="000E00AC" w:rsidRPr="00226F9D">
        <w:rPr>
          <w:rFonts w:ascii="Times New Roman" w:eastAsia="Arial" w:hAnsi="Times New Roman" w:cs="Times New Roman"/>
          <w:kern w:val="0"/>
          <w:lang w:val="sr-Cyrl-RS"/>
          <w14:ligatures w14:val="none"/>
        </w:rPr>
        <w:t>ћ</w:t>
      </w:r>
      <w:r w:rsidR="00FE2EFC" w:rsidRPr="00226F9D">
        <w:rPr>
          <w:rFonts w:ascii="Times New Roman" w:eastAsia="Arial" w:hAnsi="Times New Roman" w:cs="Times New Roman"/>
          <w:kern w:val="0"/>
          <w:lang w:val="sr-Cyrl-RS"/>
          <w14:ligatures w14:val="none"/>
        </w:rPr>
        <w:t>е</w:t>
      </w:r>
      <w:r w:rsidR="00BE751D" w:rsidRPr="00226F9D">
        <w:rPr>
          <w:rFonts w:ascii="Times New Roman" w:eastAsia="Arial" w:hAnsi="Times New Roman" w:cs="Times New Roman"/>
          <w:kern w:val="0"/>
          <w:lang w:val="sr-Cyrl-RS"/>
          <w14:ligatures w14:val="none"/>
        </w:rPr>
        <w:t xml:space="preserve"> потребе и </w:t>
      </w:r>
      <w:r w:rsidR="00FE2EFC" w:rsidRPr="00226F9D">
        <w:rPr>
          <w:rFonts w:ascii="Times New Roman" w:eastAsia="Arial" w:hAnsi="Times New Roman" w:cs="Times New Roman"/>
          <w:kern w:val="0"/>
          <w:lang w:val="sr-Cyrl-RS"/>
          <w14:ligatures w14:val="none"/>
        </w:rPr>
        <w:t>правце</w:t>
      </w:r>
      <w:r w:rsidR="00BE751D" w:rsidRPr="00226F9D">
        <w:rPr>
          <w:rFonts w:ascii="Times New Roman" w:eastAsia="Arial" w:hAnsi="Times New Roman" w:cs="Times New Roman"/>
          <w:kern w:val="0"/>
          <w:lang w:val="sr-Cyrl-RS"/>
          <w14:ligatures w14:val="none"/>
        </w:rPr>
        <w:t xml:space="preserve"> </w:t>
      </w:r>
      <w:r w:rsidR="00BE751D" w:rsidRPr="00226F9D">
        <w:rPr>
          <w:rFonts w:ascii="Times New Roman" w:eastAsia="Arial" w:hAnsi="Times New Roman" w:cs="Times New Roman"/>
          <w:kern w:val="0"/>
          <w:lang w:val="sr-Cyrl-RS"/>
          <w14:ligatures w14:val="none"/>
        </w:rPr>
        <w:lastRenderedPageBreak/>
        <w:t>измен</w:t>
      </w:r>
      <w:r w:rsidR="00FE2EFC" w:rsidRPr="00226F9D">
        <w:rPr>
          <w:rFonts w:ascii="Times New Roman" w:eastAsia="Arial" w:hAnsi="Times New Roman" w:cs="Times New Roman"/>
          <w:kern w:val="0"/>
          <w:lang w:val="sr-Cyrl-RS"/>
          <w14:ligatures w14:val="none"/>
        </w:rPr>
        <w:t>е</w:t>
      </w:r>
      <w:r w:rsidR="00BE751D" w:rsidRPr="00226F9D">
        <w:rPr>
          <w:rFonts w:ascii="Times New Roman" w:eastAsia="Arial" w:hAnsi="Times New Roman" w:cs="Times New Roman"/>
          <w:kern w:val="0"/>
          <w:lang w:val="sr-Cyrl-RS"/>
          <w14:ligatures w14:val="none"/>
        </w:rPr>
        <w:t xml:space="preserve"> Закона о локалној самоуправи</w:t>
      </w:r>
      <w:r w:rsidR="000E00AC" w:rsidRPr="00226F9D">
        <w:rPr>
          <w:rFonts w:ascii="Times New Roman" w:eastAsia="Arial" w:hAnsi="Times New Roman" w:cs="Times New Roman"/>
          <w:kern w:val="0"/>
          <w:lang w:val="sr-Cyrl-RS"/>
          <w14:ligatures w14:val="none"/>
        </w:rPr>
        <w:t>,</w:t>
      </w:r>
      <w:r w:rsidR="00BE751D" w:rsidRPr="00226F9D">
        <w:rPr>
          <w:rFonts w:ascii="Times New Roman" w:eastAsia="Arial" w:hAnsi="Times New Roman" w:cs="Times New Roman"/>
          <w:kern w:val="0"/>
          <w:lang w:val="sr-Cyrl-RS"/>
          <w14:ligatures w14:val="none"/>
        </w:rPr>
        <w:t xml:space="preserve"> </w:t>
      </w:r>
      <w:r w:rsidR="000E00AC" w:rsidRPr="00226F9D">
        <w:rPr>
          <w:rFonts w:ascii="Times New Roman" w:eastAsia="Arial" w:hAnsi="Times New Roman" w:cs="Times New Roman"/>
          <w:kern w:val="0"/>
          <w:lang w:val="sr-Cyrl-RS"/>
          <w14:ligatures w14:val="none"/>
        </w:rPr>
        <w:t>а</w:t>
      </w:r>
      <w:r w:rsidR="00BE751D" w:rsidRPr="00226F9D">
        <w:rPr>
          <w:rFonts w:ascii="Times New Roman" w:eastAsia="Arial" w:hAnsi="Times New Roman" w:cs="Times New Roman"/>
          <w:kern w:val="0"/>
          <w:lang w:val="sr-Cyrl-RS"/>
          <w14:ligatures w14:val="none"/>
        </w:rPr>
        <w:t xml:space="preserve"> посебно </w:t>
      </w:r>
      <w:r w:rsidR="00F60A0E" w:rsidRPr="00226F9D">
        <w:rPr>
          <w:rFonts w:ascii="Times New Roman" w:eastAsia="Arial" w:hAnsi="Times New Roman" w:cs="Times New Roman"/>
          <w:kern w:val="0"/>
          <w:lang w:val="sr-Cyrl-RS"/>
          <w14:ligatures w14:val="none"/>
        </w:rPr>
        <w:t>идеје које су већ раније дефинисане</w:t>
      </w:r>
      <w:r w:rsidRPr="00226F9D">
        <w:rPr>
          <w:rFonts w:ascii="Times New Roman" w:eastAsia="Arial" w:hAnsi="Times New Roman" w:cs="Times New Roman"/>
          <w:kern w:val="0"/>
          <w:lang w:val="sr-Cyrl-RS"/>
          <w14:ligatures w14:val="none"/>
        </w:rPr>
        <w:t xml:space="preserve"> као </w:t>
      </w:r>
      <w:r w:rsidR="00825E2B" w:rsidRPr="00226F9D">
        <w:rPr>
          <w:rFonts w:ascii="Times New Roman" w:eastAsia="Arial" w:hAnsi="Times New Roman" w:cs="Times New Roman"/>
          <w:kern w:val="0"/>
          <w:lang w:val="sr-Cyrl-RS"/>
          <w14:ligatures w14:val="none"/>
        </w:rPr>
        <w:t>могући</w:t>
      </w:r>
      <w:r w:rsidR="00F3112C" w:rsidRPr="00226F9D">
        <w:rPr>
          <w:rFonts w:ascii="Times New Roman" w:eastAsia="Arial" w:hAnsi="Times New Roman" w:cs="Times New Roman"/>
          <w:kern w:val="0"/>
          <w:lang w:val="sr-Cyrl-RS"/>
          <w14:ligatures w14:val="none"/>
        </w:rPr>
        <w:t xml:space="preserve"> правац измена </w:t>
      </w:r>
      <w:r w:rsidR="00825E2B" w:rsidRPr="00226F9D">
        <w:rPr>
          <w:rFonts w:ascii="Times New Roman" w:eastAsia="Arial" w:hAnsi="Times New Roman" w:cs="Times New Roman"/>
          <w:kern w:val="0"/>
          <w:lang w:val="sr-Cyrl-RS"/>
          <w14:ligatures w14:val="none"/>
        </w:rPr>
        <w:t>и допуна закона</w:t>
      </w:r>
      <w:r w:rsidR="00F3112C" w:rsidRPr="00226F9D">
        <w:rPr>
          <w:rFonts w:ascii="Times New Roman" w:eastAsia="Arial" w:hAnsi="Times New Roman" w:cs="Times New Roman"/>
          <w:kern w:val="0"/>
          <w:lang w:val="sr-Cyrl-RS"/>
          <w14:ligatures w14:val="none"/>
        </w:rPr>
        <w:t>:</w:t>
      </w:r>
      <w:r w:rsidR="00C86EDC" w:rsidRPr="00226F9D">
        <w:rPr>
          <w:rFonts w:ascii="Times New Roman" w:eastAsia="Arial" w:hAnsi="Times New Roman" w:cs="Times New Roman"/>
          <w:kern w:val="0"/>
          <w:lang w:val="sr-Cyrl-RS"/>
          <w14:ligatures w14:val="none"/>
        </w:rPr>
        <w:t xml:space="preserve"> јачање улоге</w:t>
      </w:r>
      <w:r w:rsidRPr="00226F9D">
        <w:rPr>
          <w:rFonts w:ascii="Times New Roman" w:eastAsia="Arial" w:hAnsi="Times New Roman" w:cs="Times New Roman"/>
          <w:kern w:val="0"/>
          <w:lang w:val="sr-Cyrl-RS"/>
          <w14:ligatures w14:val="none"/>
        </w:rPr>
        <w:t xml:space="preserve"> локалн</w:t>
      </w:r>
      <w:r w:rsidR="00C86EDC" w:rsidRPr="00226F9D">
        <w:rPr>
          <w:rFonts w:ascii="Times New Roman" w:eastAsia="Arial" w:hAnsi="Times New Roman" w:cs="Times New Roman"/>
          <w:kern w:val="0"/>
          <w:lang w:val="sr-Cyrl-RS"/>
          <w14:ligatures w14:val="none"/>
        </w:rPr>
        <w:t>е</w:t>
      </w:r>
      <w:r w:rsidRPr="00226F9D">
        <w:rPr>
          <w:rFonts w:ascii="Times New Roman" w:eastAsia="Arial" w:hAnsi="Times New Roman" w:cs="Times New Roman"/>
          <w:kern w:val="0"/>
          <w:lang w:val="sr-Cyrl-RS"/>
          <w14:ligatures w14:val="none"/>
        </w:rPr>
        <w:t xml:space="preserve"> скупштин</w:t>
      </w:r>
      <w:r w:rsidR="00C86EDC" w:rsidRPr="00226F9D">
        <w:rPr>
          <w:rFonts w:ascii="Times New Roman" w:eastAsia="Arial" w:hAnsi="Times New Roman" w:cs="Times New Roman"/>
          <w:kern w:val="0"/>
          <w:lang w:val="sr-Cyrl-RS"/>
          <w14:ligatures w14:val="none"/>
        </w:rPr>
        <w:t>е</w:t>
      </w:r>
      <w:r w:rsidRPr="00226F9D">
        <w:rPr>
          <w:rFonts w:ascii="Times New Roman" w:eastAsia="Arial" w:hAnsi="Times New Roman" w:cs="Times New Roman"/>
          <w:kern w:val="0"/>
          <w:lang w:val="sr-Cyrl-RS"/>
          <w14:ligatures w14:val="none"/>
        </w:rPr>
        <w:t xml:space="preserve"> (унапређење њене надзорне функције и јачање положаја њених радних тела); </w:t>
      </w:r>
      <w:r w:rsidR="00C86EDC" w:rsidRPr="00226F9D">
        <w:rPr>
          <w:rFonts w:ascii="Times New Roman" w:eastAsia="Arial" w:hAnsi="Times New Roman" w:cs="Times New Roman"/>
          <w:kern w:val="0"/>
          <w:lang w:val="sr-Cyrl-RS"/>
          <w14:ligatures w14:val="none"/>
        </w:rPr>
        <w:t xml:space="preserve">унапређење </w:t>
      </w:r>
      <w:r w:rsidRPr="00226F9D">
        <w:rPr>
          <w:rFonts w:ascii="Times New Roman" w:eastAsia="Arial" w:hAnsi="Times New Roman" w:cs="Times New Roman"/>
          <w:kern w:val="0"/>
          <w:lang w:val="sr-Cyrl-RS"/>
          <w14:ligatures w14:val="none"/>
        </w:rPr>
        <w:t>транспарентност</w:t>
      </w:r>
      <w:r w:rsidR="00C86EDC" w:rsidRPr="00226F9D">
        <w:rPr>
          <w:rFonts w:ascii="Times New Roman" w:eastAsia="Arial" w:hAnsi="Times New Roman" w:cs="Times New Roman"/>
          <w:kern w:val="0"/>
          <w:lang w:val="sr-Cyrl-RS"/>
          <w14:ligatures w14:val="none"/>
        </w:rPr>
        <w:t>и</w:t>
      </w:r>
      <w:r w:rsidRPr="00226F9D">
        <w:rPr>
          <w:rFonts w:ascii="Times New Roman" w:eastAsia="Arial" w:hAnsi="Times New Roman" w:cs="Times New Roman"/>
          <w:kern w:val="0"/>
          <w:lang w:val="sr-Cyrl-RS"/>
          <w14:ligatures w14:val="none"/>
        </w:rPr>
        <w:t xml:space="preserve"> рада локалне самоуправе (унапређење транспарентности и доступности прописа из изворне надлежности у електронском облику</w:t>
      </w:r>
      <w:r w:rsidR="008C4C4B" w:rsidRPr="00226F9D">
        <w:rPr>
          <w:rFonts w:ascii="Times New Roman" w:eastAsia="Arial" w:hAnsi="Times New Roman" w:cs="Times New Roman"/>
          <w:kern w:val="0"/>
          <w:lang w:val="sr-Cyrl-RS"/>
          <w14:ligatures w14:val="none"/>
        </w:rPr>
        <w:t xml:space="preserve"> и др.</w:t>
      </w:r>
      <w:r w:rsidRPr="00226F9D">
        <w:rPr>
          <w:rFonts w:ascii="Times New Roman" w:eastAsia="Arial" w:hAnsi="Times New Roman" w:cs="Times New Roman"/>
          <w:kern w:val="0"/>
          <w:lang w:val="sr-Cyrl-RS"/>
          <w14:ligatures w14:val="none"/>
        </w:rPr>
        <w:t xml:space="preserve">); </w:t>
      </w:r>
      <w:r w:rsidR="000D72E0" w:rsidRPr="00226F9D">
        <w:rPr>
          <w:rFonts w:ascii="Times New Roman" w:eastAsia="Arial" w:hAnsi="Times New Roman" w:cs="Times New Roman"/>
          <w:kern w:val="0"/>
          <w:lang w:val="sr-Cyrl-RS"/>
          <w14:ligatures w14:val="none"/>
        </w:rPr>
        <w:t xml:space="preserve">развијања нових модалитета управљања процесом поверавања надлежности јединицама локалне самоуправе </w:t>
      </w:r>
      <w:r w:rsidRPr="00226F9D">
        <w:rPr>
          <w:rFonts w:ascii="Times New Roman" w:eastAsia="Arial" w:hAnsi="Times New Roman" w:cs="Times New Roman"/>
          <w:kern w:val="0"/>
          <w:lang w:val="sr-Cyrl-RS"/>
          <w14:ligatures w14:val="none"/>
        </w:rPr>
        <w:t>(</w:t>
      </w:r>
      <w:r w:rsidR="002E59AC" w:rsidRPr="00226F9D">
        <w:rPr>
          <w:rFonts w:ascii="Times New Roman" w:eastAsia="Arial" w:hAnsi="Times New Roman" w:cs="Times New Roman"/>
          <w:kern w:val="0"/>
          <w:lang w:val="sr-Cyrl-RS"/>
          <w14:ligatures w14:val="none"/>
        </w:rPr>
        <w:t>преношење у зависности од капацитета, преузимање веће одговорности од стране градова и др.</w:t>
      </w:r>
      <w:r w:rsidRPr="00226F9D">
        <w:rPr>
          <w:rFonts w:ascii="Times New Roman" w:eastAsia="Arial" w:hAnsi="Times New Roman" w:cs="Times New Roman"/>
          <w:kern w:val="0"/>
          <w:lang w:val="sr-Cyrl-RS"/>
          <w14:ligatures w14:val="none"/>
        </w:rPr>
        <w:t xml:space="preserve">); укључивање локалне самоуправе у одлучивање </w:t>
      </w:r>
      <w:r w:rsidR="008C4C4B" w:rsidRPr="00226F9D">
        <w:rPr>
          <w:rFonts w:ascii="Times New Roman" w:eastAsia="Arial" w:hAnsi="Times New Roman" w:cs="Times New Roman"/>
          <w:kern w:val="0"/>
          <w:lang w:val="sr-Cyrl-RS"/>
          <w14:ligatures w14:val="none"/>
        </w:rPr>
        <w:t xml:space="preserve">у законима и другим прописима који се на њу односе </w:t>
      </w:r>
      <w:r w:rsidRPr="00226F9D">
        <w:rPr>
          <w:rFonts w:ascii="Times New Roman" w:eastAsia="Arial" w:hAnsi="Times New Roman" w:cs="Times New Roman"/>
          <w:kern w:val="0"/>
          <w:lang w:val="sr-Cyrl-RS"/>
          <w14:ligatures w14:val="none"/>
        </w:rPr>
        <w:t xml:space="preserve">(обавезност консултација са репрезентативним удружењем локалне самоуправе); </w:t>
      </w:r>
      <w:r w:rsidR="001922B5" w:rsidRPr="00226F9D">
        <w:rPr>
          <w:rFonts w:ascii="Times New Roman" w:eastAsia="Arial" w:hAnsi="Times New Roman" w:cs="Times New Roman"/>
          <w:kern w:val="0"/>
          <w:lang w:val="sr-Cyrl-RS"/>
          <w14:ligatures w14:val="none"/>
        </w:rPr>
        <w:t xml:space="preserve">јачање позиције </w:t>
      </w:r>
      <w:r w:rsidRPr="00226F9D">
        <w:rPr>
          <w:rFonts w:ascii="Times New Roman" w:eastAsia="Arial" w:hAnsi="Times New Roman" w:cs="Times New Roman"/>
          <w:kern w:val="0"/>
          <w:lang w:val="sr-Cyrl-RS"/>
          <w14:ligatures w14:val="none"/>
        </w:rPr>
        <w:t>локалн</w:t>
      </w:r>
      <w:r w:rsidR="001922B5" w:rsidRPr="00226F9D">
        <w:rPr>
          <w:rFonts w:ascii="Times New Roman" w:eastAsia="Arial" w:hAnsi="Times New Roman" w:cs="Times New Roman"/>
          <w:kern w:val="0"/>
          <w:lang w:val="sr-Cyrl-RS"/>
          <w14:ligatures w14:val="none"/>
        </w:rPr>
        <w:t>ог</w:t>
      </w:r>
      <w:r w:rsidRPr="00226F9D">
        <w:rPr>
          <w:rFonts w:ascii="Times New Roman" w:eastAsia="Arial" w:hAnsi="Times New Roman" w:cs="Times New Roman"/>
          <w:kern w:val="0"/>
          <w:lang w:val="sr-Cyrl-RS"/>
          <w14:ligatures w14:val="none"/>
        </w:rPr>
        <w:t xml:space="preserve"> омбудсман</w:t>
      </w:r>
      <w:r w:rsidR="001922B5" w:rsidRPr="00226F9D">
        <w:rPr>
          <w:rFonts w:ascii="Times New Roman" w:eastAsia="Arial" w:hAnsi="Times New Roman" w:cs="Times New Roman"/>
          <w:kern w:val="0"/>
          <w:lang w:val="sr-Cyrl-RS"/>
          <w14:ligatures w14:val="none"/>
        </w:rPr>
        <w:t>а</w:t>
      </w:r>
      <w:r w:rsidRPr="00226F9D">
        <w:rPr>
          <w:rFonts w:ascii="Times New Roman" w:eastAsia="Arial" w:hAnsi="Times New Roman" w:cs="Times New Roman"/>
          <w:kern w:val="0"/>
          <w:lang w:val="sr-Cyrl-RS"/>
          <w14:ligatures w14:val="none"/>
        </w:rPr>
        <w:t xml:space="preserve"> (увођење обавезности ове функције</w:t>
      </w:r>
      <w:r w:rsidR="001922B5" w:rsidRPr="00226F9D">
        <w:rPr>
          <w:rFonts w:ascii="Times New Roman" w:eastAsia="Arial" w:hAnsi="Times New Roman" w:cs="Times New Roman"/>
          <w:kern w:val="0"/>
          <w:lang w:val="sr-Cyrl-RS"/>
          <w14:ligatures w14:val="none"/>
        </w:rPr>
        <w:t xml:space="preserve"> </w:t>
      </w:r>
      <w:r w:rsidR="009B603C" w:rsidRPr="00226F9D">
        <w:rPr>
          <w:rFonts w:ascii="Times New Roman" w:eastAsia="Arial" w:hAnsi="Times New Roman" w:cs="Times New Roman"/>
          <w:kern w:val="0"/>
          <w:lang w:val="sr-Cyrl-RS"/>
          <w14:ligatures w14:val="none"/>
        </w:rPr>
        <w:t>и већа примена међуопштинске сарадње у функционисању ов</w:t>
      </w:r>
      <w:r w:rsidR="00362102" w:rsidRPr="00226F9D">
        <w:rPr>
          <w:rFonts w:ascii="Times New Roman" w:eastAsia="Arial" w:hAnsi="Times New Roman" w:cs="Times New Roman"/>
          <w:kern w:val="0"/>
          <w:lang w:val="sr-Cyrl-RS"/>
          <w14:ligatures w14:val="none"/>
        </w:rPr>
        <w:t>е</w:t>
      </w:r>
      <w:r w:rsidR="009B603C" w:rsidRPr="00226F9D">
        <w:rPr>
          <w:rFonts w:ascii="Times New Roman" w:eastAsia="Arial" w:hAnsi="Times New Roman" w:cs="Times New Roman"/>
          <w:kern w:val="0"/>
          <w:lang w:val="sr-Cyrl-RS"/>
          <w14:ligatures w14:val="none"/>
        </w:rPr>
        <w:t xml:space="preserve"> </w:t>
      </w:r>
      <w:r w:rsidR="00A913E7" w:rsidRPr="00226F9D">
        <w:rPr>
          <w:rFonts w:ascii="Times New Roman" w:eastAsia="Arial" w:hAnsi="Times New Roman" w:cs="Times New Roman"/>
          <w:kern w:val="0"/>
          <w:lang w:val="sr-Cyrl-RS"/>
          <w14:ligatures w14:val="none"/>
        </w:rPr>
        <w:t xml:space="preserve">локалне </w:t>
      </w:r>
      <w:r w:rsidR="00362102" w:rsidRPr="00226F9D">
        <w:rPr>
          <w:rFonts w:ascii="Times New Roman" w:eastAsia="Arial" w:hAnsi="Times New Roman" w:cs="Times New Roman"/>
          <w:kern w:val="0"/>
          <w:lang w:val="sr-Cyrl-RS"/>
          <w14:ligatures w14:val="none"/>
        </w:rPr>
        <w:t xml:space="preserve">институције за </w:t>
      </w:r>
      <w:r w:rsidR="00A913E7" w:rsidRPr="00226F9D">
        <w:rPr>
          <w:rFonts w:ascii="Times New Roman" w:eastAsia="Arial" w:hAnsi="Times New Roman" w:cs="Times New Roman"/>
          <w:kern w:val="0"/>
          <w:lang w:val="sr-Cyrl-RS"/>
          <w14:ligatures w14:val="none"/>
        </w:rPr>
        <w:t>заштиту права грађа</w:t>
      </w:r>
      <w:r w:rsidR="009B603C" w:rsidRPr="00226F9D">
        <w:rPr>
          <w:rFonts w:ascii="Times New Roman" w:eastAsia="Arial" w:hAnsi="Times New Roman" w:cs="Times New Roman"/>
          <w:kern w:val="0"/>
          <w:lang w:val="sr-Cyrl-RS"/>
          <w14:ligatures w14:val="none"/>
        </w:rPr>
        <w:t>на</w:t>
      </w:r>
      <w:r w:rsidRPr="00226F9D">
        <w:rPr>
          <w:rFonts w:ascii="Times New Roman" w:eastAsia="Arial" w:hAnsi="Times New Roman" w:cs="Times New Roman"/>
          <w:kern w:val="0"/>
          <w:lang w:val="sr-Cyrl-RS"/>
          <w14:ligatures w14:val="none"/>
        </w:rPr>
        <w:t>).</w:t>
      </w:r>
    </w:p>
    <w:p w14:paraId="6C70ECA0" w14:textId="77777777" w:rsidR="006C4F9D" w:rsidRPr="00226F9D" w:rsidRDefault="006C4F9D" w:rsidP="00090884">
      <w:pPr>
        <w:spacing w:after="0" w:line="240" w:lineRule="auto"/>
        <w:jc w:val="both"/>
        <w:rPr>
          <w:rFonts w:ascii="Times New Roman" w:eastAsia="Arial" w:hAnsi="Times New Roman" w:cs="Times New Roman"/>
          <w:kern w:val="0"/>
          <w:lang w:val="sr-Cyrl-RS"/>
          <w14:ligatures w14:val="none"/>
        </w:rPr>
      </w:pPr>
    </w:p>
    <w:p w14:paraId="37C5E909" w14:textId="4A6D0635"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Ове законске новине биће праћене нормативном подршком за њихову примену у </w:t>
      </w:r>
      <w:r w:rsidR="00D36A7F" w:rsidRPr="00226F9D">
        <w:rPr>
          <w:rFonts w:ascii="Times New Roman" w:eastAsia="Arial" w:hAnsi="Times New Roman" w:cs="Times New Roman"/>
          <w:kern w:val="0"/>
          <w:lang w:val="sr-Cyrl-RS"/>
          <w14:ligatures w14:val="none"/>
        </w:rPr>
        <w:t>ЈЛС</w:t>
      </w:r>
      <w:r w:rsidRPr="00226F9D">
        <w:rPr>
          <w:rFonts w:ascii="Times New Roman" w:eastAsia="Arial" w:hAnsi="Times New Roman" w:cs="Times New Roman"/>
          <w:kern w:val="0"/>
          <w:lang w:val="sr-Cyrl-RS"/>
          <w14:ligatures w14:val="none"/>
        </w:rPr>
        <w:t xml:space="preserve">, кроз припрему најважнијих модела аката: модел статута, модел пословника о раду скупштине, модели пратећих аката за успостављање другостепеног органа, модели извештаја извршних органа, као и модел одлуке о објављивању правних аката </w:t>
      </w:r>
      <w:r w:rsidR="00783CF5" w:rsidRPr="00226F9D">
        <w:rPr>
          <w:rFonts w:ascii="Times New Roman" w:eastAsia="Arial" w:hAnsi="Times New Roman" w:cs="Times New Roman"/>
          <w:kern w:val="0"/>
          <w:lang w:val="sr-Cyrl-RS"/>
          <w14:ligatures w14:val="none"/>
        </w:rPr>
        <w:t>ЈЛС</w:t>
      </w:r>
      <w:r w:rsidRPr="00226F9D">
        <w:rPr>
          <w:rFonts w:ascii="Times New Roman" w:eastAsia="Arial" w:hAnsi="Times New Roman" w:cs="Times New Roman"/>
          <w:kern w:val="0"/>
          <w:lang w:val="sr-Cyrl-RS"/>
          <w14:ligatures w14:val="none"/>
        </w:rPr>
        <w:t>.</w:t>
      </w:r>
    </w:p>
    <w:p w14:paraId="1080C1F1" w14:textId="77777777" w:rsidR="00810BD9" w:rsidRPr="00226F9D" w:rsidRDefault="00810BD9" w:rsidP="00090884">
      <w:pPr>
        <w:spacing w:after="0" w:line="240" w:lineRule="auto"/>
        <w:jc w:val="both"/>
        <w:rPr>
          <w:rFonts w:ascii="Times New Roman" w:eastAsia="Arial" w:hAnsi="Times New Roman" w:cs="Times New Roman"/>
          <w:kern w:val="0"/>
          <w:lang w:val="sr-Cyrl-RS"/>
          <w14:ligatures w14:val="none"/>
        </w:rPr>
      </w:pPr>
    </w:p>
    <w:p w14:paraId="3E89D9E8" w14:textId="6F8F5C0F" w:rsidR="00CF32C3" w:rsidRPr="00226F9D" w:rsidRDefault="00CF32C3" w:rsidP="00090884">
      <w:pPr>
        <w:spacing w:after="0" w:line="240" w:lineRule="auto"/>
        <w:jc w:val="both"/>
        <w:rPr>
          <w:rFonts w:ascii="Times New Roman" w:eastAsia="Arial" w:hAnsi="Times New Roman" w:cs="Times New Roman"/>
          <w:color w:val="000000" w:themeColor="text1"/>
          <w:kern w:val="0"/>
          <w:lang w:val="sr-Cyrl-RS"/>
          <w14:ligatures w14:val="none"/>
        </w:rPr>
      </w:pPr>
      <w:r w:rsidRPr="00226F9D">
        <w:rPr>
          <w:rFonts w:ascii="Times New Roman" w:eastAsia="Arial" w:hAnsi="Times New Roman" w:cs="Times New Roman"/>
          <w:kern w:val="0"/>
          <w:lang w:val="sr-Cyrl-RS"/>
          <w14:ligatures w14:val="none"/>
        </w:rPr>
        <w:t xml:space="preserve">Правни оквир Републике Србије треба да буде </w:t>
      </w:r>
      <w:r w:rsidR="003A4565" w:rsidRPr="00226F9D">
        <w:rPr>
          <w:rFonts w:ascii="Times New Roman" w:eastAsia="Arial" w:hAnsi="Times New Roman" w:cs="Times New Roman"/>
          <w:kern w:val="0"/>
          <w:lang w:val="sr-Cyrl-RS"/>
          <w14:ligatures w14:val="none"/>
        </w:rPr>
        <w:t>максимално могуће</w:t>
      </w:r>
      <w:r w:rsidRPr="00226F9D">
        <w:rPr>
          <w:rFonts w:ascii="Times New Roman" w:eastAsia="Arial" w:hAnsi="Times New Roman" w:cs="Times New Roman"/>
          <w:kern w:val="0"/>
          <w:lang w:val="sr-Cyrl-RS"/>
          <w14:ligatures w14:val="none"/>
        </w:rPr>
        <w:t xml:space="preserve"> усклађен са начелима ЕПЛС, што изискује </w:t>
      </w:r>
      <w:r w:rsidR="003A4565" w:rsidRPr="00226F9D">
        <w:rPr>
          <w:rFonts w:ascii="Times New Roman" w:eastAsia="Arial" w:hAnsi="Times New Roman" w:cs="Times New Roman"/>
          <w:kern w:val="0"/>
          <w:lang w:val="sr-Cyrl-RS"/>
          <w14:ligatures w14:val="none"/>
        </w:rPr>
        <w:t xml:space="preserve">разматрање могућности за њену даљу или потпуну ратификацију. У складу са тим, </w:t>
      </w:r>
      <w:r w:rsidRPr="00226F9D">
        <w:rPr>
          <w:rFonts w:ascii="Times New Roman" w:eastAsia="Arial" w:hAnsi="Times New Roman" w:cs="Times New Roman"/>
          <w:kern w:val="0"/>
          <w:lang w:val="sr-Cyrl-RS"/>
          <w14:ligatures w14:val="none"/>
        </w:rPr>
        <w:t>приступиће се изради анализе правног система РС, тј. сагледавању уставних и законских прилагођавања неопходних за пуну ратификацију ЕПЛС</w:t>
      </w:r>
      <w:r w:rsidRPr="00226F9D">
        <w:rPr>
          <w:rFonts w:ascii="Times New Roman" w:eastAsia="Times New Roman" w:hAnsi="Times New Roman" w:cs="Times New Roman"/>
          <w:kern w:val="0"/>
          <w:lang w:val="sr-Cyrl-RS"/>
          <w14:ligatures w14:val="none"/>
        </w:rPr>
        <w:t xml:space="preserve"> </w:t>
      </w:r>
      <w:r w:rsidRPr="00226F9D">
        <w:rPr>
          <w:rFonts w:ascii="Times New Roman" w:eastAsia="Arial" w:hAnsi="Times New Roman" w:cs="Times New Roman"/>
          <w:kern w:val="0"/>
          <w:lang w:val="sr-Cyrl-RS"/>
          <w14:ligatures w14:val="none"/>
        </w:rPr>
        <w:t>(примена принципа из члана 4. став 3 – супсидијарност; члана 4. став 4 – слобода ЛС у прилагођавању својих активности лока</w:t>
      </w:r>
      <w:r w:rsidR="00976BC6">
        <w:rPr>
          <w:rFonts w:ascii="Times New Roman" w:eastAsia="Arial" w:hAnsi="Times New Roman" w:cs="Times New Roman"/>
          <w:kern w:val="0"/>
          <w:lang w:val="sr-Cyrl-RS"/>
          <w14:ligatures w14:val="none"/>
        </w:rPr>
        <w:t>лним условима; и члана 8. став 3</w:t>
      </w:r>
      <w:r w:rsidRPr="00226F9D">
        <w:rPr>
          <w:rFonts w:ascii="Times New Roman" w:eastAsia="Arial" w:hAnsi="Times New Roman" w:cs="Times New Roman"/>
          <w:kern w:val="0"/>
          <w:lang w:val="sr-Cyrl-RS"/>
          <w14:ligatures w14:val="none"/>
        </w:rPr>
        <w:t xml:space="preserve"> – сразмерна административна контрола). Посебно захтеван аспект анализе и сагледавања могућности примене кроз домаћи правни оквир, очекиван је у погледу начела супсидијарности. У</w:t>
      </w:r>
      <w:bookmarkStart w:id="22" w:name="_Toc60136102"/>
      <w:bookmarkEnd w:id="21"/>
      <w:r w:rsidRPr="00226F9D">
        <w:rPr>
          <w:rFonts w:ascii="Times New Roman" w:eastAsia="Arial" w:hAnsi="Times New Roman" w:cs="Times New Roman"/>
          <w:kern w:val="0"/>
          <w:lang w:val="sr-Cyrl-RS"/>
          <w14:ligatures w14:val="none"/>
        </w:rPr>
        <w:t xml:space="preserve"> складу са овим начелом, јавне послове првенствено треба да обављају јавне власти које су најближе грађанима, осим када другачије налажу обим и природа тих послова, односно захтеви ефикасности и сврсисходности. Ово је темељно начело европског </w:t>
      </w:r>
      <w:r w:rsidRPr="00226F9D">
        <w:rPr>
          <w:rFonts w:ascii="Times New Roman" w:eastAsia="Arial" w:hAnsi="Times New Roman" w:cs="Times New Roman"/>
          <w:color w:val="000000" w:themeColor="text1"/>
          <w:kern w:val="0"/>
          <w:lang w:val="sr-Cyrl-RS"/>
          <w14:ligatures w14:val="none"/>
        </w:rPr>
        <w:t>концепта локалне самоуправе, које је основ за добро организовање система јавне управе и за развој локалне самоуправе и локалне демократије у целини.</w:t>
      </w:r>
      <w:bookmarkEnd w:id="22"/>
      <w:r w:rsidRPr="00226F9D">
        <w:rPr>
          <w:rFonts w:ascii="Times New Roman" w:eastAsia="Arial" w:hAnsi="Times New Roman" w:cs="Times New Roman"/>
          <w:color w:val="000000" w:themeColor="text1"/>
          <w:kern w:val="0"/>
          <w:lang w:val="sr-Cyrl-RS"/>
          <w14:ligatures w14:val="none"/>
        </w:rPr>
        <w:t xml:space="preserve"> По спроведеној анализи, додатна ратификација сходно налазима анализе – била би формализована кроз нове измене и допуне Закона о </w:t>
      </w:r>
      <w:r w:rsidR="00C81155" w:rsidRPr="00226F9D">
        <w:rPr>
          <w:rFonts w:ascii="Times New Roman" w:eastAsia="Arial" w:hAnsi="Times New Roman" w:cs="Times New Roman"/>
          <w:color w:val="000000" w:themeColor="text1"/>
          <w:kern w:val="0"/>
          <w:lang w:val="sr-Cyrl-RS"/>
          <w14:ligatures w14:val="none"/>
        </w:rPr>
        <w:t xml:space="preserve">потврђивању </w:t>
      </w:r>
      <w:r w:rsidRPr="00226F9D">
        <w:rPr>
          <w:rFonts w:ascii="Times New Roman" w:eastAsia="Arial" w:hAnsi="Times New Roman" w:cs="Times New Roman"/>
          <w:color w:val="000000" w:themeColor="text1"/>
          <w:kern w:val="0"/>
          <w:lang w:val="sr-Cyrl-RS"/>
          <w14:ligatures w14:val="none"/>
        </w:rPr>
        <w:t xml:space="preserve">ЕПЛС. </w:t>
      </w:r>
    </w:p>
    <w:p w14:paraId="4BD2201B" w14:textId="77777777" w:rsidR="00810BD9" w:rsidRPr="00226F9D" w:rsidRDefault="00810BD9" w:rsidP="00090884">
      <w:pPr>
        <w:spacing w:after="0" w:line="240" w:lineRule="auto"/>
        <w:jc w:val="both"/>
        <w:rPr>
          <w:rFonts w:ascii="Times New Roman" w:eastAsia="Arial" w:hAnsi="Times New Roman" w:cs="Times New Roman"/>
          <w:color w:val="000000" w:themeColor="text1"/>
          <w:kern w:val="0"/>
          <w:lang w:val="sr-Cyrl-RS"/>
          <w14:ligatures w14:val="none"/>
        </w:rPr>
      </w:pPr>
    </w:p>
    <w:p w14:paraId="497978BD" w14:textId="7580CAF7"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color w:val="000000" w:themeColor="text1"/>
          <w:kern w:val="0"/>
          <w:lang w:val="sr-Cyrl-RS"/>
          <w14:ligatures w14:val="none"/>
        </w:rPr>
        <w:t xml:space="preserve">Реформа управног система у Србији кроз предвиђене измене и допуне Закона о државној управи имаће важан утицај на функционисање локалне самоуправе у виду доношења одлука у законским роковима, као и потенцијално ефикасније и ефективније спровођење поверених надлежности. Ове законске измене и допуне ће се у домену релевантном за локалну самоуправу тицати дефинисаног крајњег рока за давање сагласности, мишљења или усвајање акта од стране органа државне управе, а који је део процедуре коју спроводи јединица локалне самоуправе, крајњег рока за достављање података на захтев јединица локалне самоуправе, као и </w:t>
      </w:r>
      <w:r w:rsidRPr="00226F9D">
        <w:rPr>
          <w:rFonts w:ascii="Times New Roman" w:eastAsia="Arial" w:hAnsi="Times New Roman" w:cs="Times New Roman"/>
          <w:kern w:val="0"/>
          <w:lang w:val="sr-Cyrl-RS"/>
          <w14:ligatures w14:val="none"/>
        </w:rPr>
        <w:t>унапређења функционисања управних округа, што укључује и дефинисање могућности за заједничко (тј. међуопштинско) обављање поверених послова локалне самоуправе на нивоу управног округа.</w:t>
      </w:r>
    </w:p>
    <w:p w14:paraId="68F763C2" w14:textId="77777777" w:rsidR="000D72E0" w:rsidRPr="00226F9D" w:rsidRDefault="000D72E0" w:rsidP="00090884">
      <w:pPr>
        <w:spacing w:after="0" w:line="240" w:lineRule="auto"/>
        <w:jc w:val="both"/>
        <w:rPr>
          <w:rFonts w:ascii="Times New Roman" w:eastAsia="Arial" w:hAnsi="Times New Roman" w:cs="Times New Roman"/>
          <w:color w:val="000000" w:themeColor="text1"/>
          <w:kern w:val="0"/>
          <w:lang w:val="sr-Cyrl-RS"/>
          <w14:ligatures w14:val="none"/>
        </w:rPr>
      </w:pPr>
    </w:p>
    <w:p w14:paraId="5419D43C" w14:textId="32B68DD7"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 xml:space="preserve">Важан корак у реформи изборног система у локалној самоуправи биће посебна анализа </w:t>
      </w:r>
      <w:r w:rsidRPr="00226F9D">
        <w:rPr>
          <w:rFonts w:ascii="Times New Roman" w:eastAsia="Arial" w:hAnsi="Times New Roman" w:cs="Times New Roman"/>
          <w:kern w:val="0"/>
          <w:lang w:val="sr-Cyrl-RS"/>
          <w14:ligatures w14:val="none"/>
        </w:rPr>
        <w:t xml:space="preserve">правног оквира за спровођење локалних избора, у циљу даљег развоја професионализације локалних изборних комисија (сталног и проширеног састава). </w:t>
      </w:r>
      <w:r w:rsidR="00E111B4" w:rsidRPr="00226F9D">
        <w:rPr>
          <w:rFonts w:ascii="Times New Roman" w:eastAsia="Times New Roman" w:hAnsi="Times New Roman" w:cs="Times New Roman"/>
          <w:kern w:val="0"/>
          <w:lang w:val="sr-Cyrl-RS"/>
          <w14:ligatures w14:val="none"/>
        </w:rPr>
        <w:t>То налаже израду мапе пута за унапређење професионалних капацитета локалне изборне администрације. У њој треба да буде формулисан одговор на потребу за увођењем обавезе стручног усавршавања за чланове локалних изборних комисија, а првенствено за председнике и секретаре. Ова мапа пута представљаће стога и један од комплементарних извора за измене и допуне локалног изборног законодавства.</w:t>
      </w:r>
      <w:r w:rsidR="006E1ECB" w:rsidRPr="00226F9D">
        <w:rPr>
          <w:rFonts w:ascii="Times New Roman" w:eastAsia="Arial" w:hAnsi="Times New Roman" w:cs="Times New Roman"/>
          <w:kern w:val="0"/>
          <w:lang w:val="sr-Cyrl-RS"/>
          <w14:ligatures w14:val="none"/>
        </w:rPr>
        <w:t xml:space="preserve"> </w:t>
      </w:r>
      <w:r w:rsidRPr="00226F9D">
        <w:rPr>
          <w:rFonts w:ascii="Times New Roman" w:eastAsia="Arial" w:hAnsi="Times New Roman" w:cs="Times New Roman"/>
          <w:kern w:val="0"/>
          <w:lang w:val="sr-Cyrl-RS"/>
          <w14:ligatures w14:val="none"/>
        </w:rPr>
        <w:t xml:space="preserve">У складу са овом </w:t>
      </w:r>
      <w:r w:rsidR="006E1ECB" w:rsidRPr="00226F9D">
        <w:rPr>
          <w:rFonts w:ascii="Times New Roman" w:eastAsia="Arial" w:hAnsi="Times New Roman" w:cs="Times New Roman"/>
          <w:kern w:val="0"/>
          <w:lang w:val="sr-Cyrl-RS"/>
          <w14:ligatures w14:val="none"/>
        </w:rPr>
        <w:t>Мапо</w:t>
      </w:r>
      <w:r w:rsidR="007F37D4" w:rsidRPr="00226F9D">
        <w:rPr>
          <w:rFonts w:ascii="Times New Roman" w:eastAsia="Arial" w:hAnsi="Times New Roman" w:cs="Times New Roman"/>
          <w:kern w:val="0"/>
          <w:lang w:val="sr-Cyrl-RS"/>
          <w14:ligatures w14:val="none"/>
        </w:rPr>
        <w:t>м</w:t>
      </w:r>
      <w:r w:rsidR="006E1ECB" w:rsidRPr="00226F9D">
        <w:rPr>
          <w:rFonts w:ascii="Times New Roman" w:eastAsia="Arial" w:hAnsi="Times New Roman" w:cs="Times New Roman"/>
          <w:kern w:val="0"/>
          <w:lang w:val="sr-Cyrl-RS"/>
          <w14:ligatures w14:val="none"/>
        </w:rPr>
        <w:t xml:space="preserve"> пута </w:t>
      </w:r>
      <w:r w:rsidRPr="00226F9D">
        <w:rPr>
          <w:rFonts w:ascii="Times New Roman" w:eastAsia="Arial" w:hAnsi="Times New Roman" w:cs="Times New Roman"/>
          <w:kern w:val="0"/>
          <w:lang w:val="sr-Cyrl-RS"/>
          <w14:ligatures w14:val="none"/>
        </w:rPr>
        <w:t xml:space="preserve">као и са другим релевантним анализама (претходно урађене </w:t>
      </w:r>
      <w:r w:rsidRPr="00226F9D">
        <w:rPr>
          <w:rFonts w:ascii="Times New Roman" w:eastAsia="Arial" w:hAnsi="Times New Roman" w:cs="Times New Roman"/>
          <w:i/>
          <w:kern w:val="0"/>
          <w:lang w:val="sr-Cyrl-RS"/>
          <w14:ligatures w14:val="none"/>
        </w:rPr>
        <w:t>ex-post</w:t>
      </w:r>
      <w:r w:rsidRPr="00226F9D">
        <w:rPr>
          <w:rFonts w:ascii="Times New Roman" w:eastAsia="Arial" w:hAnsi="Times New Roman" w:cs="Times New Roman"/>
          <w:kern w:val="0"/>
          <w:lang w:val="sr-Cyrl-RS"/>
          <w14:ligatures w14:val="none"/>
        </w:rPr>
        <w:t xml:space="preserve"> анализе), приступиће се изради измена и допуна Закона о локалним </w:t>
      </w:r>
      <w:r w:rsidRPr="00226F9D">
        <w:rPr>
          <w:rFonts w:ascii="Times New Roman" w:eastAsia="Arial" w:hAnsi="Times New Roman" w:cs="Times New Roman"/>
          <w:kern w:val="0"/>
          <w:lang w:val="sr-Cyrl-RS"/>
          <w14:ligatures w14:val="none"/>
        </w:rPr>
        <w:lastRenderedPageBreak/>
        <w:t>изборима, и</w:t>
      </w:r>
      <w:r w:rsidR="00103A22" w:rsidRPr="00226F9D">
        <w:rPr>
          <w:rFonts w:ascii="Times New Roman" w:eastAsia="Arial" w:hAnsi="Times New Roman" w:cs="Times New Roman"/>
          <w:kern w:val="0"/>
          <w:lang w:val="sr-Cyrl-RS"/>
          <w14:ligatures w14:val="none"/>
        </w:rPr>
        <w:t>,</w:t>
      </w:r>
      <w:r w:rsidR="006E1ECB" w:rsidRPr="00226F9D">
        <w:rPr>
          <w:rFonts w:ascii="Times New Roman" w:eastAsia="Arial" w:hAnsi="Times New Roman" w:cs="Times New Roman"/>
          <w:kern w:val="0"/>
          <w:lang w:val="sr-Cyrl-RS"/>
          <w14:ligatures w14:val="none"/>
        </w:rPr>
        <w:t xml:space="preserve"> по потреби</w:t>
      </w:r>
      <w:r w:rsidR="00103A22" w:rsidRPr="00226F9D">
        <w:rPr>
          <w:rFonts w:ascii="Times New Roman" w:eastAsia="Arial" w:hAnsi="Times New Roman" w:cs="Times New Roman"/>
          <w:kern w:val="0"/>
          <w:lang w:val="sr-Cyrl-RS"/>
          <w14:ligatures w14:val="none"/>
        </w:rPr>
        <w:t>,</w:t>
      </w:r>
      <w:r w:rsidRPr="00226F9D">
        <w:rPr>
          <w:rFonts w:ascii="Times New Roman" w:eastAsia="Arial" w:hAnsi="Times New Roman" w:cs="Times New Roman"/>
          <w:kern w:val="0"/>
          <w:lang w:val="sr-Cyrl-RS"/>
          <w14:ligatures w14:val="none"/>
        </w:rPr>
        <w:t xml:space="preserve"> одредби других изборних закона које се сходно примењују на локалне изборе. У том процесу </w:t>
      </w:r>
      <w:r w:rsidRPr="00226F9D">
        <w:rPr>
          <w:rFonts w:ascii="Times New Roman" w:eastAsia="Times New Roman" w:hAnsi="Times New Roman" w:cs="Times New Roman"/>
          <w:kern w:val="0"/>
          <w:lang w:val="sr-Cyrl-RS"/>
          <w14:ligatures w14:val="none"/>
        </w:rPr>
        <w:t>биће организован дијалог са кључни</w:t>
      </w:r>
      <w:r w:rsidR="00A10BE7" w:rsidRPr="00226F9D">
        <w:rPr>
          <w:rFonts w:ascii="Times New Roman" w:eastAsia="Times New Roman" w:hAnsi="Times New Roman" w:cs="Times New Roman"/>
          <w:kern w:val="0"/>
          <w:lang w:val="sr-Cyrl-RS"/>
          <w14:ligatures w14:val="none"/>
        </w:rPr>
        <w:t>м актерима</w:t>
      </w:r>
      <w:r w:rsidRPr="00226F9D">
        <w:rPr>
          <w:rFonts w:ascii="Times New Roman" w:eastAsia="Times New Roman" w:hAnsi="Times New Roman" w:cs="Times New Roman"/>
          <w:kern w:val="0"/>
          <w:lang w:val="sr-Cyrl-RS"/>
          <w14:ligatures w14:val="none"/>
        </w:rPr>
        <w:t xml:space="preserve"> </w:t>
      </w:r>
      <w:r w:rsidR="00646A76" w:rsidRPr="00226F9D">
        <w:rPr>
          <w:rFonts w:ascii="Times New Roman" w:eastAsia="Times New Roman" w:hAnsi="Times New Roman" w:cs="Times New Roman"/>
          <w:kern w:val="0"/>
          <w:lang w:val="sr-Cyrl-RS"/>
          <w14:ligatures w14:val="none"/>
        </w:rPr>
        <w:t xml:space="preserve">о дефинисању нормативне реформе која ће обезбедити </w:t>
      </w:r>
      <w:r w:rsidRPr="00226F9D">
        <w:rPr>
          <w:rFonts w:ascii="Times New Roman" w:eastAsia="Times New Roman" w:hAnsi="Times New Roman" w:cs="Times New Roman"/>
          <w:kern w:val="0"/>
          <w:lang w:val="sr-Cyrl-RS"/>
          <w14:ligatures w14:val="none"/>
        </w:rPr>
        <w:t>систематичну професионализацију</w:t>
      </w:r>
      <w:r w:rsidR="00646A76" w:rsidRPr="00226F9D">
        <w:rPr>
          <w:rFonts w:ascii="Times New Roman" w:eastAsia="Times New Roman" w:hAnsi="Times New Roman" w:cs="Times New Roman"/>
          <w:kern w:val="0"/>
          <w:lang w:val="sr-Cyrl-RS"/>
          <w14:ligatures w14:val="none"/>
        </w:rPr>
        <w:t xml:space="preserve"> и развој капацитета локалних изборних комисија</w:t>
      </w:r>
      <w:r w:rsidRPr="00226F9D">
        <w:rPr>
          <w:rFonts w:ascii="Times New Roman" w:eastAsia="Times New Roman" w:hAnsi="Times New Roman" w:cs="Times New Roman"/>
          <w:kern w:val="0"/>
          <w:lang w:val="sr-Cyrl-RS"/>
          <w14:ligatures w14:val="none"/>
        </w:rPr>
        <w:t xml:space="preserve">. </w:t>
      </w:r>
    </w:p>
    <w:p w14:paraId="7DEFD903" w14:textId="77777777" w:rsidR="00CF32C3" w:rsidRPr="00226F9D" w:rsidRDefault="00CF32C3" w:rsidP="006B59F4">
      <w:pPr>
        <w:spacing w:after="0" w:line="240" w:lineRule="auto"/>
        <w:jc w:val="both"/>
        <w:rPr>
          <w:rFonts w:ascii="Times New Roman" w:eastAsia="Times New Roman" w:hAnsi="Times New Roman" w:cs="Times New Roman"/>
          <w:kern w:val="0"/>
          <w:lang w:val="sr-Cyrl-RS"/>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371"/>
        <w:gridCol w:w="1426"/>
        <w:gridCol w:w="765"/>
        <w:gridCol w:w="765"/>
        <w:gridCol w:w="765"/>
        <w:gridCol w:w="765"/>
        <w:gridCol w:w="765"/>
      </w:tblGrid>
      <w:tr w:rsidR="00CF32C3" w:rsidRPr="00226F9D" w14:paraId="0AA80614" w14:textId="77777777" w:rsidTr="5445EFBE">
        <w:trPr>
          <w:trHeight w:val="278"/>
          <w:tblHeader/>
          <w:jc w:val="center"/>
        </w:trPr>
        <w:tc>
          <w:tcPr>
            <w:tcW w:w="4248" w:type="dxa"/>
            <w:shd w:val="clear" w:color="auto" w:fill="83CAEB" w:themeFill="accent1" w:themeFillTint="66"/>
            <w:vAlign w:val="center"/>
            <w:hideMark/>
          </w:tcPr>
          <w:p w14:paraId="75653269" w14:textId="6CA4E117" w:rsidR="00CF32C3" w:rsidRPr="00226F9D" w:rsidRDefault="00CF32C3" w:rsidP="005A276C">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Показатељ на нивоу мере (показатељ резултата)</w:t>
            </w:r>
          </w:p>
        </w:tc>
        <w:tc>
          <w:tcPr>
            <w:tcW w:w="1387" w:type="dxa"/>
            <w:shd w:val="clear" w:color="auto" w:fill="83CAEB" w:themeFill="accent1" w:themeFillTint="66"/>
            <w:vAlign w:val="center"/>
            <w:hideMark/>
          </w:tcPr>
          <w:p w14:paraId="464BDCC2" w14:textId="77777777" w:rsidR="00CF32C3" w:rsidRPr="00226F9D" w:rsidRDefault="00CF32C3" w:rsidP="005A276C">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743" w:type="dxa"/>
            <w:shd w:val="clear" w:color="auto" w:fill="83CAEB" w:themeFill="accent1" w:themeFillTint="66"/>
            <w:vAlign w:val="center"/>
            <w:hideMark/>
          </w:tcPr>
          <w:p w14:paraId="6760C6A1" w14:textId="77777777" w:rsidR="00CF32C3" w:rsidRPr="00226F9D" w:rsidRDefault="00CF32C3" w:rsidP="005A276C">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743" w:type="dxa"/>
            <w:shd w:val="clear" w:color="auto" w:fill="83CAEB" w:themeFill="accent1" w:themeFillTint="66"/>
            <w:vAlign w:val="center"/>
            <w:hideMark/>
          </w:tcPr>
          <w:p w14:paraId="06B10B9F" w14:textId="77777777" w:rsidR="00CF32C3" w:rsidRPr="00226F9D" w:rsidRDefault="00CF32C3" w:rsidP="005A276C">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743" w:type="dxa"/>
            <w:shd w:val="clear" w:color="auto" w:fill="83CAEB" w:themeFill="accent1" w:themeFillTint="66"/>
            <w:vAlign w:val="center"/>
            <w:hideMark/>
          </w:tcPr>
          <w:p w14:paraId="51179346" w14:textId="77777777" w:rsidR="00CF32C3" w:rsidRPr="00226F9D" w:rsidRDefault="00CF32C3" w:rsidP="005A276C">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743" w:type="dxa"/>
            <w:shd w:val="clear" w:color="auto" w:fill="83CAEB" w:themeFill="accent1" w:themeFillTint="66"/>
            <w:vAlign w:val="center"/>
          </w:tcPr>
          <w:p w14:paraId="1079CD55" w14:textId="77777777" w:rsidR="00CF32C3" w:rsidRPr="00226F9D" w:rsidRDefault="00CF32C3" w:rsidP="005A276C">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743" w:type="dxa"/>
            <w:shd w:val="clear" w:color="auto" w:fill="83CAEB" w:themeFill="accent1" w:themeFillTint="66"/>
            <w:vAlign w:val="center"/>
          </w:tcPr>
          <w:p w14:paraId="2BC6F4BF" w14:textId="77777777" w:rsidR="00CF32C3" w:rsidRPr="00226F9D" w:rsidRDefault="00CF32C3" w:rsidP="005A276C">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CF32C3" w:rsidRPr="00226F9D" w14:paraId="77AC504C" w14:textId="77777777" w:rsidTr="5445EFBE">
        <w:trPr>
          <w:trHeight w:val="278"/>
          <w:jc w:val="center"/>
        </w:trPr>
        <w:tc>
          <w:tcPr>
            <w:tcW w:w="4248" w:type="dxa"/>
            <w:vAlign w:val="center"/>
          </w:tcPr>
          <w:p w14:paraId="023F3B19" w14:textId="7BB62839" w:rsidR="00CF32C3" w:rsidRPr="00226F9D" w:rsidRDefault="34D9224D" w:rsidP="00090884">
            <w:pPr>
              <w:spacing w:after="0" w:line="240" w:lineRule="auto"/>
              <w:jc w:val="both"/>
              <w:rPr>
                <w:rFonts w:ascii="Times New Roman" w:eastAsia="Times New Roman" w:hAnsi="Times New Roman" w:cs="Times New Roman"/>
                <w:color w:val="000000"/>
                <w:kern w:val="0"/>
                <w:sz w:val="20"/>
                <w:szCs w:val="20"/>
                <w:lang w:val="en-GB"/>
                <w14:ligatures w14:val="none"/>
              </w:rPr>
            </w:pPr>
            <w:r w:rsidRPr="00226F9D">
              <w:rPr>
                <w:rFonts w:ascii="Times New Roman" w:eastAsia="Times New Roman" w:hAnsi="Times New Roman" w:cs="Times New Roman"/>
                <w:color w:val="000000"/>
                <w:kern w:val="0"/>
                <w:sz w:val="20"/>
                <w:szCs w:val="20"/>
                <w:lang w:val="sr-Cyrl-RS"/>
                <w14:ligatures w14:val="none"/>
              </w:rPr>
              <w:t>Реформисан системски правни оквир за остваривање локалне самоуправе (Закон о локалној самоуправи и Закон о потврђивању Европске повеље о локалној самоуправи)</w:t>
            </w:r>
            <w:r w:rsidR="001228E0" w:rsidRPr="00226F9D">
              <w:rPr>
                <w:rStyle w:val="FootnoteReference"/>
                <w:rFonts w:ascii="Times New Roman" w:eastAsia="Times New Roman" w:hAnsi="Times New Roman" w:cs="Times New Roman"/>
                <w:color w:val="000000"/>
                <w:kern w:val="0"/>
                <w:sz w:val="20"/>
                <w:szCs w:val="20"/>
                <w:lang w:val="sr-Cyrl-RS"/>
                <w14:ligatures w14:val="none"/>
              </w:rPr>
              <w:footnoteReference w:id="66"/>
            </w:r>
          </w:p>
        </w:tc>
        <w:tc>
          <w:tcPr>
            <w:tcW w:w="1387" w:type="dxa"/>
            <w:vAlign w:val="center"/>
          </w:tcPr>
          <w:p w14:paraId="4ECAE6BA" w14:textId="72D9AA08" w:rsidR="00CF32C3" w:rsidRPr="00226F9D" w:rsidRDefault="00361E0E"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14:ligatures w14:val="none"/>
              </w:rPr>
              <w:t>0(2025)</w:t>
            </w:r>
          </w:p>
        </w:tc>
        <w:tc>
          <w:tcPr>
            <w:tcW w:w="743" w:type="dxa"/>
            <w:vAlign w:val="center"/>
          </w:tcPr>
          <w:p w14:paraId="590253B3" w14:textId="36A346D8" w:rsidR="00CF32C3" w:rsidRPr="00226F9D" w:rsidRDefault="00121C16"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14:ligatures w14:val="none"/>
              </w:rPr>
              <w:t>0</w:t>
            </w:r>
          </w:p>
        </w:tc>
        <w:tc>
          <w:tcPr>
            <w:tcW w:w="743" w:type="dxa"/>
            <w:vAlign w:val="center"/>
          </w:tcPr>
          <w:p w14:paraId="4951DA9C" w14:textId="09360EE3" w:rsidR="00CF32C3" w:rsidRPr="00226F9D" w:rsidRDefault="00C328A5"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1</w:t>
            </w:r>
          </w:p>
        </w:tc>
        <w:tc>
          <w:tcPr>
            <w:tcW w:w="743" w:type="dxa"/>
            <w:vAlign w:val="center"/>
          </w:tcPr>
          <w:p w14:paraId="643C71AE" w14:textId="4D737C38" w:rsidR="00CF32C3" w:rsidRPr="00226F9D" w:rsidRDefault="00B82B23"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1</w:t>
            </w:r>
          </w:p>
        </w:tc>
        <w:tc>
          <w:tcPr>
            <w:tcW w:w="743" w:type="dxa"/>
            <w:vAlign w:val="center"/>
          </w:tcPr>
          <w:p w14:paraId="7DE20656" w14:textId="3CCEA4BF" w:rsidR="00CF32C3" w:rsidRPr="00226F9D" w:rsidRDefault="00B82B23"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1</w:t>
            </w:r>
          </w:p>
        </w:tc>
        <w:tc>
          <w:tcPr>
            <w:tcW w:w="743" w:type="dxa"/>
            <w:vAlign w:val="center"/>
          </w:tcPr>
          <w:p w14:paraId="631A012F" w14:textId="72C089D6" w:rsidR="00CF32C3" w:rsidRPr="00226F9D" w:rsidRDefault="00B82B23"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2</w:t>
            </w:r>
          </w:p>
        </w:tc>
      </w:tr>
    </w:tbl>
    <w:p w14:paraId="05593CA0" w14:textId="77777777" w:rsidR="00B31467" w:rsidRPr="00226F9D" w:rsidRDefault="00B31467" w:rsidP="00C6042B">
      <w:pPr>
        <w:pStyle w:val="Heading4"/>
        <w:jc w:val="both"/>
        <w:rPr>
          <w:rFonts w:ascii="Times New Roman" w:eastAsia="Times New Roman" w:hAnsi="Times New Roman" w:cs="Times New Roman"/>
          <w:lang w:val="sr-Cyrl-RS" w:eastAsia="de-CH"/>
        </w:rPr>
      </w:pPr>
      <w:bookmarkStart w:id="23" w:name="_Toc60136103"/>
      <w:bookmarkStart w:id="24" w:name="_Toc77068870"/>
    </w:p>
    <w:p w14:paraId="34E14A22" w14:textId="79532256" w:rsidR="00CF32C3" w:rsidRPr="00226F9D" w:rsidRDefault="00CF32C3" w:rsidP="00C6042B">
      <w:pPr>
        <w:pStyle w:val="Heading4"/>
        <w:jc w:val="both"/>
        <w:rPr>
          <w:rFonts w:ascii="Times New Roman" w:eastAsia="Times New Roman" w:hAnsi="Times New Roman" w:cs="Times New Roman"/>
          <w:lang w:val="sr-Cyrl-RS" w:eastAsia="de-CH"/>
        </w:rPr>
      </w:pPr>
      <w:r w:rsidRPr="00226F9D">
        <w:rPr>
          <w:rFonts w:ascii="Times New Roman" w:eastAsia="Times New Roman" w:hAnsi="Times New Roman" w:cs="Times New Roman"/>
          <w:lang w:val="sr-Cyrl-RS" w:eastAsia="de-CH"/>
        </w:rPr>
        <w:t xml:space="preserve">Мера 1.2. </w:t>
      </w:r>
      <w:bookmarkEnd w:id="23"/>
      <w:bookmarkEnd w:id="24"/>
      <w:r w:rsidRPr="00226F9D">
        <w:rPr>
          <w:rFonts w:ascii="Times New Roman" w:eastAsia="Times New Roman" w:hAnsi="Times New Roman" w:cs="Times New Roman"/>
          <w:lang w:val="sr-Cyrl-RS" w:eastAsia="de-CH"/>
        </w:rPr>
        <w:t>Унапређење капацитета локалне администрације за примену системског правног оквира за локалну самоуправу</w:t>
      </w:r>
    </w:p>
    <w:p w14:paraId="41E5DCCF" w14:textId="33BC60B4" w:rsidR="00CF32C3" w:rsidRPr="00226F9D" w:rsidRDefault="00CF32C3" w:rsidP="00090884">
      <w:pPr>
        <w:spacing w:after="0" w:line="240" w:lineRule="auto"/>
        <w:jc w:val="both"/>
        <w:rPr>
          <w:rFonts w:ascii="Times New Roman" w:eastAsia="Arial" w:hAnsi="Times New Roman" w:cs="Times New Roman"/>
          <w:kern w:val="0"/>
          <w:lang w:val="sr-Latn-RS"/>
          <w14:ligatures w14:val="none"/>
        </w:rPr>
      </w:pPr>
      <w:r w:rsidRPr="00226F9D">
        <w:rPr>
          <w:rFonts w:ascii="Times New Roman" w:eastAsia="Arial" w:hAnsi="Times New Roman" w:cs="Times New Roman"/>
          <w:kern w:val="0"/>
          <w:lang w:val="sr-Cyrl-RS"/>
          <w14:ligatures w14:val="none"/>
        </w:rPr>
        <w:t>Подршка јединицама локалне самоуправе за примену прописа који на системски начин уређују локалну самоуправу у Републици Србији биће усредсређена на изградњу и унапређење капацитета функционера и службеника који ће радити на примени законских новина. Тако ће измене и допуне Закона о локалној самоуправи изискивати обуку секретара локалних скупштина за примену нових решења о функционисању овог органа, док ће нова решења у домену функционисања локалне управе изискивати одговарајућу обуку запослених у локалним управама.</w:t>
      </w:r>
    </w:p>
    <w:p w14:paraId="3039F78D" w14:textId="77777777" w:rsidR="00716940" w:rsidRPr="00226F9D" w:rsidRDefault="00716940" w:rsidP="00090884">
      <w:pPr>
        <w:spacing w:after="0" w:line="240" w:lineRule="auto"/>
        <w:jc w:val="both"/>
        <w:rPr>
          <w:rFonts w:ascii="Times New Roman" w:eastAsia="Arial" w:hAnsi="Times New Roman" w:cs="Times New Roman"/>
          <w:kern w:val="0"/>
          <w:lang w:val="sr-Latn-RS"/>
          <w14:ligatures w14:val="none"/>
        </w:rPr>
      </w:pPr>
    </w:p>
    <w:p w14:paraId="2A54BE9A" w14:textId="2F8235B1" w:rsidR="00CF32C3" w:rsidRPr="00226F9D" w:rsidRDefault="00CF32C3" w:rsidP="00090884">
      <w:pPr>
        <w:spacing w:after="0" w:line="240" w:lineRule="auto"/>
        <w:jc w:val="both"/>
        <w:rPr>
          <w:rFonts w:ascii="Times New Roman" w:eastAsia="Times New Roman" w:hAnsi="Times New Roman" w:cs="Times New Roman"/>
          <w:kern w:val="0"/>
          <w:lang w:val="sr-Latn-RS"/>
          <w14:ligatures w14:val="none"/>
        </w:rPr>
      </w:pPr>
      <w:r w:rsidRPr="00226F9D">
        <w:rPr>
          <w:rFonts w:ascii="Times New Roman" w:eastAsia="Arial" w:hAnsi="Times New Roman" w:cs="Times New Roman"/>
          <w:kern w:val="0"/>
          <w:lang w:val="sr-Cyrl-RS"/>
          <w14:ligatures w14:val="none"/>
        </w:rPr>
        <w:t xml:space="preserve">Примена реформисаног законодавства у области локалних избора такође ће бити подржана, с једне стране, </w:t>
      </w:r>
      <w:r w:rsidR="0068688E" w:rsidRPr="00226F9D">
        <w:rPr>
          <w:rFonts w:ascii="Times New Roman" w:eastAsia="Arial" w:hAnsi="Times New Roman" w:cs="Times New Roman"/>
          <w:kern w:val="0"/>
          <w:lang w:val="sr-Cyrl-RS"/>
          <w14:ligatures w14:val="none"/>
        </w:rPr>
        <w:t xml:space="preserve">кроз </w:t>
      </w:r>
      <w:r w:rsidRPr="00226F9D">
        <w:rPr>
          <w:rFonts w:ascii="Times New Roman" w:eastAsia="Arial" w:hAnsi="Times New Roman" w:cs="Times New Roman"/>
          <w:kern w:val="0"/>
          <w:lang w:val="sr-Cyrl-RS"/>
          <w14:ligatures w14:val="none"/>
        </w:rPr>
        <w:t>обук</w:t>
      </w:r>
      <w:r w:rsidR="0068688E" w:rsidRPr="00226F9D">
        <w:rPr>
          <w:rFonts w:ascii="Times New Roman" w:eastAsia="Arial" w:hAnsi="Times New Roman" w:cs="Times New Roman"/>
          <w:kern w:val="0"/>
          <w:lang w:val="sr-Cyrl-RS"/>
          <w14:ligatures w14:val="none"/>
        </w:rPr>
        <w:t>у</w:t>
      </w:r>
      <w:r w:rsidRPr="00226F9D">
        <w:rPr>
          <w:rFonts w:ascii="Times New Roman" w:eastAsia="Arial" w:hAnsi="Times New Roman" w:cs="Times New Roman"/>
          <w:kern w:val="0"/>
          <w:lang w:val="sr-Cyrl-RS"/>
          <w14:ligatures w14:val="none"/>
        </w:rPr>
        <w:t xml:space="preserve"> запослених у локалној самоуправи за спровођење нових решења из Закона о  локалним изборима, а с друге стране, израдом </w:t>
      </w:r>
      <w:r w:rsidRPr="00226F9D">
        <w:rPr>
          <w:rFonts w:ascii="Times New Roman" w:eastAsia="Arial" w:hAnsi="Times New Roman" w:cs="Times New Roman"/>
          <w:i/>
          <w:iCs/>
          <w:kern w:val="0"/>
          <w:lang w:val="sr-Cyrl-RS"/>
          <w14:ligatures w14:val="none"/>
        </w:rPr>
        <w:t>Приручника за спровођење локалних избора</w:t>
      </w:r>
      <w:r w:rsidRPr="00226F9D">
        <w:rPr>
          <w:rFonts w:ascii="Times New Roman" w:eastAsia="Arial" w:hAnsi="Times New Roman" w:cs="Times New Roman"/>
          <w:kern w:val="0"/>
          <w:lang w:val="sr-Cyrl-RS"/>
          <w14:ligatures w14:val="none"/>
        </w:rPr>
        <w:t xml:space="preserve"> (који укључује и више десетина модела аката), у циљу јачања капацитета за примену процедура и радњи у спровођењу локалних избора. </w:t>
      </w:r>
      <w:r w:rsidRPr="00226F9D">
        <w:rPr>
          <w:rFonts w:ascii="Times New Roman" w:eastAsia="Times New Roman" w:hAnsi="Times New Roman" w:cs="Times New Roman"/>
          <w:kern w:val="0"/>
          <w:lang w:val="sr-Cyrl-RS"/>
          <w14:ligatures w14:val="none"/>
        </w:rPr>
        <w:t xml:space="preserve">Дакле, по усвајању новог правног оквира за локалне изборе, у сарадњи МДУЛС и СКГО биће израђен нови приручник за спровођење локалних избора, са моделима релевантних аката (по узору на досадашња два издања оваквог приручника – из 2016. и 2020. године). Такође, у складу са корацима дефинисаним у оквиру мапе пута </w:t>
      </w:r>
      <w:r w:rsidR="009D6569" w:rsidRPr="00226F9D">
        <w:rPr>
          <w:rFonts w:ascii="Times New Roman" w:eastAsia="Times New Roman" w:hAnsi="Times New Roman" w:cs="Times New Roman"/>
          <w:kern w:val="0"/>
          <w:lang w:val="sr-Cyrl-RS"/>
          <w14:ligatures w14:val="none"/>
        </w:rPr>
        <w:t>чија</w:t>
      </w:r>
      <w:r w:rsidRPr="00226F9D">
        <w:rPr>
          <w:rFonts w:ascii="Times New Roman" w:eastAsia="Times New Roman" w:hAnsi="Times New Roman" w:cs="Times New Roman"/>
          <w:kern w:val="0"/>
          <w:lang w:val="sr-Cyrl-RS"/>
          <w14:ligatures w14:val="none"/>
        </w:rPr>
        <w:t xml:space="preserve"> је </w:t>
      </w:r>
      <w:r w:rsidR="009D6569" w:rsidRPr="00226F9D">
        <w:rPr>
          <w:rFonts w:ascii="Times New Roman" w:eastAsia="Times New Roman" w:hAnsi="Times New Roman" w:cs="Times New Roman"/>
          <w:kern w:val="0"/>
          <w:lang w:val="sr-Cyrl-RS"/>
          <w14:ligatures w14:val="none"/>
        </w:rPr>
        <w:t>израда предвиђена</w:t>
      </w:r>
      <w:r w:rsidRPr="00226F9D">
        <w:rPr>
          <w:rFonts w:ascii="Times New Roman" w:eastAsia="Times New Roman" w:hAnsi="Times New Roman" w:cs="Times New Roman"/>
          <w:kern w:val="0"/>
          <w:lang w:val="sr-Cyrl-RS"/>
          <w14:ligatures w14:val="none"/>
        </w:rPr>
        <w:t xml:space="preserve"> у </w:t>
      </w:r>
      <w:r w:rsidR="009D6569" w:rsidRPr="00226F9D">
        <w:rPr>
          <w:rFonts w:ascii="Times New Roman" w:eastAsia="Times New Roman" w:hAnsi="Times New Roman" w:cs="Times New Roman"/>
          <w:kern w:val="0"/>
          <w:lang w:val="sr-Cyrl-RS"/>
          <w14:ligatures w14:val="none"/>
        </w:rPr>
        <w:t>склопу реформе</w:t>
      </w:r>
      <w:r w:rsidRPr="00226F9D">
        <w:rPr>
          <w:rFonts w:ascii="Times New Roman" w:eastAsia="Times New Roman" w:hAnsi="Times New Roman" w:cs="Times New Roman"/>
          <w:kern w:val="0"/>
          <w:lang w:val="sr-Cyrl-RS"/>
          <w14:ligatures w14:val="none"/>
        </w:rPr>
        <w:t xml:space="preserve"> </w:t>
      </w:r>
      <w:r w:rsidR="003758A7" w:rsidRPr="00226F9D">
        <w:rPr>
          <w:rFonts w:ascii="Times New Roman" w:eastAsia="Times New Roman" w:hAnsi="Times New Roman" w:cs="Times New Roman"/>
          <w:kern w:val="0"/>
          <w:lang w:val="sr-Cyrl-RS"/>
          <w14:ligatures w14:val="none"/>
        </w:rPr>
        <w:t xml:space="preserve">Закона о локалним изборима, </w:t>
      </w:r>
      <w:r w:rsidRPr="00226F9D">
        <w:rPr>
          <w:rFonts w:ascii="Times New Roman" w:eastAsia="Times New Roman" w:hAnsi="Times New Roman" w:cs="Times New Roman"/>
          <w:kern w:val="0"/>
          <w:lang w:val="sr-Cyrl-RS"/>
          <w14:ligatures w14:val="none"/>
        </w:rPr>
        <w:t>биће израђен</w:t>
      </w:r>
      <w:r w:rsidR="003758A7" w:rsidRPr="00226F9D">
        <w:rPr>
          <w:rFonts w:ascii="Times New Roman" w:eastAsia="Times New Roman" w:hAnsi="Times New Roman" w:cs="Times New Roman"/>
          <w:kern w:val="0"/>
          <w:lang w:val="sr-Cyrl-RS"/>
          <w14:ligatures w14:val="none"/>
        </w:rPr>
        <w:t xml:space="preserve"> и</w:t>
      </w:r>
      <w:r w:rsidRPr="00226F9D">
        <w:rPr>
          <w:rFonts w:ascii="Times New Roman" w:eastAsia="Times New Roman" w:hAnsi="Times New Roman" w:cs="Times New Roman"/>
          <w:kern w:val="0"/>
          <w:lang w:val="sr-Cyrl-RS"/>
          <w14:ligatures w14:val="none"/>
        </w:rPr>
        <w:t xml:space="preserve"> национални програм е-обуке, кој</w:t>
      </w:r>
      <w:r w:rsidRPr="00226F9D">
        <w:rPr>
          <w:rFonts w:ascii="Times New Roman" w:eastAsia="Arial" w:hAnsi="Times New Roman" w:cs="Times New Roman"/>
          <w:kern w:val="0"/>
          <w:lang w:val="sr-Cyrl-RS"/>
          <w14:ligatures w14:val="none"/>
        </w:rPr>
        <w:t>а</w:t>
      </w:r>
      <w:r w:rsidRPr="00226F9D">
        <w:rPr>
          <w:rFonts w:ascii="Times New Roman" w:eastAsia="Times New Roman" w:hAnsi="Times New Roman" w:cs="Times New Roman"/>
          <w:kern w:val="0"/>
          <w:lang w:val="sr-Cyrl-RS"/>
          <w14:ligatures w14:val="none"/>
        </w:rPr>
        <w:t xml:space="preserve"> ће се периодично спроводити с циљем изградње знања у локалној изборној администрацији и добијања сертификата за спровођење локалног изборног поступка.</w:t>
      </w:r>
    </w:p>
    <w:p w14:paraId="15F03B4F" w14:textId="77777777" w:rsidR="007D1C0E" w:rsidRPr="00226F9D" w:rsidRDefault="007D1C0E" w:rsidP="00090884">
      <w:pPr>
        <w:spacing w:after="0" w:line="240" w:lineRule="auto"/>
        <w:jc w:val="both"/>
        <w:rPr>
          <w:rFonts w:ascii="Times New Roman" w:eastAsia="Arial" w:hAnsi="Times New Roman" w:cs="Times New Roman"/>
          <w:kern w:val="0"/>
          <w:lang w:val="sr-Latn-RS"/>
          <w14:ligatures w14:val="none"/>
        </w:rPr>
      </w:pPr>
    </w:p>
    <w:p w14:paraId="1020E5C7" w14:textId="715CBBCB" w:rsidR="00CF32C3" w:rsidRPr="00226F9D" w:rsidRDefault="00CF32C3" w:rsidP="00090884">
      <w:pPr>
        <w:spacing w:after="0" w:line="240" w:lineRule="auto"/>
        <w:jc w:val="both"/>
        <w:rPr>
          <w:rFonts w:ascii="Times New Roman" w:eastAsia="Arial" w:hAnsi="Times New Roman" w:cs="Times New Roman"/>
          <w:kern w:val="0"/>
          <w:lang w:val="sr-Latn-RS"/>
          <w14:ligatures w14:val="none"/>
        </w:rPr>
      </w:pPr>
      <w:r w:rsidRPr="00226F9D">
        <w:rPr>
          <w:rFonts w:ascii="Times New Roman" w:eastAsia="Arial" w:hAnsi="Times New Roman" w:cs="Times New Roman"/>
          <w:kern w:val="0"/>
          <w:lang w:val="sr-Cyrl-RS"/>
          <w14:ligatures w14:val="none"/>
        </w:rPr>
        <w:t>Примена Закона о референдуму и народној иницијативи (као и одредби Закона о локалној самоуправи које се односе на ову област), биће подржана</w:t>
      </w:r>
      <w:r w:rsidR="005B6AA6" w:rsidRPr="00226F9D">
        <w:rPr>
          <w:rFonts w:ascii="Times New Roman" w:eastAsia="Arial" w:hAnsi="Times New Roman" w:cs="Times New Roman"/>
          <w:kern w:val="0"/>
          <w:lang w:val="sr-Cyrl-RS"/>
          <w14:ligatures w14:val="none"/>
        </w:rPr>
        <w:t xml:space="preserve"> кроз спровођење обуке за</w:t>
      </w:r>
      <w:r w:rsidRPr="00226F9D">
        <w:rPr>
          <w:rFonts w:ascii="Times New Roman" w:eastAsia="Arial" w:hAnsi="Times New Roman" w:cs="Times New Roman"/>
          <w:kern w:val="0"/>
          <w:lang w:val="sr-Cyrl-RS"/>
          <w14:ligatures w14:val="none"/>
        </w:rPr>
        <w:t xml:space="preserve"> запослен</w:t>
      </w:r>
      <w:r w:rsidR="005B6AA6" w:rsidRPr="00226F9D">
        <w:rPr>
          <w:rFonts w:ascii="Times New Roman" w:eastAsia="Arial" w:hAnsi="Times New Roman" w:cs="Times New Roman"/>
          <w:kern w:val="0"/>
          <w:lang w:val="sr-Cyrl-RS"/>
          <w14:ligatures w14:val="none"/>
        </w:rPr>
        <w:t>е</w:t>
      </w:r>
      <w:r w:rsidRPr="00226F9D">
        <w:rPr>
          <w:rFonts w:ascii="Times New Roman" w:eastAsia="Arial" w:hAnsi="Times New Roman" w:cs="Times New Roman"/>
          <w:kern w:val="0"/>
          <w:lang w:val="sr-Cyrl-RS"/>
          <w14:ligatures w14:val="none"/>
        </w:rPr>
        <w:t xml:space="preserve"> у локалној самоуправи који могу бити ангажовани на спровођењу референдума и народних иницијатива. </w:t>
      </w:r>
    </w:p>
    <w:p w14:paraId="35F1139E" w14:textId="77777777" w:rsidR="007D1C0E" w:rsidRPr="00226F9D" w:rsidRDefault="007D1C0E" w:rsidP="00090884">
      <w:pPr>
        <w:spacing w:after="0" w:line="240" w:lineRule="auto"/>
        <w:jc w:val="both"/>
        <w:rPr>
          <w:rFonts w:ascii="Times New Roman" w:eastAsia="Arial" w:hAnsi="Times New Roman" w:cs="Times New Roman"/>
          <w:kern w:val="0"/>
          <w:lang w:val="sr-Latn-RS"/>
          <w14:ligatures w14:val="none"/>
        </w:rPr>
      </w:pPr>
    </w:p>
    <w:p w14:paraId="591BAFE0" w14:textId="77777777"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Посебна пажња биће посвећена одборницима, као члановима јединог непосредно изабраног органа локалне самоуправе, како би на што компетентнији начин обављали своје дужности у доношењу локалних прописа и у надзору над радом осталих органа локалне самоуправе. Њихова велика бројност налаже што ефикаснији начин постизања великог обухвата, па ће успостављање капацитета новоизабраних одборника за познавање система локалне </w:t>
      </w:r>
      <w:r w:rsidRPr="00226F9D">
        <w:rPr>
          <w:rFonts w:ascii="Times New Roman" w:eastAsia="Arial" w:hAnsi="Times New Roman" w:cs="Times New Roman"/>
          <w:kern w:val="0"/>
          <w:lang w:val="sr-Cyrl-RS"/>
          <w14:ligatures w14:val="none"/>
        </w:rPr>
        <w:lastRenderedPageBreak/>
        <w:t>самоуправе и за остваривање одборничке функције бити подржано посебном електронском обуком.</w:t>
      </w:r>
    </w:p>
    <w:p w14:paraId="16370124" w14:textId="77777777" w:rsidR="00CF32C3" w:rsidRPr="00226F9D" w:rsidRDefault="00CF32C3" w:rsidP="00090884">
      <w:pPr>
        <w:spacing w:after="0" w:line="240" w:lineRule="auto"/>
        <w:jc w:val="both"/>
        <w:rPr>
          <w:rFonts w:ascii="Times New Roman" w:eastAsia="Times New Roman" w:hAnsi="Times New Roman" w:cs="Times New Roman"/>
          <w:b/>
          <w:noProof/>
          <w:kern w:val="0"/>
          <w:lang w:val="sr-Cyrl-RS" w:eastAsia="de-CH"/>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54"/>
        <w:gridCol w:w="1392"/>
        <w:gridCol w:w="1135"/>
        <w:gridCol w:w="1135"/>
        <w:gridCol w:w="1135"/>
        <w:gridCol w:w="1135"/>
        <w:gridCol w:w="1136"/>
      </w:tblGrid>
      <w:tr w:rsidR="0046481F" w:rsidRPr="00226F9D" w14:paraId="7092BA47" w14:textId="77777777" w:rsidTr="005A276C">
        <w:trPr>
          <w:trHeight w:val="278"/>
          <w:tblHeader/>
        </w:trPr>
        <w:tc>
          <w:tcPr>
            <w:tcW w:w="2445" w:type="dxa"/>
            <w:shd w:val="clear" w:color="auto" w:fill="83CAEB" w:themeFill="accent1" w:themeFillTint="66"/>
            <w:vAlign w:val="center"/>
            <w:hideMark/>
          </w:tcPr>
          <w:p w14:paraId="5733709C" w14:textId="66465A96" w:rsidR="00CF32C3" w:rsidRPr="00226F9D" w:rsidRDefault="00CF32C3" w:rsidP="005A276C">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Показатељ(и) на нивоу мере (показатељ резултата)</w:t>
            </w:r>
          </w:p>
        </w:tc>
        <w:tc>
          <w:tcPr>
            <w:tcW w:w="1333" w:type="dxa"/>
            <w:shd w:val="clear" w:color="auto" w:fill="83CAEB" w:themeFill="accent1" w:themeFillTint="66"/>
            <w:vAlign w:val="center"/>
            <w:hideMark/>
          </w:tcPr>
          <w:p w14:paraId="6B73E2CA"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1086" w:type="dxa"/>
            <w:shd w:val="clear" w:color="auto" w:fill="83CAEB" w:themeFill="accent1" w:themeFillTint="66"/>
            <w:vAlign w:val="center"/>
            <w:hideMark/>
          </w:tcPr>
          <w:p w14:paraId="57D06295"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1086" w:type="dxa"/>
            <w:shd w:val="clear" w:color="auto" w:fill="83CAEB" w:themeFill="accent1" w:themeFillTint="66"/>
            <w:vAlign w:val="center"/>
            <w:hideMark/>
          </w:tcPr>
          <w:p w14:paraId="7062CA10"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1086" w:type="dxa"/>
            <w:shd w:val="clear" w:color="auto" w:fill="83CAEB" w:themeFill="accent1" w:themeFillTint="66"/>
            <w:vAlign w:val="center"/>
            <w:hideMark/>
          </w:tcPr>
          <w:p w14:paraId="18EEC326"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1086" w:type="dxa"/>
            <w:shd w:val="clear" w:color="auto" w:fill="83CAEB" w:themeFill="accent1" w:themeFillTint="66"/>
            <w:vAlign w:val="center"/>
          </w:tcPr>
          <w:p w14:paraId="1AC13BAF"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1087" w:type="dxa"/>
            <w:shd w:val="clear" w:color="auto" w:fill="83CAEB" w:themeFill="accent1" w:themeFillTint="66"/>
            <w:vAlign w:val="center"/>
          </w:tcPr>
          <w:p w14:paraId="021B68DE"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CF32C3" w:rsidRPr="00226F9D" w14:paraId="6D7E527F" w14:textId="77777777" w:rsidTr="005A276C">
        <w:trPr>
          <w:trHeight w:val="278"/>
        </w:trPr>
        <w:tc>
          <w:tcPr>
            <w:tcW w:w="2445" w:type="dxa"/>
            <w:vAlign w:val="center"/>
          </w:tcPr>
          <w:p w14:paraId="48012763" w14:textId="70A19FF6" w:rsidR="00CF32C3" w:rsidRPr="00226F9D" w:rsidRDefault="008E6486" w:rsidP="005A276C">
            <w:pPr>
              <w:spacing w:after="0" w:line="240" w:lineRule="auto"/>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Број запослених у ЛС који</w:t>
            </w:r>
            <w:r w:rsidR="00CF32C3" w:rsidRPr="00226F9D">
              <w:rPr>
                <w:rFonts w:ascii="Times New Roman" w:eastAsia="Times New Roman" w:hAnsi="Times New Roman" w:cs="Times New Roman"/>
                <w:color w:val="000000"/>
                <w:kern w:val="0"/>
                <w:sz w:val="20"/>
                <w:szCs w:val="20"/>
                <w:lang w:val="sr-Cyrl-RS"/>
                <w14:ligatures w14:val="none"/>
              </w:rPr>
              <w:t xml:space="preserve"> су обучени за примену нових решења у Закону о локалној самоуправи</w:t>
            </w:r>
            <w:r w:rsidRPr="00226F9D">
              <w:rPr>
                <w:rFonts w:ascii="Times New Roman" w:eastAsia="Times New Roman" w:hAnsi="Times New Roman" w:cs="Times New Roman"/>
                <w:color w:val="000000"/>
                <w:kern w:val="0"/>
                <w:sz w:val="20"/>
                <w:szCs w:val="20"/>
                <w:lang w:val="sr-Cyrl-RS"/>
                <w14:ligatures w14:val="none"/>
              </w:rPr>
              <w:t xml:space="preserve"> (кумулативно)</w:t>
            </w:r>
          </w:p>
        </w:tc>
        <w:tc>
          <w:tcPr>
            <w:tcW w:w="1333" w:type="dxa"/>
            <w:vAlign w:val="center"/>
          </w:tcPr>
          <w:p w14:paraId="6F50D99A" w14:textId="0418DC40"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0 (2025)</w:t>
            </w:r>
          </w:p>
        </w:tc>
        <w:tc>
          <w:tcPr>
            <w:tcW w:w="1086" w:type="dxa"/>
            <w:vAlign w:val="center"/>
          </w:tcPr>
          <w:p w14:paraId="0BB8E495" w14:textId="5561B402" w:rsidR="00CF32C3" w:rsidRPr="00226F9D" w:rsidRDefault="00AF1FA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w:t>
            </w:r>
          </w:p>
        </w:tc>
        <w:tc>
          <w:tcPr>
            <w:tcW w:w="1086" w:type="dxa"/>
            <w:vAlign w:val="center"/>
          </w:tcPr>
          <w:p w14:paraId="4F25D084" w14:textId="1E030331" w:rsidR="00CF32C3" w:rsidRPr="00226F9D" w:rsidRDefault="00E27CB2"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50</w:t>
            </w:r>
          </w:p>
        </w:tc>
        <w:tc>
          <w:tcPr>
            <w:tcW w:w="1086" w:type="dxa"/>
            <w:vAlign w:val="center"/>
          </w:tcPr>
          <w:p w14:paraId="78BD2E1E" w14:textId="7694818E" w:rsidR="00CF32C3" w:rsidRPr="00226F9D" w:rsidRDefault="00E27CB2"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200</w:t>
            </w:r>
          </w:p>
        </w:tc>
        <w:tc>
          <w:tcPr>
            <w:tcW w:w="1086" w:type="dxa"/>
            <w:vAlign w:val="center"/>
          </w:tcPr>
          <w:p w14:paraId="0C9F30C2" w14:textId="70D0D90C" w:rsidR="00CF32C3" w:rsidRPr="00226F9D" w:rsidRDefault="00E27CB2"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250</w:t>
            </w:r>
          </w:p>
        </w:tc>
        <w:tc>
          <w:tcPr>
            <w:tcW w:w="1087" w:type="dxa"/>
            <w:vAlign w:val="center"/>
          </w:tcPr>
          <w:p w14:paraId="521E3FB1" w14:textId="1D09D3D1" w:rsidR="00CF32C3" w:rsidRPr="00226F9D" w:rsidRDefault="00E27CB2"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300</w:t>
            </w:r>
          </w:p>
        </w:tc>
      </w:tr>
      <w:tr w:rsidR="00CF32C3" w:rsidRPr="00226F9D" w14:paraId="7D3E40A3" w14:textId="77777777" w:rsidTr="005A276C">
        <w:trPr>
          <w:trHeight w:val="278"/>
        </w:trPr>
        <w:tc>
          <w:tcPr>
            <w:tcW w:w="2445" w:type="dxa"/>
            <w:vAlign w:val="center"/>
          </w:tcPr>
          <w:p w14:paraId="6040E7A2" w14:textId="119736CF" w:rsidR="00CF32C3" w:rsidRPr="00226F9D" w:rsidRDefault="002A71B5" w:rsidP="005A276C">
            <w:pPr>
              <w:spacing w:after="0" w:line="240" w:lineRule="auto"/>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 xml:space="preserve">Број запослених у ЛС који </w:t>
            </w:r>
            <w:r w:rsidR="00CF32C3" w:rsidRPr="00226F9D">
              <w:rPr>
                <w:rFonts w:ascii="Times New Roman" w:eastAsia="Times New Roman" w:hAnsi="Times New Roman" w:cs="Times New Roman"/>
                <w:color w:val="000000"/>
                <w:kern w:val="0"/>
                <w:sz w:val="20"/>
                <w:szCs w:val="20"/>
                <w:lang w:val="sr-Cyrl-RS"/>
                <w14:ligatures w14:val="none"/>
              </w:rPr>
              <w:t xml:space="preserve"> су обучени за </w:t>
            </w:r>
            <w:r w:rsidRPr="00226F9D">
              <w:rPr>
                <w:rFonts w:ascii="Times New Roman" w:eastAsia="Times New Roman" w:hAnsi="Times New Roman" w:cs="Times New Roman"/>
                <w:color w:val="000000"/>
                <w:kern w:val="0"/>
                <w:sz w:val="20"/>
                <w:szCs w:val="20"/>
                <w:lang w:val="sr-Cyrl-RS"/>
                <w14:ligatures w14:val="none"/>
              </w:rPr>
              <w:t>спровођењe</w:t>
            </w:r>
            <w:r w:rsidR="00CF32C3" w:rsidRPr="00226F9D">
              <w:rPr>
                <w:rFonts w:ascii="Times New Roman" w:eastAsia="Times New Roman" w:hAnsi="Times New Roman" w:cs="Times New Roman"/>
                <w:color w:val="000000"/>
                <w:kern w:val="0"/>
                <w:sz w:val="20"/>
                <w:szCs w:val="20"/>
                <w:lang w:val="sr-Cyrl-RS"/>
                <w14:ligatures w14:val="none"/>
              </w:rPr>
              <w:t xml:space="preserve"> поступака референдума и народне иницијативе</w:t>
            </w:r>
            <w:r w:rsidRPr="00226F9D">
              <w:rPr>
                <w:rFonts w:ascii="Times New Roman" w:eastAsia="Times New Roman" w:hAnsi="Times New Roman" w:cs="Times New Roman"/>
                <w:color w:val="000000"/>
                <w:kern w:val="0"/>
                <w:sz w:val="20"/>
                <w:szCs w:val="20"/>
                <w:lang w:val="sr-Cyrl-RS"/>
                <w14:ligatures w14:val="none"/>
              </w:rPr>
              <w:t xml:space="preserve"> (кумулативно)</w:t>
            </w:r>
          </w:p>
        </w:tc>
        <w:tc>
          <w:tcPr>
            <w:tcW w:w="1333" w:type="dxa"/>
            <w:vAlign w:val="center"/>
          </w:tcPr>
          <w:p w14:paraId="35032CA9" w14:textId="42EF672E" w:rsidR="00CF32C3" w:rsidRPr="00226F9D" w:rsidRDefault="00CF32C3"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0 (2025)</w:t>
            </w:r>
          </w:p>
        </w:tc>
        <w:tc>
          <w:tcPr>
            <w:tcW w:w="1086" w:type="dxa"/>
            <w:vAlign w:val="center"/>
          </w:tcPr>
          <w:p w14:paraId="55D51E11" w14:textId="4E1F4FFE" w:rsidR="00CF32C3" w:rsidRPr="00226F9D" w:rsidRDefault="00E45191"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60</w:t>
            </w:r>
          </w:p>
        </w:tc>
        <w:tc>
          <w:tcPr>
            <w:tcW w:w="1086" w:type="dxa"/>
            <w:vAlign w:val="center"/>
          </w:tcPr>
          <w:p w14:paraId="6BEF67BC" w14:textId="1E644631" w:rsidR="00CF32C3" w:rsidRPr="00226F9D" w:rsidRDefault="00E45191"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100</w:t>
            </w:r>
          </w:p>
        </w:tc>
        <w:tc>
          <w:tcPr>
            <w:tcW w:w="1086" w:type="dxa"/>
            <w:vAlign w:val="center"/>
          </w:tcPr>
          <w:p w14:paraId="5A6B9746" w14:textId="214AB5E2" w:rsidR="00CF32C3" w:rsidRPr="00226F9D" w:rsidRDefault="00E45191"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150</w:t>
            </w:r>
          </w:p>
        </w:tc>
        <w:tc>
          <w:tcPr>
            <w:tcW w:w="1086" w:type="dxa"/>
            <w:vAlign w:val="center"/>
          </w:tcPr>
          <w:p w14:paraId="6C973B8F" w14:textId="7A2300D7" w:rsidR="00CF32C3" w:rsidRPr="00226F9D" w:rsidRDefault="00E45191"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200</w:t>
            </w:r>
          </w:p>
        </w:tc>
        <w:tc>
          <w:tcPr>
            <w:tcW w:w="1087" w:type="dxa"/>
            <w:vAlign w:val="center"/>
          </w:tcPr>
          <w:p w14:paraId="00D4C2B5" w14:textId="2A4D36E1" w:rsidR="00CF32C3" w:rsidRPr="00226F9D" w:rsidRDefault="00E45191"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250</w:t>
            </w:r>
          </w:p>
        </w:tc>
      </w:tr>
    </w:tbl>
    <w:p w14:paraId="12934D1C" w14:textId="77777777" w:rsidR="00CF32C3" w:rsidRPr="00226F9D" w:rsidRDefault="00CF32C3" w:rsidP="00090884">
      <w:pPr>
        <w:spacing w:after="0" w:line="240" w:lineRule="auto"/>
        <w:jc w:val="both"/>
        <w:rPr>
          <w:rFonts w:ascii="Times New Roman" w:eastAsia="Times New Roman" w:hAnsi="Times New Roman" w:cs="Times New Roman"/>
          <w:b/>
          <w:i/>
          <w:noProof/>
          <w:color w:val="000000" w:themeColor="text1"/>
          <w:kern w:val="0"/>
          <w:lang w:val="sr-Cyrl-RS" w:eastAsia="de-CH"/>
          <w14:ligatures w14:val="none"/>
        </w:rPr>
      </w:pPr>
      <w:bookmarkStart w:id="25" w:name="_Toc60136104"/>
      <w:bookmarkStart w:id="26" w:name="_Toc77068871"/>
    </w:p>
    <w:p w14:paraId="3AF2760A" w14:textId="47C0DA30" w:rsidR="00CF32C3" w:rsidRPr="00226F9D" w:rsidRDefault="00CF32C3" w:rsidP="00C6042B">
      <w:pPr>
        <w:pStyle w:val="Heading4"/>
        <w:rPr>
          <w:rFonts w:ascii="Times New Roman" w:eastAsia="Times New Roman" w:hAnsi="Times New Roman" w:cs="Times New Roman"/>
          <w:lang w:val="sr-Cyrl-RS" w:eastAsia="de-CH"/>
        </w:rPr>
      </w:pPr>
      <w:r w:rsidRPr="00226F9D">
        <w:rPr>
          <w:rFonts w:ascii="Times New Roman" w:eastAsia="Times New Roman" w:hAnsi="Times New Roman" w:cs="Times New Roman"/>
          <w:lang w:val="sr-Cyrl-RS" w:eastAsia="de-CH"/>
        </w:rPr>
        <w:t xml:space="preserve">Мера 1.3. </w:t>
      </w:r>
      <w:bookmarkEnd w:id="25"/>
      <w:bookmarkEnd w:id="26"/>
      <w:r w:rsidRPr="00226F9D">
        <w:rPr>
          <w:rFonts w:ascii="Times New Roman" w:eastAsia="Times New Roman" w:hAnsi="Times New Roman" w:cs="Times New Roman"/>
          <w:lang w:val="sr-Cyrl-RS" w:eastAsia="de-CH"/>
        </w:rPr>
        <w:t>Унапређење примене принципа доброг управљања у локалној самоуправи </w:t>
      </w:r>
    </w:p>
    <w:p w14:paraId="02A71F93" w14:textId="12FD8619"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bookmarkStart w:id="27" w:name="_Toc60136109"/>
      <w:r w:rsidRPr="00226F9D">
        <w:rPr>
          <w:rFonts w:ascii="Times New Roman" w:eastAsia="Times New Roman" w:hAnsi="Times New Roman" w:cs="Times New Roman"/>
          <w:kern w:val="0"/>
          <w:lang w:val="sr-Cyrl-RS"/>
          <w14:ligatures w14:val="none"/>
        </w:rPr>
        <w:t xml:space="preserve">Овом мером предвиђа се наставак активности усмерених на примену принципа добре управе, кроз различите видове подршке, обуке и промоције, док ће се и у овом програмском периоду праћење развоја у овој области (тј. у подобластима које су у широком обухвату доброг управљања) реализовати кроз периодичне анализе – вредновање учинка ЛС </w:t>
      </w:r>
      <w:r w:rsidR="00582916" w:rsidRPr="00226F9D">
        <w:rPr>
          <w:rFonts w:ascii="Times New Roman" w:eastAsia="Times New Roman" w:hAnsi="Times New Roman" w:cs="Times New Roman"/>
          <w:kern w:val="0"/>
          <w:lang w:val="sr-Cyrl-RS"/>
          <w14:ligatures w14:val="none"/>
        </w:rPr>
        <w:t>путем</w:t>
      </w:r>
      <w:r w:rsidRPr="00226F9D">
        <w:rPr>
          <w:rFonts w:ascii="Times New Roman" w:eastAsia="Times New Roman" w:hAnsi="Times New Roman" w:cs="Times New Roman"/>
          <w:kern w:val="0"/>
          <w:lang w:val="sr-Cyrl-RS"/>
          <w14:ligatures w14:val="none"/>
        </w:rPr>
        <w:t xml:space="preserve"> Индекс</w:t>
      </w:r>
      <w:r w:rsidR="00582916" w:rsidRPr="00226F9D">
        <w:rPr>
          <w:rFonts w:ascii="Times New Roman" w:eastAsia="Times New Roman" w:hAnsi="Times New Roman" w:cs="Times New Roman"/>
          <w:kern w:val="0"/>
          <w:lang w:val="sr-Cyrl-RS"/>
          <w14:ligatures w14:val="none"/>
        </w:rPr>
        <w:t>а</w:t>
      </w:r>
      <w:r w:rsidRPr="00226F9D">
        <w:rPr>
          <w:rFonts w:ascii="Times New Roman" w:eastAsia="Times New Roman" w:hAnsi="Times New Roman" w:cs="Times New Roman"/>
          <w:kern w:val="0"/>
          <w:lang w:val="sr-Cyrl-RS"/>
          <w14:ligatures w14:val="none"/>
        </w:rPr>
        <w:t xml:space="preserve"> доброг управљања који су развили СКГО и МДУЛС (примена на узорку ЛС).</w:t>
      </w:r>
    </w:p>
    <w:p w14:paraId="7F0DA102" w14:textId="77777777" w:rsidR="006C4F9D" w:rsidRPr="00226F9D" w:rsidRDefault="006C4F9D" w:rsidP="00090884">
      <w:pPr>
        <w:spacing w:after="0" w:line="240" w:lineRule="auto"/>
        <w:jc w:val="both"/>
        <w:rPr>
          <w:rFonts w:ascii="Times New Roman" w:eastAsia="Times New Roman" w:hAnsi="Times New Roman" w:cs="Times New Roman"/>
          <w:kern w:val="0"/>
          <w:lang w:val="sr-Cyrl-RS"/>
          <w14:ligatures w14:val="none"/>
        </w:rPr>
      </w:pPr>
    </w:p>
    <w:p w14:paraId="6072F7E2" w14:textId="36BF4DDF" w:rsidR="00CF32C3" w:rsidRPr="00226F9D" w:rsidRDefault="00CF32C3" w:rsidP="00090884">
      <w:pPr>
        <w:spacing w:after="0" w:line="240" w:lineRule="auto"/>
        <w:jc w:val="both"/>
        <w:rPr>
          <w:rFonts w:ascii="Times New Roman" w:eastAsiaTheme="minorEastAsia"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У наредном периоду планира се интензивно спровођење обуке из Општег програма у области добре управе за запослене у ЈЛС,</w:t>
      </w:r>
      <w:r w:rsidRPr="00226F9D">
        <w:rPr>
          <w:rFonts w:ascii="Times New Roman" w:eastAsia="Segoe UI" w:hAnsi="Times New Roman" w:cs="Times New Roman"/>
          <w:color w:val="424242"/>
          <w:kern w:val="0"/>
          <w:lang w:val="sr-Cyrl-RS"/>
          <w14:ligatures w14:val="none"/>
        </w:rPr>
        <w:t xml:space="preserve"> </w:t>
      </w:r>
      <w:r w:rsidRPr="00226F9D">
        <w:rPr>
          <w:rFonts w:ascii="Times New Roman" w:eastAsiaTheme="minorEastAsia" w:hAnsi="Times New Roman" w:cs="Times New Roman"/>
          <w:kern w:val="0"/>
          <w:lang w:val="sr-Cyrl-RS"/>
          <w14:ligatures w14:val="none"/>
        </w:rPr>
        <w:t>са посебним нагласком на теме које се односе на примену принципа доброг управљања и активно укључивање грађана и локалне заједнице у рад и доношење одлука органа локалне самоуправе. Обуке имају суштинску улогу у изградњи отворене, одговорне и инклузивне локалне управе. Кроз спровођење значајног броја регионалних обука и вебинара омогућава се систематско јачање капацитета запослених за примену алата и механизама који подстичу учешће грађана у процесима одлучивања, као што су јавне расправе, консултације, иницијативе и други облици партиципативног управљања.</w:t>
      </w:r>
    </w:p>
    <w:p w14:paraId="641B26FF" w14:textId="3F972D0B" w:rsidR="006A7FD7" w:rsidRPr="00226F9D" w:rsidRDefault="006A7FD7" w:rsidP="00090884">
      <w:pPr>
        <w:spacing w:after="0" w:line="240" w:lineRule="auto"/>
        <w:jc w:val="both"/>
        <w:rPr>
          <w:rFonts w:ascii="Times New Roman" w:eastAsiaTheme="minorEastAsia" w:hAnsi="Times New Roman" w:cs="Times New Roman"/>
          <w:kern w:val="0"/>
          <w:lang w:val="sr-Cyrl-RS"/>
          <w14:ligatures w14:val="none"/>
        </w:rPr>
      </w:pPr>
    </w:p>
    <w:p w14:paraId="7B9476CB" w14:textId="2F681F02" w:rsidR="006C4F9D" w:rsidRPr="00226F9D" w:rsidRDefault="00B81B55" w:rsidP="00090884">
      <w:pPr>
        <w:spacing w:after="0" w:line="240" w:lineRule="auto"/>
        <w:jc w:val="both"/>
        <w:rPr>
          <w:rFonts w:ascii="Times New Roman" w:eastAsiaTheme="minorEastAsia" w:hAnsi="Times New Roman" w:cs="Times New Roman"/>
          <w:kern w:val="0"/>
          <w:lang w:val="sr-Cyrl-RS"/>
          <w14:ligatures w14:val="none"/>
        </w:rPr>
      </w:pPr>
      <w:r w:rsidRPr="00226F9D">
        <w:rPr>
          <w:rFonts w:ascii="Times New Roman" w:eastAsiaTheme="minorEastAsia" w:hAnsi="Times New Roman" w:cs="Times New Roman"/>
          <w:kern w:val="0"/>
          <w:lang w:val="sr-Cyrl-RS"/>
          <w14:ligatures w14:val="none"/>
        </w:rPr>
        <w:t>Пошто управљачка одговорност има кључну улогу у примени принципа доброг управљања</w:t>
      </w:r>
      <w:r w:rsidR="00AB74CC" w:rsidRPr="00226F9D">
        <w:rPr>
          <w:rFonts w:ascii="Times New Roman" w:eastAsiaTheme="minorEastAsia" w:hAnsi="Times New Roman" w:cs="Times New Roman"/>
          <w:kern w:val="0"/>
          <w:lang w:val="sr-Cyrl-RS"/>
          <w14:ligatures w14:val="none"/>
        </w:rPr>
        <w:t>,</w:t>
      </w:r>
      <w:r w:rsidRPr="00226F9D">
        <w:rPr>
          <w:rFonts w:ascii="Times New Roman" w:eastAsiaTheme="minorEastAsia" w:hAnsi="Times New Roman" w:cs="Times New Roman"/>
          <w:kern w:val="0"/>
          <w:lang w:val="sr-Cyrl-RS"/>
          <w14:ligatures w14:val="none"/>
        </w:rPr>
        <w:t xml:space="preserve"> у наредном периоду биће спроведена анализа нивоа управљачке одговорности у системима ЈЛС, уз примену РЕЛОФ индекса, као основ за формулисање препорука за унапређење. Истовремено ће бити обезбеђена стручна и менторска подршка за увођење и јачање система управљања учинком у ЈЛС, а у сарадњи МДУЛС-а и РЕЛОФ пројекта биће развијен дигитални алат који ће омогућити систематично праћење учинка и унапређење квалитета извештавања министарства, уз континуирану подршку за његову одрживу примену.</w:t>
      </w:r>
    </w:p>
    <w:p w14:paraId="10A08C63" w14:textId="77777777" w:rsidR="0051551C" w:rsidRPr="00226F9D" w:rsidRDefault="0051551C" w:rsidP="00090884">
      <w:pPr>
        <w:spacing w:after="0" w:line="240" w:lineRule="auto"/>
        <w:jc w:val="both"/>
        <w:rPr>
          <w:rFonts w:ascii="Times New Roman" w:eastAsia="Times New Roman" w:hAnsi="Times New Roman" w:cs="Times New Roman"/>
          <w:kern w:val="0"/>
          <w:lang w:val="sr-Cyrl-RS"/>
          <w14:ligatures w14:val="none"/>
        </w:rPr>
      </w:pPr>
    </w:p>
    <w:p w14:paraId="359C7CC2" w14:textId="191169CB"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 xml:space="preserve">Посебна пажња биће усмерена на усвајање и примену Етичког кодекса функционера локалне самоуправе и на обуку за његову примену. Наиме, имајући у виду да је до </w:t>
      </w:r>
      <w:r w:rsidR="008E682F" w:rsidRPr="00226F9D">
        <w:rPr>
          <w:rFonts w:ascii="Times New Roman" w:eastAsia="Times New Roman" w:hAnsi="Times New Roman" w:cs="Times New Roman"/>
          <w:kern w:val="0"/>
          <w:lang w:val="sr-Cyrl-RS"/>
          <w14:ligatures w14:val="none"/>
        </w:rPr>
        <w:t>краја</w:t>
      </w:r>
      <w:r w:rsidRPr="00226F9D">
        <w:rPr>
          <w:rFonts w:ascii="Times New Roman" w:eastAsia="Times New Roman" w:hAnsi="Times New Roman" w:cs="Times New Roman"/>
          <w:kern w:val="0"/>
          <w:lang w:val="sr-Cyrl-RS"/>
          <w14:ligatures w14:val="none"/>
        </w:rPr>
        <w:t xml:space="preserve"> 2025. године 36</w:t>
      </w:r>
      <w:r w:rsidR="008E682F" w:rsidRPr="00226F9D">
        <w:rPr>
          <w:rFonts w:ascii="Times New Roman" w:eastAsia="Times New Roman" w:hAnsi="Times New Roman" w:cs="Times New Roman"/>
          <w:kern w:val="0"/>
          <w:lang w:val="sr-Cyrl-RS"/>
          <w14:ligatures w14:val="none"/>
        </w:rPr>
        <w:t>,5</w:t>
      </w:r>
      <w:r w:rsidRPr="00226F9D">
        <w:rPr>
          <w:rFonts w:ascii="Times New Roman" w:eastAsia="Times New Roman" w:hAnsi="Times New Roman" w:cs="Times New Roman"/>
          <w:kern w:val="0"/>
          <w:lang w:val="sr-Cyrl-RS"/>
          <w14:ligatures w14:val="none"/>
        </w:rPr>
        <w:t>% локалних самоуправа усвојило овај документ, постоји значајан простор и потреба да се настави подршка за његово усвајање, уз обуку различитих циљних група о значају овог кодекса и његове ефективне примене. У том смислу, поред годишње обуке за функционере ЛС, планирана је и периодична реализација обуке за локалне савете за праћење примене Етичког кодекса.</w:t>
      </w:r>
      <w:bookmarkEnd w:id="27"/>
    </w:p>
    <w:p w14:paraId="35A3FA18" w14:textId="77777777" w:rsidR="006C4F9D" w:rsidRPr="00226F9D" w:rsidRDefault="006C4F9D" w:rsidP="00090884">
      <w:pPr>
        <w:spacing w:after="0" w:line="240" w:lineRule="auto"/>
        <w:jc w:val="both"/>
        <w:rPr>
          <w:rFonts w:ascii="Times New Roman" w:eastAsia="Times New Roman" w:hAnsi="Times New Roman" w:cs="Times New Roman"/>
          <w:kern w:val="0"/>
          <w:lang w:val="sr-Cyrl-RS"/>
          <w14:ligatures w14:val="none"/>
        </w:rPr>
      </w:pPr>
    </w:p>
    <w:p w14:paraId="4F6AFF49" w14:textId="572A6193" w:rsidR="00CF32C3" w:rsidRPr="00226F9D" w:rsidRDefault="00CF32C3" w:rsidP="00090884">
      <w:pPr>
        <w:spacing w:after="0" w:line="240" w:lineRule="auto"/>
        <w:jc w:val="both"/>
        <w:rPr>
          <w:rFonts w:ascii="Times New Roman" w:eastAsiaTheme="minorEastAsia" w:hAnsi="Times New Roman" w:cs="Times New Roman"/>
          <w:kern w:val="0"/>
          <w:lang w:val="sr-Cyrl-RS"/>
          <w14:ligatures w14:val="none"/>
        </w:rPr>
      </w:pPr>
      <w:r w:rsidRPr="00226F9D">
        <w:rPr>
          <w:rFonts w:ascii="Times New Roman" w:eastAsiaTheme="minorEastAsia" w:hAnsi="Times New Roman" w:cs="Times New Roman"/>
          <w:kern w:val="0"/>
          <w:lang w:val="sr-Cyrl-RS"/>
          <w14:ligatures w14:val="none"/>
        </w:rPr>
        <w:t xml:space="preserve">МДУЛС и СКГО наставиће са организовањем годишњег конкурса за награђивање ЈЛС које примењују принципе доброг управљања и реализују примере најбоље праксе у овој области. Очекује се да ће у наредном периоду у конкурсу учествовати све већи број локалних </w:t>
      </w:r>
      <w:r w:rsidRPr="00226F9D">
        <w:rPr>
          <w:rFonts w:ascii="Times New Roman" w:eastAsiaTheme="minorEastAsia" w:hAnsi="Times New Roman" w:cs="Times New Roman"/>
          <w:kern w:val="0"/>
          <w:lang w:val="sr-Cyrl-RS"/>
          <w14:ligatures w14:val="none"/>
        </w:rPr>
        <w:lastRenderedPageBreak/>
        <w:t>самоуправа, охрабрених досадашњим позитивним искуствима и подстакнутих да представе иновативна решења, одговорне приступе управљању и примере који доприносе унапређењу јавних услуга и квалитету живота грађана. Ова иницијатива има за циљ не само промоцију добрих пракси, већ и подстицање међусобног учења, сарадње и ширења стандарда доброг управљања на локалном нивоу широм Србије.</w:t>
      </w:r>
    </w:p>
    <w:p w14:paraId="4F4D0516" w14:textId="77777777" w:rsidR="006C4F9D" w:rsidRPr="00226F9D" w:rsidRDefault="006C4F9D" w:rsidP="00090884">
      <w:pPr>
        <w:spacing w:after="0" w:line="240" w:lineRule="auto"/>
        <w:jc w:val="both"/>
        <w:rPr>
          <w:rFonts w:ascii="Times New Roman" w:eastAsiaTheme="minorEastAsia" w:hAnsi="Times New Roman" w:cs="Times New Roman"/>
          <w:kern w:val="0"/>
          <w:lang w:val="sr-Cyrl-RS"/>
          <w14:ligatures w14:val="none"/>
        </w:rPr>
      </w:pPr>
    </w:p>
    <w:p w14:paraId="56D06112" w14:textId="1F520A61" w:rsidR="00CF32C3" w:rsidRPr="00226F9D" w:rsidRDefault="00CF32C3" w:rsidP="00090884">
      <w:pPr>
        <w:spacing w:after="0" w:line="240" w:lineRule="auto"/>
        <w:jc w:val="both"/>
        <w:rPr>
          <w:rFonts w:ascii="Times New Roman" w:eastAsiaTheme="minorEastAsia" w:hAnsi="Times New Roman" w:cs="Times New Roman"/>
          <w:kern w:val="0"/>
          <w:lang w:val="sr-Latn-RS"/>
          <w14:ligatures w14:val="none"/>
        </w:rPr>
      </w:pPr>
      <w:r w:rsidRPr="00226F9D">
        <w:rPr>
          <w:rFonts w:ascii="Times New Roman" w:eastAsiaTheme="minorEastAsia" w:hAnsi="Times New Roman" w:cs="Times New Roman"/>
          <w:kern w:val="0"/>
          <w:lang w:val="sr-Cyrl-RS"/>
          <w14:ligatures w14:val="none"/>
        </w:rPr>
        <w:t>У области унапређења доброг управљања, активности на успостављању институције локалног омбудсмана и промоција сарадње кроз форму међуопштинске сарадње заузимају све значајније место. У циљу јачања капацитета локалних самоуправа и обезбеђивања доступности механизама заштите права грађана, планира</w:t>
      </w:r>
      <w:r w:rsidR="005E7A3C" w:rsidRPr="00226F9D">
        <w:rPr>
          <w:rFonts w:ascii="Times New Roman" w:eastAsiaTheme="minorEastAsia" w:hAnsi="Times New Roman" w:cs="Times New Roman"/>
          <w:kern w:val="0"/>
          <w:lang w:val="sr-Cyrl-RS"/>
          <w14:ligatures w14:val="none"/>
        </w:rPr>
        <w:t>на је подршка за</w:t>
      </w:r>
      <w:r w:rsidRPr="00226F9D">
        <w:rPr>
          <w:rFonts w:ascii="Times New Roman" w:eastAsiaTheme="minorEastAsia" w:hAnsi="Times New Roman" w:cs="Times New Roman"/>
          <w:kern w:val="0"/>
          <w:lang w:val="sr-Cyrl-RS"/>
          <w14:ligatures w14:val="none"/>
        </w:rPr>
        <w:t xml:space="preserve"> проширење института локалног омбудсмана на већи број јединица локалне самоуправе. Посебан акценат ставља се на формирање заједничких локалн</w:t>
      </w:r>
      <w:r w:rsidR="006B4064" w:rsidRPr="00226F9D">
        <w:rPr>
          <w:rFonts w:ascii="Times New Roman" w:eastAsiaTheme="minorEastAsia" w:hAnsi="Times New Roman" w:cs="Times New Roman"/>
          <w:kern w:val="0"/>
          <w:lang w:val="sr-Cyrl-RS"/>
          <w14:ligatures w14:val="none"/>
        </w:rPr>
        <w:t>их</w:t>
      </w:r>
      <w:r w:rsidRPr="00226F9D">
        <w:rPr>
          <w:rFonts w:ascii="Times New Roman" w:eastAsiaTheme="minorEastAsia" w:hAnsi="Times New Roman" w:cs="Times New Roman"/>
          <w:kern w:val="0"/>
          <w:lang w:val="sr-Cyrl-RS"/>
          <w14:ligatures w14:val="none"/>
        </w:rPr>
        <w:t xml:space="preserve"> омбудсмана кроз моделе међуопштинске сарадње, што ће омогућити мањим и ресурсно ограниченим општинама да обезбеде ову важну функцију. Оваква организација доприноси већој заштити права грађана, рационализацији трошкова, унапређењу стручности и доступности омбудсмана грађанима, као и уједначавању праксе у поступању по притужбама.</w:t>
      </w:r>
    </w:p>
    <w:p w14:paraId="2C43DFAB" w14:textId="77777777" w:rsidR="00E71E26" w:rsidRPr="00226F9D" w:rsidRDefault="00E71E26" w:rsidP="00090884">
      <w:pPr>
        <w:spacing w:after="0" w:line="240" w:lineRule="auto"/>
        <w:jc w:val="both"/>
        <w:rPr>
          <w:rFonts w:ascii="Times New Roman" w:eastAsiaTheme="minorEastAsia" w:hAnsi="Times New Roman" w:cs="Times New Roman"/>
          <w:kern w:val="0"/>
          <w:lang w:val="sr-Latn-RS"/>
          <w14:ligatures w14:val="none"/>
        </w:rPr>
      </w:pPr>
    </w:p>
    <w:p w14:paraId="1328C94E" w14:textId="645E46AD" w:rsidR="00CF32C3" w:rsidRPr="00226F9D" w:rsidRDefault="00CF32C3" w:rsidP="00090884">
      <w:pPr>
        <w:spacing w:after="0" w:line="240" w:lineRule="auto"/>
        <w:jc w:val="both"/>
        <w:rPr>
          <w:rFonts w:ascii="Times New Roman" w:eastAsiaTheme="minorEastAsia" w:hAnsi="Times New Roman" w:cs="Times New Roman"/>
          <w:kern w:val="0"/>
          <w:lang w:val="sr-Cyrl-RS"/>
          <w14:ligatures w14:val="none"/>
        </w:rPr>
      </w:pPr>
      <w:r w:rsidRPr="00226F9D">
        <w:rPr>
          <w:rFonts w:ascii="Times New Roman" w:eastAsiaTheme="minorEastAsia" w:hAnsi="Times New Roman" w:cs="Times New Roman"/>
          <w:kern w:val="0"/>
          <w:lang w:val="sr-Cyrl-RS"/>
          <w14:ligatures w14:val="none"/>
        </w:rPr>
        <w:t xml:space="preserve">Искорак у новом програмском периоду и у оквиру ове мере, јесте и посвећивање пажње и сагледавање потенцијала за конкретизовање приступа доброг управљања кроз локалне секторске јавне политике. У домену локалне омладинске политике планирано је у том смислу успостављање титуле Омладинске престонице која се по конкурсном принципу додељује ЈЛС.   </w:t>
      </w:r>
    </w:p>
    <w:p w14:paraId="339FDD25" w14:textId="071B7AAF"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33"/>
        <w:gridCol w:w="1325"/>
        <w:gridCol w:w="1098"/>
        <w:gridCol w:w="1099"/>
        <w:gridCol w:w="1098"/>
        <w:gridCol w:w="1099"/>
        <w:gridCol w:w="1099"/>
      </w:tblGrid>
      <w:tr w:rsidR="0046481F" w:rsidRPr="00226F9D" w14:paraId="30EF5D5C" w14:textId="77777777" w:rsidTr="00E71E26">
        <w:trPr>
          <w:trHeight w:val="278"/>
          <w:tblHeader/>
        </w:trPr>
        <w:tc>
          <w:tcPr>
            <w:tcW w:w="2533" w:type="dxa"/>
            <w:shd w:val="clear" w:color="auto" w:fill="83CAEB" w:themeFill="accent1" w:themeFillTint="66"/>
            <w:vAlign w:val="center"/>
            <w:hideMark/>
          </w:tcPr>
          <w:p w14:paraId="16F3A24B" w14:textId="612307BA" w:rsidR="00CF32C3" w:rsidRPr="00226F9D" w:rsidRDefault="00CF32C3" w:rsidP="00E71E26">
            <w:pPr>
              <w:spacing w:after="0" w:line="240" w:lineRule="auto"/>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Показатељ(и) на нивоу мере (показатељ резултата)</w:t>
            </w:r>
          </w:p>
        </w:tc>
        <w:tc>
          <w:tcPr>
            <w:tcW w:w="1325" w:type="dxa"/>
            <w:shd w:val="clear" w:color="auto" w:fill="83CAEB" w:themeFill="accent1" w:themeFillTint="66"/>
            <w:vAlign w:val="center"/>
            <w:hideMark/>
          </w:tcPr>
          <w:p w14:paraId="1BA5E686" w14:textId="77777777" w:rsidR="00CF32C3" w:rsidRPr="00226F9D" w:rsidRDefault="00CF32C3" w:rsidP="00090884">
            <w:pPr>
              <w:spacing w:after="0" w:line="240" w:lineRule="auto"/>
              <w:jc w:val="both"/>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1098" w:type="dxa"/>
            <w:shd w:val="clear" w:color="auto" w:fill="83CAEB" w:themeFill="accent1" w:themeFillTint="66"/>
            <w:vAlign w:val="center"/>
            <w:hideMark/>
          </w:tcPr>
          <w:p w14:paraId="46895CE6" w14:textId="77777777" w:rsidR="00CF32C3" w:rsidRPr="00226F9D" w:rsidRDefault="00CF32C3" w:rsidP="00090884">
            <w:pPr>
              <w:spacing w:after="0" w:line="240" w:lineRule="auto"/>
              <w:jc w:val="both"/>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2026.</w:t>
            </w:r>
          </w:p>
        </w:tc>
        <w:tc>
          <w:tcPr>
            <w:tcW w:w="1099" w:type="dxa"/>
            <w:shd w:val="clear" w:color="auto" w:fill="83CAEB" w:themeFill="accent1" w:themeFillTint="66"/>
            <w:vAlign w:val="center"/>
            <w:hideMark/>
          </w:tcPr>
          <w:p w14:paraId="1EBDC291" w14:textId="77777777" w:rsidR="00CF32C3" w:rsidRPr="00226F9D" w:rsidRDefault="00CF32C3" w:rsidP="00090884">
            <w:pPr>
              <w:spacing w:after="0" w:line="240" w:lineRule="auto"/>
              <w:jc w:val="both"/>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2027.</w:t>
            </w:r>
          </w:p>
        </w:tc>
        <w:tc>
          <w:tcPr>
            <w:tcW w:w="1098" w:type="dxa"/>
            <w:shd w:val="clear" w:color="auto" w:fill="83CAEB" w:themeFill="accent1" w:themeFillTint="66"/>
            <w:vAlign w:val="center"/>
            <w:hideMark/>
          </w:tcPr>
          <w:p w14:paraId="70DDF470" w14:textId="77777777" w:rsidR="00CF32C3" w:rsidRPr="00226F9D" w:rsidRDefault="00CF32C3" w:rsidP="00090884">
            <w:pPr>
              <w:spacing w:after="0" w:line="240" w:lineRule="auto"/>
              <w:jc w:val="both"/>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2028.</w:t>
            </w:r>
          </w:p>
        </w:tc>
        <w:tc>
          <w:tcPr>
            <w:tcW w:w="1099" w:type="dxa"/>
            <w:shd w:val="clear" w:color="auto" w:fill="83CAEB" w:themeFill="accent1" w:themeFillTint="66"/>
            <w:vAlign w:val="center"/>
          </w:tcPr>
          <w:p w14:paraId="0DF75CA2" w14:textId="77777777" w:rsidR="00CF32C3" w:rsidRPr="00226F9D" w:rsidRDefault="00CF32C3" w:rsidP="00090884">
            <w:pPr>
              <w:spacing w:after="0" w:line="240" w:lineRule="auto"/>
              <w:jc w:val="both"/>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2029.</w:t>
            </w:r>
          </w:p>
        </w:tc>
        <w:tc>
          <w:tcPr>
            <w:tcW w:w="1099" w:type="dxa"/>
            <w:shd w:val="clear" w:color="auto" w:fill="83CAEB" w:themeFill="accent1" w:themeFillTint="66"/>
            <w:vAlign w:val="center"/>
          </w:tcPr>
          <w:p w14:paraId="65A974B6" w14:textId="77777777" w:rsidR="00CF32C3" w:rsidRPr="00226F9D" w:rsidRDefault="00CF32C3" w:rsidP="00090884">
            <w:pPr>
              <w:spacing w:after="0" w:line="240" w:lineRule="auto"/>
              <w:jc w:val="both"/>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2030.</w:t>
            </w:r>
          </w:p>
        </w:tc>
      </w:tr>
      <w:tr w:rsidR="007A7449" w:rsidRPr="00226F9D" w14:paraId="2AAD5E57" w14:textId="77777777" w:rsidTr="00E71E26">
        <w:trPr>
          <w:trHeight w:val="278"/>
        </w:trPr>
        <w:tc>
          <w:tcPr>
            <w:tcW w:w="2533" w:type="dxa"/>
            <w:vAlign w:val="center"/>
          </w:tcPr>
          <w:p w14:paraId="69DD53D5" w14:textId="17EC5199" w:rsidR="00CF32C3" w:rsidRPr="00226F9D" w:rsidRDefault="00CF32C3" w:rsidP="00E71E26">
            <w:pPr>
              <w:spacing w:after="0" w:line="240" w:lineRule="auto"/>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Број локалних службеника обучених за примену принципа доброг управљања (кумулативно )</w:t>
            </w:r>
          </w:p>
        </w:tc>
        <w:tc>
          <w:tcPr>
            <w:tcW w:w="1325" w:type="dxa"/>
            <w:vAlign w:val="center"/>
          </w:tcPr>
          <w:p w14:paraId="6AE6022B" w14:textId="2964E1B6" w:rsidR="00CF32C3" w:rsidRPr="00226F9D" w:rsidRDefault="00113F4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 xml:space="preserve">2931 (2025) </w:t>
            </w:r>
          </w:p>
        </w:tc>
        <w:tc>
          <w:tcPr>
            <w:tcW w:w="1098" w:type="dxa"/>
            <w:vAlign w:val="center"/>
          </w:tcPr>
          <w:p w14:paraId="14EE2C20" w14:textId="43588678" w:rsidR="00CF32C3" w:rsidRPr="00226F9D" w:rsidRDefault="002E21AC"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3000</w:t>
            </w:r>
          </w:p>
        </w:tc>
        <w:tc>
          <w:tcPr>
            <w:tcW w:w="1099" w:type="dxa"/>
            <w:vAlign w:val="center"/>
          </w:tcPr>
          <w:p w14:paraId="101F8EE3" w14:textId="1A8A2046" w:rsidR="00CF32C3" w:rsidRPr="00226F9D" w:rsidRDefault="002E21AC"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3100</w:t>
            </w:r>
          </w:p>
        </w:tc>
        <w:tc>
          <w:tcPr>
            <w:tcW w:w="1098" w:type="dxa"/>
            <w:vAlign w:val="center"/>
          </w:tcPr>
          <w:p w14:paraId="25B943FA" w14:textId="708BA05A" w:rsidR="00CF32C3" w:rsidRPr="00226F9D" w:rsidRDefault="002E21AC"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3200</w:t>
            </w:r>
          </w:p>
        </w:tc>
        <w:tc>
          <w:tcPr>
            <w:tcW w:w="1099" w:type="dxa"/>
            <w:vAlign w:val="center"/>
          </w:tcPr>
          <w:p w14:paraId="4F71996C" w14:textId="6623EEB8" w:rsidR="00CF32C3" w:rsidRPr="00226F9D" w:rsidRDefault="002E21AC"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3300</w:t>
            </w:r>
          </w:p>
        </w:tc>
        <w:tc>
          <w:tcPr>
            <w:tcW w:w="1099" w:type="dxa"/>
            <w:vAlign w:val="center"/>
          </w:tcPr>
          <w:p w14:paraId="5417A8A3" w14:textId="1F0F95AF" w:rsidR="00CF32C3" w:rsidRPr="00226F9D" w:rsidRDefault="002E21AC"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3400</w:t>
            </w:r>
          </w:p>
        </w:tc>
      </w:tr>
      <w:tr w:rsidR="007A7449" w:rsidRPr="00226F9D" w14:paraId="5613677E" w14:textId="77777777" w:rsidTr="00E71E26">
        <w:trPr>
          <w:trHeight w:val="278"/>
        </w:trPr>
        <w:tc>
          <w:tcPr>
            <w:tcW w:w="2533" w:type="dxa"/>
            <w:vAlign w:val="center"/>
          </w:tcPr>
          <w:p w14:paraId="58090360" w14:textId="60032B0E" w:rsidR="00CF32C3" w:rsidRPr="00226F9D" w:rsidRDefault="00CF32C3" w:rsidP="00E71E26">
            <w:pPr>
              <w:spacing w:after="0" w:line="240" w:lineRule="auto"/>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Број градова, општина и градских општина које су добиле награду за примену принципа добре управе (кумулативно)</w:t>
            </w:r>
          </w:p>
        </w:tc>
        <w:tc>
          <w:tcPr>
            <w:tcW w:w="1325" w:type="dxa"/>
            <w:vAlign w:val="center"/>
          </w:tcPr>
          <w:p w14:paraId="6CD3568F" w14:textId="713ED9B3"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2</w:t>
            </w:r>
            <w:r w:rsidR="00CD79EB" w:rsidRPr="00226F9D">
              <w:rPr>
                <w:rFonts w:ascii="Times New Roman" w:eastAsia="Times New Roman" w:hAnsi="Times New Roman" w:cs="Times New Roman"/>
                <w:kern w:val="0"/>
                <w:sz w:val="20"/>
                <w:szCs w:val="20"/>
                <w:lang w:val="sr-Cyrl-RS"/>
                <w14:ligatures w14:val="none"/>
              </w:rPr>
              <w:t>8</w:t>
            </w:r>
            <w:r w:rsidR="00CF32C3" w:rsidRPr="00226F9D">
              <w:rPr>
                <w:rFonts w:ascii="Times New Roman" w:eastAsia="Times New Roman" w:hAnsi="Times New Roman" w:cs="Times New Roman"/>
                <w:kern w:val="0"/>
                <w:sz w:val="20"/>
                <w:szCs w:val="20"/>
                <w:lang w:val="sr-Cyrl-RS"/>
                <w14:ligatures w14:val="none"/>
              </w:rPr>
              <w:t xml:space="preserve"> (202</w:t>
            </w:r>
            <w:r w:rsidR="00933D36" w:rsidRPr="00226F9D">
              <w:rPr>
                <w:rFonts w:ascii="Times New Roman" w:eastAsia="Times New Roman" w:hAnsi="Times New Roman" w:cs="Times New Roman"/>
                <w:kern w:val="0"/>
                <w:sz w:val="20"/>
                <w:szCs w:val="20"/>
                <w:lang w:val="sr-Latn-RS"/>
                <w14:ligatures w14:val="none"/>
              </w:rPr>
              <w:t>5</w:t>
            </w:r>
            <w:r w:rsidR="00CF32C3" w:rsidRPr="00226F9D">
              <w:rPr>
                <w:rFonts w:ascii="Times New Roman" w:eastAsia="Times New Roman" w:hAnsi="Times New Roman" w:cs="Times New Roman"/>
                <w:kern w:val="0"/>
                <w:sz w:val="20"/>
                <w:szCs w:val="20"/>
                <w:lang w:val="sr-Cyrl-RS"/>
                <w14:ligatures w14:val="none"/>
              </w:rPr>
              <w:t>)</w:t>
            </w:r>
          </w:p>
        </w:tc>
        <w:tc>
          <w:tcPr>
            <w:tcW w:w="1098" w:type="dxa"/>
            <w:vAlign w:val="center"/>
          </w:tcPr>
          <w:p w14:paraId="02ACA03E" w14:textId="25FEA585"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32</w:t>
            </w:r>
          </w:p>
        </w:tc>
        <w:tc>
          <w:tcPr>
            <w:tcW w:w="1099" w:type="dxa"/>
            <w:vAlign w:val="center"/>
          </w:tcPr>
          <w:p w14:paraId="338C1A67" w14:textId="352095F1"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36</w:t>
            </w:r>
          </w:p>
        </w:tc>
        <w:tc>
          <w:tcPr>
            <w:tcW w:w="1098" w:type="dxa"/>
            <w:vAlign w:val="center"/>
          </w:tcPr>
          <w:p w14:paraId="20DDBDE2" w14:textId="2CCA0CAB"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40</w:t>
            </w:r>
          </w:p>
        </w:tc>
        <w:tc>
          <w:tcPr>
            <w:tcW w:w="1099" w:type="dxa"/>
            <w:vAlign w:val="center"/>
          </w:tcPr>
          <w:p w14:paraId="75CA571F" w14:textId="648BDC35"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4</w:t>
            </w:r>
            <w:r w:rsidR="00767E68" w:rsidRPr="00226F9D">
              <w:rPr>
                <w:rFonts w:ascii="Times New Roman" w:eastAsia="Times New Roman" w:hAnsi="Times New Roman" w:cs="Times New Roman"/>
                <w:kern w:val="0"/>
                <w:sz w:val="20"/>
                <w:szCs w:val="20"/>
                <w:lang w:val="sr-Cyrl-RS"/>
                <w14:ligatures w14:val="none"/>
              </w:rPr>
              <w:t>4</w:t>
            </w:r>
          </w:p>
        </w:tc>
        <w:tc>
          <w:tcPr>
            <w:tcW w:w="1099" w:type="dxa"/>
            <w:vAlign w:val="center"/>
          </w:tcPr>
          <w:p w14:paraId="6E7D4029" w14:textId="648BBC1C"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4</w:t>
            </w:r>
            <w:r w:rsidR="00767E68" w:rsidRPr="00226F9D">
              <w:rPr>
                <w:rFonts w:ascii="Times New Roman" w:eastAsia="Times New Roman" w:hAnsi="Times New Roman" w:cs="Times New Roman"/>
                <w:kern w:val="0"/>
                <w:sz w:val="20"/>
                <w:szCs w:val="20"/>
                <w:lang w:val="sr-Cyrl-RS"/>
                <w14:ligatures w14:val="none"/>
              </w:rPr>
              <w:t>8</w:t>
            </w:r>
          </w:p>
        </w:tc>
      </w:tr>
    </w:tbl>
    <w:p w14:paraId="22BE43D5" w14:textId="77777777" w:rsidR="00CF32C3" w:rsidRPr="00226F9D" w:rsidRDefault="00CF32C3" w:rsidP="00090884">
      <w:pPr>
        <w:spacing w:after="0" w:line="240" w:lineRule="auto"/>
        <w:jc w:val="both"/>
        <w:rPr>
          <w:rFonts w:ascii="Times New Roman" w:eastAsia="Times New Roman" w:hAnsi="Times New Roman" w:cs="Times New Roman"/>
          <w:b/>
          <w:i/>
          <w:color w:val="000000" w:themeColor="text1"/>
          <w:kern w:val="0"/>
          <w:lang w:val="sr-Cyrl-RS"/>
          <w14:ligatures w14:val="none"/>
        </w:rPr>
      </w:pPr>
    </w:p>
    <w:p w14:paraId="70F1B0BD" w14:textId="4BA65C8C" w:rsidR="00A96FF4" w:rsidRPr="00226F9D" w:rsidRDefault="00A96FF4" w:rsidP="00090884">
      <w:pPr>
        <w:spacing w:after="0" w:line="240" w:lineRule="auto"/>
        <w:jc w:val="both"/>
        <w:rPr>
          <w:rFonts w:ascii="Times New Roman" w:eastAsia="Times New Roman" w:hAnsi="Times New Roman" w:cs="Times New Roman"/>
          <w:i/>
          <w:kern w:val="0"/>
          <w:lang w:val="sr-Cyrl-RS"/>
          <w14:ligatures w14:val="none"/>
        </w:rPr>
      </w:pPr>
      <w:r w:rsidRPr="00226F9D">
        <w:rPr>
          <w:rFonts w:ascii="Times New Roman" w:eastAsia="Times New Roman" w:hAnsi="Times New Roman" w:cs="Times New Roman"/>
          <w:b/>
          <w:iCs/>
          <w:kern w:val="0"/>
          <w:lang w:val="sr-Cyrl-RS"/>
          <w14:ligatures w14:val="none"/>
        </w:rPr>
        <w:t>Анализа ефеката мера</w:t>
      </w:r>
      <w:r w:rsidR="008A6CC9" w:rsidRPr="00226F9D">
        <w:rPr>
          <w:rFonts w:ascii="Times New Roman" w:eastAsia="Times New Roman" w:hAnsi="Times New Roman" w:cs="Times New Roman"/>
          <w:b/>
          <w:iCs/>
          <w:kern w:val="0"/>
          <w:lang w:val="sr-Cyrl-RS"/>
          <w14:ligatures w14:val="none"/>
        </w:rPr>
        <w:t xml:space="preserve"> </w:t>
      </w:r>
    </w:p>
    <w:p w14:paraId="05C86437" w14:textId="46C25132" w:rsidR="00A96FF4" w:rsidRPr="00226F9D" w:rsidRDefault="00A96FF4"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У погледу економских ефеката, утицај мера </w:t>
      </w:r>
      <w:r w:rsidR="002B5A7C" w:rsidRPr="00226F9D">
        <w:rPr>
          <w:rFonts w:ascii="Times New Roman" w:eastAsia="Arial" w:hAnsi="Times New Roman" w:cs="Times New Roman"/>
          <w:kern w:val="0"/>
          <w:lang w:val="sr-Cyrl-RS"/>
          <w14:ligatures w14:val="none"/>
        </w:rPr>
        <w:t>из обухвата ПЦ 1</w:t>
      </w:r>
      <w:r w:rsidR="00BE4441" w:rsidRPr="00226F9D">
        <w:rPr>
          <w:rFonts w:ascii="Times New Roman" w:eastAsia="Arial" w:hAnsi="Times New Roman" w:cs="Times New Roman"/>
          <w:kern w:val="0"/>
          <w:lang w:val="sr-Cyrl-RS"/>
          <w14:ligatures w14:val="none"/>
        </w:rPr>
        <w:t xml:space="preserve"> </w:t>
      </w:r>
      <w:r w:rsidRPr="00226F9D">
        <w:rPr>
          <w:rFonts w:ascii="Times New Roman" w:eastAsia="Arial" w:hAnsi="Times New Roman" w:cs="Times New Roman"/>
          <w:kern w:val="0"/>
          <w:lang w:val="sr-Cyrl-RS"/>
          <w14:ligatures w14:val="none"/>
        </w:rPr>
        <w:t>оце</w:t>
      </w:r>
      <w:r w:rsidR="00FB3EF8" w:rsidRPr="00226F9D">
        <w:rPr>
          <w:rFonts w:ascii="Times New Roman" w:eastAsia="Arial" w:hAnsi="Times New Roman" w:cs="Times New Roman"/>
          <w:kern w:val="0"/>
          <w:lang w:val="sr-Cyrl-RS"/>
          <w14:ligatures w14:val="none"/>
        </w:rPr>
        <w:t xml:space="preserve">њује </w:t>
      </w:r>
      <w:r w:rsidRPr="00226F9D">
        <w:rPr>
          <w:rFonts w:ascii="Times New Roman" w:eastAsia="Arial" w:hAnsi="Times New Roman" w:cs="Times New Roman"/>
          <w:kern w:val="0"/>
          <w:lang w:val="sr-Cyrl-RS"/>
          <w14:ligatures w14:val="none"/>
        </w:rPr>
        <w:t>се као позитиван</w:t>
      </w:r>
      <w:r w:rsidR="00FB3EF8" w:rsidRPr="00226F9D">
        <w:rPr>
          <w:rFonts w:ascii="Times New Roman" w:eastAsia="Arial" w:hAnsi="Times New Roman" w:cs="Times New Roman"/>
          <w:kern w:val="0"/>
          <w:lang w:val="sr-Cyrl-RS"/>
          <w14:ligatures w14:val="none"/>
        </w:rPr>
        <w:t xml:space="preserve"> али претежно инди</w:t>
      </w:r>
      <w:r w:rsidR="00146480" w:rsidRPr="00226F9D">
        <w:rPr>
          <w:rFonts w:ascii="Times New Roman" w:eastAsia="Arial" w:hAnsi="Times New Roman" w:cs="Times New Roman"/>
          <w:kern w:val="0"/>
          <w:lang w:val="sr-Cyrl-RS"/>
          <w14:ligatures w14:val="none"/>
        </w:rPr>
        <w:t>ректан</w:t>
      </w:r>
      <w:r w:rsidRPr="00226F9D">
        <w:rPr>
          <w:rFonts w:ascii="Times New Roman" w:eastAsia="Arial" w:hAnsi="Times New Roman" w:cs="Times New Roman"/>
          <w:kern w:val="0"/>
          <w:lang w:val="sr-Cyrl-RS"/>
          <w14:ligatures w14:val="none"/>
        </w:rPr>
        <w:t>,</w:t>
      </w:r>
      <w:r w:rsidR="00631326" w:rsidRPr="00226F9D">
        <w:rPr>
          <w:rFonts w:ascii="Times New Roman" w:eastAsia="Arial" w:hAnsi="Times New Roman" w:cs="Times New Roman"/>
          <w:kern w:val="0"/>
          <w:lang w:val="sr-Cyrl-RS"/>
          <w14:ligatures w14:val="none"/>
        </w:rPr>
        <w:t xml:space="preserve"> имајући у виду планиране </w:t>
      </w:r>
      <w:r w:rsidR="00CE2A31" w:rsidRPr="00226F9D">
        <w:rPr>
          <w:rFonts w:ascii="Times New Roman" w:eastAsia="Arial" w:hAnsi="Times New Roman" w:cs="Times New Roman"/>
          <w:kern w:val="0"/>
          <w:lang w:val="sr-Cyrl-RS"/>
          <w14:ligatures w14:val="none"/>
        </w:rPr>
        <w:t xml:space="preserve">системске реформе </w:t>
      </w:r>
      <w:r w:rsidR="00DB622C" w:rsidRPr="00226F9D">
        <w:rPr>
          <w:rFonts w:ascii="Times New Roman" w:eastAsia="Arial" w:hAnsi="Times New Roman" w:cs="Times New Roman"/>
          <w:kern w:val="0"/>
          <w:lang w:val="sr-Cyrl-RS"/>
          <w14:ligatures w14:val="none"/>
        </w:rPr>
        <w:t xml:space="preserve">усмерене </w:t>
      </w:r>
      <w:r w:rsidR="007F7E3E" w:rsidRPr="00226F9D">
        <w:rPr>
          <w:rFonts w:ascii="Times New Roman" w:eastAsia="Arial" w:hAnsi="Times New Roman" w:cs="Times New Roman"/>
          <w:kern w:val="0"/>
          <w:lang w:val="sr-Cyrl-RS"/>
          <w14:ligatures w14:val="none"/>
        </w:rPr>
        <w:t>на боље функционисање локалне админ</w:t>
      </w:r>
      <w:r w:rsidR="00327E89" w:rsidRPr="00226F9D">
        <w:rPr>
          <w:rFonts w:ascii="Times New Roman" w:eastAsia="Arial" w:hAnsi="Times New Roman" w:cs="Times New Roman"/>
          <w:kern w:val="0"/>
          <w:lang w:val="sr-Cyrl-RS"/>
          <w14:ligatures w14:val="none"/>
        </w:rPr>
        <w:t>истрације, јачање транспарентности и одговорности</w:t>
      </w:r>
      <w:r w:rsidR="00D6714C" w:rsidRPr="00226F9D">
        <w:rPr>
          <w:rFonts w:ascii="Times New Roman" w:eastAsia="Arial" w:hAnsi="Times New Roman" w:cs="Times New Roman"/>
          <w:kern w:val="0"/>
          <w:lang w:val="sr-Cyrl-RS"/>
          <w14:ligatures w14:val="none"/>
        </w:rPr>
        <w:t xml:space="preserve"> од којих користи </w:t>
      </w:r>
      <w:r w:rsidR="00940A70" w:rsidRPr="00226F9D">
        <w:rPr>
          <w:rFonts w:ascii="Times New Roman" w:eastAsia="Arial" w:hAnsi="Times New Roman" w:cs="Times New Roman"/>
          <w:kern w:val="0"/>
          <w:lang w:val="sr-Cyrl-RS"/>
          <w14:ligatures w14:val="none"/>
        </w:rPr>
        <w:t>т</w:t>
      </w:r>
      <w:r w:rsidR="00D6714C" w:rsidRPr="00226F9D">
        <w:rPr>
          <w:rFonts w:ascii="Times New Roman" w:eastAsia="Arial" w:hAnsi="Times New Roman" w:cs="Times New Roman"/>
          <w:kern w:val="0"/>
          <w:lang w:val="sr-Cyrl-RS"/>
          <w14:ligatures w14:val="none"/>
        </w:rPr>
        <w:t xml:space="preserve">реба да имају и </w:t>
      </w:r>
      <w:r w:rsidRPr="00226F9D">
        <w:rPr>
          <w:rFonts w:ascii="Times New Roman" w:eastAsia="Arial" w:hAnsi="Times New Roman" w:cs="Times New Roman"/>
          <w:kern w:val="0"/>
          <w:lang w:val="sr-Cyrl-RS"/>
          <w14:ligatures w14:val="none"/>
        </w:rPr>
        <w:t>привредн</w:t>
      </w:r>
      <w:r w:rsidR="00D6714C" w:rsidRPr="00226F9D">
        <w:rPr>
          <w:rFonts w:ascii="Times New Roman" w:eastAsia="Arial" w:hAnsi="Times New Roman" w:cs="Times New Roman"/>
          <w:kern w:val="0"/>
          <w:lang w:val="sr-Cyrl-RS"/>
          <w14:ligatures w14:val="none"/>
        </w:rPr>
        <w:t>и</w:t>
      </w:r>
      <w:r w:rsidRPr="00226F9D">
        <w:rPr>
          <w:rFonts w:ascii="Times New Roman" w:eastAsia="Arial" w:hAnsi="Times New Roman" w:cs="Times New Roman"/>
          <w:kern w:val="0"/>
          <w:lang w:val="sr-Cyrl-RS"/>
          <w14:ligatures w14:val="none"/>
        </w:rPr>
        <w:t xml:space="preserve"> субјект</w:t>
      </w:r>
      <w:r w:rsidR="00D6714C" w:rsidRPr="00226F9D">
        <w:rPr>
          <w:rFonts w:ascii="Times New Roman" w:eastAsia="Arial" w:hAnsi="Times New Roman" w:cs="Times New Roman"/>
          <w:kern w:val="0"/>
          <w:lang w:val="sr-Cyrl-RS"/>
          <w14:ligatures w14:val="none"/>
        </w:rPr>
        <w:t>и активни у градовима и општинама</w:t>
      </w:r>
      <w:r w:rsidRPr="00226F9D">
        <w:rPr>
          <w:rFonts w:ascii="Times New Roman" w:eastAsia="Arial" w:hAnsi="Times New Roman" w:cs="Times New Roman"/>
          <w:kern w:val="0"/>
          <w:lang w:val="sr-Cyrl-RS"/>
          <w14:ligatures w14:val="none"/>
        </w:rPr>
        <w:t>. </w:t>
      </w:r>
    </w:p>
    <w:p w14:paraId="08051A4F" w14:textId="77777777" w:rsidR="003C4662" w:rsidRPr="00226F9D" w:rsidRDefault="003C4662" w:rsidP="00090884">
      <w:pPr>
        <w:spacing w:after="0" w:line="240" w:lineRule="auto"/>
        <w:jc w:val="both"/>
        <w:rPr>
          <w:rFonts w:ascii="Times New Roman" w:eastAsia="Arial" w:hAnsi="Times New Roman" w:cs="Times New Roman"/>
          <w:kern w:val="0"/>
          <w:lang w:val="sr-Cyrl-RS"/>
          <w14:ligatures w14:val="none"/>
        </w:rPr>
      </w:pPr>
    </w:p>
    <w:p w14:paraId="2249917D" w14:textId="083C632E" w:rsidR="008A6CC9" w:rsidRPr="00226F9D" w:rsidRDefault="00A96FF4"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Ефекти на животну средину и климатске промене су индиректни, </w:t>
      </w:r>
      <w:r w:rsidR="005033DF" w:rsidRPr="00226F9D">
        <w:rPr>
          <w:rFonts w:ascii="Times New Roman" w:eastAsia="Arial" w:hAnsi="Times New Roman" w:cs="Times New Roman"/>
          <w:kern w:val="0"/>
          <w:lang w:val="sr-Cyrl-RS"/>
          <w14:ligatures w14:val="none"/>
        </w:rPr>
        <w:t>док се најдиректнији позитивни ефекти испољавају у односу на друштво и управљање, будући да се спровођењем ове опције унапређу</w:t>
      </w:r>
      <w:r w:rsidR="00F26CF6" w:rsidRPr="00226F9D">
        <w:rPr>
          <w:rFonts w:ascii="Times New Roman" w:eastAsia="Arial" w:hAnsi="Times New Roman" w:cs="Times New Roman"/>
          <w:kern w:val="0"/>
          <w:lang w:val="sr-Cyrl-RS"/>
          <w14:ligatures w14:val="none"/>
        </w:rPr>
        <w:t xml:space="preserve">је </w:t>
      </w:r>
      <w:r w:rsidR="005033DF" w:rsidRPr="00226F9D">
        <w:rPr>
          <w:rFonts w:ascii="Times New Roman" w:eastAsia="Arial" w:hAnsi="Times New Roman" w:cs="Times New Roman"/>
          <w:kern w:val="0"/>
          <w:lang w:val="sr-Cyrl-RS"/>
          <w14:ligatures w14:val="none"/>
        </w:rPr>
        <w:t>одговорност</w:t>
      </w:r>
      <w:r w:rsidR="00561D5C" w:rsidRPr="00226F9D">
        <w:rPr>
          <w:rFonts w:ascii="Times New Roman" w:eastAsia="Arial" w:hAnsi="Times New Roman" w:cs="Times New Roman"/>
          <w:kern w:val="0"/>
          <w:lang w:val="sr-Cyrl-RS"/>
          <w14:ligatures w14:val="none"/>
        </w:rPr>
        <w:t xml:space="preserve"> управе</w:t>
      </w:r>
      <w:r w:rsidR="009C377C" w:rsidRPr="00226F9D">
        <w:rPr>
          <w:rFonts w:ascii="Times New Roman" w:eastAsia="Arial" w:hAnsi="Times New Roman" w:cs="Times New Roman"/>
          <w:kern w:val="0"/>
          <w:lang w:val="sr-Cyrl-RS"/>
          <w14:ligatures w14:val="none"/>
        </w:rPr>
        <w:t xml:space="preserve">, </w:t>
      </w:r>
      <w:r w:rsidR="00561D5C" w:rsidRPr="00226F9D">
        <w:rPr>
          <w:rFonts w:ascii="Times New Roman" w:eastAsia="Arial" w:hAnsi="Times New Roman" w:cs="Times New Roman"/>
          <w:kern w:val="0"/>
          <w:lang w:val="sr-Cyrl-RS"/>
          <w14:ligatures w14:val="none"/>
        </w:rPr>
        <w:t>једнакост у поступању</w:t>
      </w:r>
      <w:r w:rsidR="009C377C" w:rsidRPr="00226F9D">
        <w:rPr>
          <w:rFonts w:ascii="Times New Roman" w:eastAsia="Arial" w:hAnsi="Times New Roman" w:cs="Times New Roman"/>
          <w:kern w:val="0"/>
          <w:lang w:val="sr-Cyrl-RS"/>
          <w14:ligatures w14:val="none"/>
        </w:rPr>
        <w:t xml:space="preserve"> и </w:t>
      </w:r>
      <w:r w:rsidR="00E656D2" w:rsidRPr="00226F9D">
        <w:rPr>
          <w:rFonts w:ascii="Times New Roman" w:eastAsia="Arial" w:hAnsi="Times New Roman" w:cs="Times New Roman"/>
          <w:kern w:val="0"/>
          <w:lang w:val="sr-Cyrl-RS"/>
          <w14:ligatures w14:val="none"/>
        </w:rPr>
        <w:t>доступност механизама заштите права грађана. </w:t>
      </w:r>
      <w:r w:rsidR="00001102" w:rsidRPr="00226F9D">
        <w:rPr>
          <w:rFonts w:ascii="Times New Roman" w:eastAsia="Arial" w:hAnsi="Times New Roman" w:cs="Times New Roman"/>
          <w:kern w:val="0"/>
          <w:lang w:val="sr-Cyrl-RS"/>
          <w14:ligatures w14:val="none"/>
        </w:rPr>
        <w:t>Од значаја је и даља п</w:t>
      </w:r>
      <w:r w:rsidR="005D3926" w:rsidRPr="00226F9D">
        <w:rPr>
          <w:rFonts w:ascii="Times New Roman" w:eastAsia="Arial" w:hAnsi="Times New Roman" w:cs="Times New Roman"/>
          <w:kern w:val="0"/>
          <w:lang w:val="sr-Cyrl-RS"/>
          <w14:ligatures w14:val="none"/>
        </w:rPr>
        <w:t>рофесонализација администрације (укључујући и изборну)</w:t>
      </w:r>
      <w:r w:rsidR="005033DF" w:rsidRPr="00226F9D">
        <w:rPr>
          <w:rFonts w:ascii="Times New Roman" w:eastAsia="Arial" w:hAnsi="Times New Roman" w:cs="Times New Roman"/>
          <w:kern w:val="0"/>
          <w:lang w:val="sr-Cyrl-RS"/>
          <w14:ligatures w14:val="none"/>
        </w:rPr>
        <w:t xml:space="preserve"> и </w:t>
      </w:r>
      <w:r w:rsidR="009E741E" w:rsidRPr="00226F9D">
        <w:rPr>
          <w:rFonts w:ascii="Times New Roman" w:eastAsia="Arial" w:hAnsi="Times New Roman" w:cs="Times New Roman"/>
          <w:kern w:val="0"/>
          <w:lang w:val="sr-Cyrl-RS"/>
          <w14:ligatures w14:val="none"/>
        </w:rPr>
        <w:t>јачање</w:t>
      </w:r>
      <w:r w:rsidR="005033DF" w:rsidRPr="00226F9D">
        <w:rPr>
          <w:rFonts w:ascii="Times New Roman" w:eastAsia="Arial" w:hAnsi="Times New Roman" w:cs="Times New Roman"/>
          <w:kern w:val="0"/>
          <w:lang w:val="sr-Cyrl-RS"/>
          <w14:ligatures w14:val="none"/>
        </w:rPr>
        <w:t xml:space="preserve"> капацитет</w:t>
      </w:r>
      <w:r w:rsidR="009E741E" w:rsidRPr="00226F9D">
        <w:rPr>
          <w:rFonts w:ascii="Times New Roman" w:eastAsia="Arial" w:hAnsi="Times New Roman" w:cs="Times New Roman"/>
          <w:kern w:val="0"/>
          <w:lang w:val="sr-Cyrl-RS"/>
          <w14:ligatures w14:val="none"/>
        </w:rPr>
        <w:t xml:space="preserve">а </w:t>
      </w:r>
      <w:r w:rsidR="005033DF" w:rsidRPr="00226F9D">
        <w:rPr>
          <w:rFonts w:ascii="Times New Roman" w:eastAsia="Arial" w:hAnsi="Times New Roman" w:cs="Times New Roman"/>
          <w:kern w:val="0"/>
          <w:lang w:val="sr-Cyrl-RS"/>
          <w14:ligatures w14:val="none"/>
        </w:rPr>
        <w:t>за добр</w:t>
      </w:r>
      <w:r w:rsidR="009E741E" w:rsidRPr="00226F9D">
        <w:rPr>
          <w:rFonts w:ascii="Times New Roman" w:eastAsia="Arial" w:hAnsi="Times New Roman" w:cs="Times New Roman"/>
          <w:kern w:val="0"/>
          <w:lang w:val="sr-Cyrl-RS"/>
          <w14:ligatures w14:val="none"/>
        </w:rPr>
        <w:t>о</w:t>
      </w:r>
      <w:r w:rsidR="005033DF" w:rsidRPr="00226F9D">
        <w:rPr>
          <w:rFonts w:ascii="Times New Roman" w:eastAsia="Arial" w:hAnsi="Times New Roman" w:cs="Times New Roman"/>
          <w:kern w:val="0"/>
          <w:lang w:val="sr-Cyrl-RS"/>
          <w14:ligatures w14:val="none"/>
        </w:rPr>
        <w:t xml:space="preserve"> управ</w:t>
      </w:r>
      <w:r w:rsidR="009E741E" w:rsidRPr="00226F9D">
        <w:rPr>
          <w:rFonts w:ascii="Times New Roman" w:eastAsia="Arial" w:hAnsi="Times New Roman" w:cs="Times New Roman"/>
          <w:kern w:val="0"/>
          <w:lang w:val="sr-Cyrl-RS"/>
          <w14:ligatures w14:val="none"/>
        </w:rPr>
        <w:t>љање</w:t>
      </w:r>
      <w:r w:rsidR="005033DF" w:rsidRPr="00226F9D">
        <w:rPr>
          <w:rFonts w:ascii="Times New Roman" w:eastAsia="Arial" w:hAnsi="Times New Roman" w:cs="Times New Roman"/>
          <w:kern w:val="0"/>
          <w:lang w:val="sr-Cyrl-RS"/>
          <w14:ligatures w14:val="none"/>
        </w:rPr>
        <w:t xml:space="preserve">, </w:t>
      </w:r>
      <w:r w:rsidR="002C777B" w:rsidRPr="00226F9D">
        <w:rPr>
          <w:rFonts w:ascii="Times New Roman" w:eastAsia="Arial" w:hAnsi="Times New Roman" w:cs="Times New Roman"/>
          <w:kern w:val="0"/>
          <w:lang w:val="sr-Cyrl-RS"/>
          <w14:ligatures w14:val="none"/>
        </w:rPr>
        <w:t>као и јачање позиције л</w:t>
      </w:r>
      <w:r w:rsidR="00A55C62" w:rsidRPr="00226F9D">
        <w:rPr>
          <w:rFonts w:ascii="Times New Roman" w:eastAsia="Arial" w:hAnsi="Times New Roman" w:cs="Times New Roman"/>
          <w:kern w:val="0"/>
          <w:lang w:val="sr-Cyrl-RS"/>
          <w14:ligatures w14:val="none"/>
        </w:rPr>
        <w:t>окалног нивоа за</w:t>
      </w:r>
      <w:r w:rsidR="005033DF" w:rsidRPr="00226F9D">
        <w:rPr>
          <w:rFonts w:ascii="Times New Roman" w:eastAsia="Arial" w:hAnsi="Times New Roman" w:cs="Times New Roman"/>
          <w:kern w:val="0"/>
          <w:lang w:val="sr-Cyrl-RS"/>
          <w14:ligatures w14:val="none"/>
        </w:rPr>
        <w:t xml:space="preserve"> партиципацију у формулисању јавних политика и прописа</w:t>
      </w:r>
      <w:r w:rsidR="00D24183" w:rsidRPr="00226F9D">
        <w:rPr>
          <w:rFonts w:ascii="Times New Roman" w:eastAsia="Arial" w:hAnsi="Times New Roman" w:cs="Times New Roman"/>
          <w:kern w:val="0"/>
          <w:lang w:val="sr-Cyrl-RS"/>
          <w14:ligatures w14:val="none"/>
        </w:rPr>
        <w:t xml:space="preserve">. </w:t>
      </w:r>
    </w:p>
    <w:p w14:paraId="2D0506F9" w14:textId="77777777" w:rsidR="005476BF" w:rsidRPr="00226F9D" w:rsidRDefault="005476BF" w:rsidP="00090884">
      <w:pPr>
        <w:spacing w:after="0" w:line="240" w:lineRule="auto"/>
        <w:jc w:val="both"/>
        <w:rPr>
          <w:rFonts w:ascii="Times New Roman" w:hAnsi="Times New Roman" w:cs="Times New Roman"/>
          <w:lang w:val="sr-Cyrl-RS"/>
        </w:rPr>
      </w:pPr>
      <w:bookmarkStart w:id="28" w:name="_Toc77068875"/>
    </w:p>
    <w:p w14:paraId="7C9155D2" w14:textId="43821BBF" w:rsidR="00CF32C3" w:rsidRPr="00226F9D" w:rsidRDefault="0013636A" w:rsidP="005B0999">
      <w:pPr>
        <w:pStyle w:val="TOCHeading"/>
        <w:rPr>
          <w:rFonts w:ascii="Times New Roman" w:hAnsi="Times New Roman" w:cs="Times New Roman"/>
        </w:rPr>
      </w:pPr>
      <w:r w:rsidRPr="00226F9D">
        <w:rPr>
          <w:rFonts w:ascii="Times New Roman" w:hAnsi="Times New Roman" w:cs="Times New Roman"/>
        </w:rPr>
        <w:t>Посебни циљ 2: Унапређење система финансирања локалне самоуправе</w:t>
      </w:r>
      <w:bookmarkEnd w:id="28"/>
    </w:p>
    <w:p w14:paraId="44F86EF1" w14:textId="77777777" w:rsidR="00705031" w:rsidRPr="00226F9D" w:rsidRDefault="00705031" w:rsidP="00090884">
      <w:pPr>
        <w:spacing w:after="0" w:line="240" w:lineRule="auto"/>
        <w:jc w:val="both"/>
        <w:rPr>
          <w:rFonts w:ascii="Times New Roman" w:hAnsi="Times New Roman" w:cs="Times New Roman"/>
          <w:lang w:val="sr-Latn-RS"/>
        </w:rPr>
      </w:pPr>
    </w:p>
    <w:p w14:paraId="1789069B" w14:textId="16630EAB" w:rsidR="00E169A8" w:rsidRPr="00226F9D" w:rsidRDefault="00E169A8" w:rsidP="00090884">
      <w:pPr>
        <w:spacing w:after="0" w:line="240" w:lineRule="auto"/>
        <w:jc w:val="both"/>
        <w:rPr>
          <w:rFonts w:ascii="Times New Roman" w:eastAsia="Arial" w:hAnsi="Times New Roman" w:cs="Times New Roman"/>
          <w:color w:val="000000" w:themeColor="text1"/>
          <w:kern w:val="0"/>
          <w:lang w:val="sr-Latn-RS"/>
          <w14:ligatures w14:val="none"/>
        </w:rPr>
      </w:pPr>
      <w:r w:rsidRPr="00226F9D">
        <w:rPr>
          <w:rFonts w:ascii="Times New Roman" w:eastAsia="Arial" w:hAnsi="Times New Roman" w:cs="Times New Roman"/>
          <w:color w:val="000000" w:themeColor="text1"/>
          <w:kern w:val="0"/>
          <w:lang w:val="sr-Cyrl-RS"/>
          <w14:ligatures w14:val="none"/>
        </w:rPr>
        <w:lastRenderedPageBreak/>
        <w:t xml:space="preserve">Систем финансирања локалне самоуправе треба да буде још стабилнији, транспарентнији и правичнији, </w:t>
      </w:r>
      <w:r w:rsidR="005962A8" w:rsidRPr="00226F9D">
        <w:rPr>
          <w:rFonts w:ascii="Times New Roman" w:eastAsia="Arial" w:hAnsi="Times New Roman" w:cs="Times New Roman"/>
          <w:color w:val="000000" w:themeColor="text1"/>
          <w:kern w:val="0"/>
          <w:lang w:val="sr-Cyrl-RS"/>
          <w14:ligatures w14:val="none"/>
        </w:rPr>
        <w:t>да би се испунили</w:t>
      </w:r>
      <w:r w:rsidRPr="00226F9D">
        <w:rPr>
          <w:rFonts w:ascii="Times New Roman" w:eastAsia="Arial" w:hAnsi="Times New Roman" w:cs="Times New Roman"/>
          <w:color w:val="000000" w:themeColor="text1"/>
          <w:kern w:val="0"/>
          <w:lang w:val="sr-Cyrl-RS"/>
          <w14:ligatures w14:val="none"/>
        </w:rPr>
        <w:t xml:space="preserve"> предуслови за квалитетнији локални развој и боље јавне услуге за грађане. Приоритети </w:t>
      </w:r>
      <w:r w:rsidR="00582916" w:rsidRPr="00226F9D">
        <w:rPr>
          <w:rFonts w:ascii="Times New Roman" w:eastAsia="Arial" w:hAnsi="Times New Roman" w:cs="Times New Roman"/>
          <w:color w:val="000000" w:themeColor="text1"/>
          <w:kern w:val="0"/>
          <w:lang w:val="sr-Cyrl-RS"/>
          <w14:ligatures w14:val="none"/>
        </w:rPr>
        <w:t>у</w:t>
      </w:r>
      <w:r w:rsidRPr="00226F9D">
        <w:rPr>
          <w:rFonts w:ascii="Times New Roman" w:eastAsia="Arial" w:hAnsi="Times New Roman" w:cs="Times New Roman"/>
          <w:color w:val="000000" w:themeColor="text1"/>
          <w:kern w:val="0"/>
          <w:lang w:val="sr-Cyrl-RS"/>
          <w14:ligatures w14:val="none"/>
        </w:rPr>
        <w:t xml:space="preserve"> оквиру овог посебног циља усмерени су на јачање фискалне одрживости и већу аутономију јединица локалне самоуправе, кроз реформу правног и институционалног оквира, али и кроз изградњу практичних капацитета за одговорно управљање приходима и расходима. Посебан акценат ставља се на унапређење транспарентности локалних буџета и ширење културе јавне одговорности, јер је</w:t>
      </w:r>
      <w:r w:rsidR="005318C9">
        <w:rPr>
          <w:rFonts w:ascii="Times New Roman" w:eastAsia="Arial" w:hAnsi="Times New Roman" w:cs="Times New Roman"/>
          <w:color w:val="000000" w:themeColor="text1"/>
          <w:kern w:val="0"/>
          <w:lang w:val="sr-Latn-RS"/>
          <w14:ligatures w14:val="none"/>
        </w:rPr>
        <w:t xml:space="preserve"> </w:t>
      </w:r>
      <w:r w:rsidRPr="00226F9D">
        <w:rPr>
          <w:rFonts w:ascii="Times New Roman" w:eastAsia="Arial" w:hAnsi="Times New Roman" w:cs="Times New Roman"/>
          <w:color w:val="000000" w:themeColor="text1"/>
          <w:kern w:val="0"/>
          <w:lang w:val="sr-Cyrl-RS"/>
          <w14:ligatures w14:val="none"/>
        </w:rPr>
        <w:t>управо отвореност у коришћењу јавних средстава кључна за поверење грађана.</w:t>
      </w:r>
    </w:p>
    <w:p w14:paraId="64D94FB8" w14:textId="77777777" w:rsidR="00705031" w:rsidRPr="00226F9D" w:rsidRDefault="00705031" w:rsidP="00090884">
      <w:pPr>
        <w:spacing w:after="0" w:line="240" w:lineRule="auto"/>
        <w:jc w:val="both"/>
        <w:rPr>
          <w:rFonts w:ascii="Times New Roman" w:eastAsia="Arial" w:hAnsi="Times New Roman" w:cs="Times New Roman"/>
          <w:color w:val="000000" w:themeColor="text1"/>
          <w:kern w:val="0"/>
          <w:lang w:val="sr-Latn-RS"/>
          <w14:ligatures w14:val="none"/>
        </w:rPr>
      </w:pPr>
    </w:p>
    <w:p w14:paraId="7ECF2419" w14:textId="77777777" w:rsidR="00E169A8" w:rsidRPr="00226F9D" w:rsidRDefault="00E169A8" w:rsidP="00090884">
      <w:pPr>
        <w:spacing w:after="0" w:line="240" w:lineRule="auto"/>
        <w:jc w:val="both"/>
        <w:rPr>
          <w:rFonts w:ascii="Times New Roman" w:eastAsia="Arial" w:hAnsi="Times New Roman" w:cs="Times New Roman"/>
          <w:color w:val="000000" w:themeColor="text1"/>
          <w:kern w:val="0"/>
          <w:lang w:val="sr-Latn-RS"/>
          <w14:ligatures w14:val="none"/>
        </w:rPr>
      </w:pPr>
      <w:r w:rsidRPr="00226F9D">
        <w:rPr>
          <w:rFonts w:ascii="Times New Roman" w:eastAsia="Arial" w:hAnsi="Times New Roman" w:cs="Times New Roman"/>
          <w:color w:val="000000" w:themeColor="text1"/>
          <w:kern w:val="0"/>
          <w:lang w:val="sr-Cyrl-RS"/>
          <w14:ligatures w14:val="none"/>
        </w:rPr>
        <w:t>У том процесу значајна пажња посвећује се и подршци најугроженијим и неразвијеним општинама како би се смањиле територијалне неједнакости и обезбедило равномерније пружање услуга на целој територији Србије. Истовремено, систематско унапређење планирања и спровођења капиталних инвестиција на локалном нивоу треба да обезбеди да локалне заједнице буду носиоци одрживог развоја и модернизације јавне инфраструктуре.</w:t>
      </w:r>
    </w:p>
    <w:p w14:paraId="44EC854C" w14:textId="77777777" w:rsidR="00CA471C" w:rsidRPr="00226F9D" w:rsidRDefault="00CA471C" w:rsidP="00090884">
      <w:pPr>
        <w:spacing w:after="0" w:line="240" w:lineRule="auto"/>
        <w:jc w:val="both"/>
        <w:rPr>
          <w:rFonts w:ascii="Times New Roman" w:eastAsia="Arial" w:hAnsi="Times New Roman" w:cs="Times New Roman"/>
          <w:color w:val="000000" w:themeColor="text1"/>
          <w:kern w:val="0"/>
          <w:lang w:val="sr-Latn-RS"/>
          <w14:ligatures w14:val="none"/>
        </w:rPr>
      </w:pPr>
    </w:p>
    <w:p w14:paraId="0CA6C6E7" w14:textId="17CD637E" w:rsidR="00E169A8" w:rsidRPr="00226F9D" w:rsidRDefault="00E169A8" w:rsidP="00090884">
      <w:pPr>
        <w:spacing w:after="0" w:line="240" w:lineRule="auto"/>
        <w:jc w:val="both"/>
        <w:rPr>
          <w:rFonts w:ascii="Times New Roman" w:eastAsia="Arial" w:hAnsi="Times New Roman" w:cs="Times New Roman"/>
          <w:color w:val="000000" w:themeColor="text1"/>
          <w:kern w:val="0"/>
          <w:lang w:val="sr-Cyrl-RS"/>
          <w14:ligatures w14:val="none"/>
        </w:rPr>
      </w:pPr>
      <w:r w:rsidRPr="00226F9D">
        <w:rPr>
          <w:rFonts w:ascii="Times New Roman" w:eastAsia="Arial" w:hAnsi="Times New Roman" w:cs="Times New Roman"/>
          <w:color w:val="000000" w:themeColor="text1"/>
          <w:kern w:val="0"/>
          <w:lang w:val="sr-Cyrl-RS"/>
          <w14:ligatures w14:val="none"/>
        </w:rPr>
        <w:t>Стратешка намера овог циља је да се створи финансијски систем који обезбеђује стабилне изворе прихода за локалне самоуправе, подстиче рационално и предвидиво планирање, омогућава улагање у јавне инвестиције и осигурава правичну расподелу средстава између различитих средина</w:t>
      </w:r>
    </w:p>
    <w:p w14:paraId="5505E799" w14:textId="77777777" w:rsidR="00CF32C3" w:rsidRPr="00226F9D" w:rsidRDefault="00CF32C3" w:rsidP="00090884">
      <w:pPr>
        <w:spacing w:after="0" w:line="240" w:lineRule="auto"/>
        <w:jc w:val="both"/>
        <w:rPr>
          <w:rFonts w:ascii="Times New Roman" w:eastAsia="Times New Roman" w:hAnsi="Times New Roman" w:cs="Times New Roman"/>
          <w:b/>
          <w:color w:val="000000" w:themeColor="text1"/>
          <w:kern w:val="0"/>
          <w:lang w:val="sr-Cyrl-RS" w:eastAsia="de-CH"/>
          <w14:ligatures w14:val="none"/>
        </w:rPr>
      </w:pPr>
    </w:p>
    <w:tbl>
      <w:tblPr>
        <w:tblStyle w:val="TableGrid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292"/>
        <w:gridCol w:w="1536"/>
        <w:gridCol w:w="1031"/>
        <w:gridCol w:w="1099"/>
        <w:gridCol w:w="1222"/>
        <w:gridCol w:w="1222"/>
        <w:gridCol w:w="1220"/>
      </w:tblGrid>
      <w:tr w:rsidR="00705031" w:rsidRPr="00226F9D" w14:paraId="7EBEC26A" w14:textId="77777777" w:rsidTr="005476BF">
        <w:trPr>
          <w:tblHeader/>
          <w:jc w:val="center"/>
        </w:trPr>
        <w:tc>
          <w:tcPr>
            <w:tcW w:w="1191" w:type="pct"/>
            <w:shd w:val="clear" w:color="auto" w:fill="FFFF00"/>
            <w:vAlign w:val="center"/>
          </w:tcPr>
          <w:p w14:paraId="5E92A981" w14:textId="77777777" w:rsidR="00CF32C3" w:rsidRPr="00226F9D" w:rsidRDefault="00CF32C3" w:rsidP="005476BF">
            <w:pPr>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Показатељ исхода</w:t>
            </w:r>
          </w:p>
        </w:tc>
        <w:tc>
          <w:tcPr>
            <w:tcW w:w="798" w:type="pct"/>
            <w:shd w:val="clear" w:color="auto" w:fill="FFFF00"/>
            <w:vAlign w:val="center"/>
          </w:tcPr>
          <w:p w14:paraId="3B7D9A4C"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Полазна вредност</w:t>
            </w:r>
          </w:p>
        </w:tc>
        <w:tc>
          <w:tcPr>
            <w:tcW w:w="536" w:type="pct"/>
            <w:shd w:val="clear" w:color="auto" w:fill="FFFF00"/>
            <w:vAlign w:val="center"/>
          </w:tcPr>
          <w:p w14:paraId="5C9526AE"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6</w:t>
            </w:r>
            <w:r w:rsidRPr="00226F9D">
              <w:rPr>
                <w:rFonts w:ascii="Times New Roman" w:eastAsia="Times New Roman" w:hAnsi="Times New Roman" w:cs="Times New Roman"/>
                <w:b/>
                <w:bCs/>
                <w:sz w:val="20"/>
                <w:szCs w:val="20"/>
                <w:lang w:val="sr-Cyrl-RS" w:eastAsia="en-GB"/>
              </w:rPr>
              <w:t>.</w:t>
            </w:r>
          </w:p>
        </w:tc>
        <w:tc>
          <w:tcPr>
            <w:tcW w:w="571" w:type="pct"/>
            <w:shd w:val="clear" w:color="auto" w:fill="FFFF00"/>
            <w:vAlign w:val="center"/>
          </w:tcPr>
          <w:p w14:paraId="60F9CF94"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7</w:t>
            </w:r>
            <w:r w:rsidRPr="00226F9D">
              <w:rPr>
                <w:rFonts w:ascii="Times New Roman" w:eastAsia="Times New Roman" w:hAnsi="Times New Roman" w:cs="Times New Roman"/>
                <w:b/>
                <w:bCs/>
                <w:sz w:val="20"/>
                <w:szCs w:val="20"/>
                <w:lang w:val="sr-Cyrl-RS" w:eastAsia="en-GB"/>
              </w:rPr>
              <w:t>.</w:t>
            </w:r>
          </w:p>
        </w:tc>
        <w:tc>
          <w:tcPr>
            <w:tcW w:w="635" w:type="pct"/>
            <w:shd w:val="clear" w:color="auto" w:fill="FFFF00"/>
            <w:vAlign w:val="center"/>
          </w:tcPr>
          <w:p w14:paraId="6A9D4FF5"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8</w:t>
            </w:r>
            <w:r w:rsidRPr="00226F9D">
              <w:rPr>
                <w:rFonts w:ascii="Times New Roman" w:eastAsia="Times New Roman" w:hAnsi="Times New Roman" w:cs="Times New Roman"/>
                <w:b/>
                <w:bCs/>
                <w:sz w:val="20"/>
                <w:szCs w:val="20"/>
                <w:lang w:val="sr-Cyrl-RS" w:eastAsia="en-GB"/>
              </w:rPr>
              <w:t>.</w:t>
            </w:r>
          </w:p>
        </w:tc>
        <w:tc>
          <w:tcPr>
            <w:tcW w:w="635" w:type="pct"/>
            <w:shd w:val="clear" w:color="auto" w:fill="FFFF00"/>
            <w:vAlign w:val="center"/>
          </w:tcPr>
          <w:p w14:paraId="30115920"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9</w:t>
            </w:r>
            <w:r w:rsidRPr="00226F9D">
              <w:rPr>
                <w:rFonts w:ascii="Times New Roman" w:eastAsia="Times New Roman" w:hAnsi="Times New Roman" w:cs="Times New Roman"/>
                <w:b/>
                <w:bCs/>
                <w:sz w:val="20"/>
                <w:szCs w:val="20"/>
                <w:lang w:val="sr-Cyrl-RS" w:eastAsia="en-GB"/>
              </w:rPr>
              <w:t>.</w:t>
            </w:r>
          </w:p>
        </w:tc>
        <w:tc>
          <w:tcPr>
            <w:tcW w:w="634" w:type="pct"/>
            <w:shd w:val="clear" w:color="auto" w:fill="FFFF00"/>
            <w:vAlign w:val="center"/>
          </w:tcPr>
          <w:p w14:paraId="2494E26A"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w:t>
            </w:r>
            <w:r w:rsidRPr="00226F9D">
              <w:rPr>
                <w:rFonts w:ascii="Times New Roman" w:eastAsia="Times New Roman" w:hAnsi="Times New Roman" w:cs="Times New Roman"/>
                <w:b/>
                <w:sz w:val="20"/>
                <w:szCs w:val="20"/>
                <w:lang w:val="sr-Cyrl-RS" w:eastAsia="en-GB"/>
              </w:rPr>
              <w:t>30</w:t>
            </w:r>
            <w:r w:rsidRPr="00226F9D">
              <w:rPr>
                <w:rFonts w:ascii="Times New Roman" w:eastAsia="Times New Roman" w:hAnsi="Times New Roman" w:cs="Times New Roman"/>
                <w:b/>
                <w:bCs/>
                <w:sz w:val="20"/>
                <w:szCs w:val="20"/>
                <w:lang w:val="sr-Cyrl-RS" w:eastAsia="en-GB"/>
              </w:rPr>
              <w:t>.</w:t>
            </w:r>
          </w:p>
        </w:tc>
      </w:tr>
      <w:tr w:rsidR="00F32809" w:rsidRPr="00226F9D" w14:paraId="6CBB2715" w14:textId="77777777" w:rsidTr="005476BF">
        <w:trPr>
          <w:jc w:val="center"/>
        </w:trPr>
        <w:tc>
          <w:tcPr>
            <w:tcW w:w="1191" w:type="pct"/>
            <w:vAlign w:val="center"/>
          </w:tcPr>
          <w:p w14:paraId="77354867" w14:textId="7C06058E" w:rsidR="00CF32C3" w:rsidRPr="00226F9D" w:rsidRDefault="00F32809" w:rsidP="005476BF">
            <w:pPr>
              <w:rPr>
                <w:rFonts w:ascii="Times New Roman" w:eastAsia="Times New Roman" w:hAnsi="Times New Roman" w:cs="Times New Roman"/>
                <w:iCs/>
                <w:sz w:val="20"/>
                <w:szCs w:val="20"/>
                <w:lang w:val="sr-Cyrl-RS" w:eastAsia="en-GB"/>
              </w:rPr>
            </w:pPr>
            <w:r w:rsidRPr="00226F9D">
              <w:rPr>
                <w:rFonts w:ascii="Times New Roman" w:eastAsia="Times New Roman" w:hAnsi="Times New Roman" w:cs="Times New Roman"/>
                <w:iCs/>
                <w:sz w:val="20"/>
                <w:szCs w:val="20"/>
                <w:lang w:val="sr-Cyrl-RS" w:eastAsia="en-GB"/>
              </w:rPr>
              <w:t>Удео текућих прихода градова и општина (са урачунатим трансферима од других нивоа власти) у укупним текућим приходима у Републици Србији</w:t>
            </w:r>
          </w:p>
        </w:tc>
        <w:tc>
          <w:tcPr>
            <w:tcW w:w="798" w:type="pct"/>
            <w:vAlign w:val="center"/>
          </w:tcPr>
          <w:p w14:paraId="522786D6" w14:textId="2DDD36B0" w:rsidR="00CF32C3" w:rsidRPr="00226F9D" w:rsidRDefault="00CF32C3" w:rsidP="00090884">
            <w:pPr>
              <w:jc w:val="both"/>
              <w:rPr>
                <w:rFonts w:ascii="Times New Roman" w:eastAsia="Arial" w:hAnsi="Times New Roman" w:cs="Times New Roman"/>
                <w:sz w:val="20"/>
                <w:szCs w:val="20"/>
                <w:lang w:val="sr-Cyrl-RS"/>
              </w:rPr>
            </w:pPr>
            <w:r w:rsidRPr="00226F9D">
              <w:rPr>
                <w:rFonts w:ascii="Times New Roman" w:eastAsia="Arial" w:hAnsi="Times New Roman" w:cs="Times New Roman"/>
                <w:sz w:val="20"/>
                <w:szCs w:val="20"/>
                <w:lang w:val="sr-Cyrl-RS"/>
              </w:rPr>
              <w:t>1</w:t>
            </w:r>
            <w:r w:rsidR="0061248B" w:rsidRPr="00226F9D">
              <w:rPr>
                <w:rFonts w:ascii="Times New Roman" w:eastAsia="Arial" w:hAnsi="Times New Roman" w:cs="Times New Roman"/>
                <w:sz w:val="20"/>
                <w:szCs w:val="20"/>
                <w:lang w:val="sr-Cyrl-RS"/>
              </w:rPr>
              <w:t>3</w:t>
            </w:r>
            <w:r w:rsidRPr="00226F9D">
              <w:rPr>
                <w:rFonts w:ascii="Times New Roman" w:eastAsia="Arial" w:hAnsi="Times New Roman" w:cs="Times New Roman"/>
                <w:sz w:val="20"/>
                <w:szCs w:val="20"/>
                <w:lang w:val="sr-Cyrl-RS"/>
              </w:rPr>
              <w:t xml:space="preserve">% (2024) </w:t>
            </w:r>
          </w:p>
        </w:tc>
        <w:tc>
          <w:tcPr>
            <w:tcW w:w="536" w:type="pct"/>
            <w:vAlign w:val="center"/>
          </w:tcPr>
          <w:p w14:paraId="516C9D7A" w14:textId="1242662C"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w:t>
            </w:r>
            <w:r w:rsidR="000F1CA0" w:rsidRPr="00226F9D">
              <w:rPr>
                <w:rFonts w:ascii="Times New Roman" w:eastAsia="Times New Roman" w:hAnsi="Times New Roman" w:cs="Times New Roman"/>
                <w:sz w:val="20"/>
                <w:szCs w:val="20"/>
                <w:lang w:val="sr-Cyrl-RS"/>
              </w:rPr>
              <w:t>3</w:t>
            </w:r>
            <w:r w:rsidRPr="00226F9D">
              <w:rPr>
                <w:rFonts w:ascii="Times New Roman" w:eastAsia="Times New Roman" w:hAnsi="Times New Roman" w:cs="Times New Roman"/>
                <w:sz w:val="20"/>
                <w:szCs w:val="20"/>
                <w:lang w:val="sr-Cyrl-RS"/>
              </w:rPr>
              <w:t>%</w:t>
            </w:r>
          </w:p>
        </w:tc>
        <w:tc>
          <w:tcPr>
            <w:tcW w:w="571" w:type="pct"/>
            <w:vAlign w:val="center"/>
          </w:tcPr>
          <w:p w14:paraId="4EE23413" w14:textId="45060647"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w:t>
            </w:r>
            <w:r w:rsidR="000F1CA0" w:rsidRPr="00226F9D">
              <w:rPr>
                <w:rFonts w:ascii="Times New Roman" w:eastAsia="Times New Roman" w:hAnsi="Times New Roman" w:cs="Times New Roman"/>
                <w:sz w:val="20"/>
                <w:szCs w:val="20"/>
                <w:lang w:val="sr-Cyrl-RS"/>
              </w:rPr>
              <w:t>3</w:t>
            </w:r>
            <w:r w:rsidRPr="00226F9D">
              <w:rPr>
                <w:rFonts w:ascii="Times New Roman" w:eastAsia="Times New Roman" w:hAnsi="Times New Roman" w:cs="Times New Roman"/>
                <w:sz w:val="20"/>
                <w:szCs w:val="20"/>
                <w:lang w:val="sr-Cyrl-RS"/>
              </w:rPr>
              <w:t>%</w:t>
            </w:r>
          </w:p>
        </w:tc>
        <w:tc>
          <w:tcPr>
            <w:tcW w:w="635" w:type="pct"/>
            <w:vAlign w:val="center"/>
          </w:tcPr>
          <w:p w14:paraId="56F4A62D" w14:textId="269AB2B0"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w:t>
            </w:r>
            <w:r w:rsidR="000F1CA0" w:rsidRPr="00226F9D">
              <w:rPr>
                <w:rFonts w:ascii="Times New Roman" w:eastAsia="Times New Roman" w:hAnsi="Times New Roman" w:cs="Times New Roman"/>
                <w:sz w:val="20"/>
                <w:szCs w:val="20"/>
                <w:lang w:val="sr-Cyrl-RS"/>
              </w:rPr>
              <w:t>4</w:t>
            </w:r>
            <w:r w:rsidR="006D0DC0" w:rsidRPr="00226F9D">
              <w:rPr>
                <w:rFonts w:ascii="Times New Roman" w:eastAsia="Times New Roman" w:hAnsi="Times New Roman" w:cs="Times New Roman"/>
                <w:sz w:val="20"/>
                <w:szCs w:val="20"/>
                <w:lang w:val="sr-Cyrl-RS"/>
              </w:rPr>
              <w:t>,</w:t>
            </w:r>
            <w:r w:rsidR="000F1CA0" w:rsidRPr="00226F9D">
              <w:rPr>
                <w:rFonts w:ascii="Times New Roman" w:eastAsia="Times New Roman" w:hAnsi="Times New Roman" w:cs="Times New Roman"/>
                <w:sz w:val="20"/>
                <w:szCs w:val="20"/>
                <w:lang w:val="sr-Cyrl-RS"/>
              </w:rPr>
              <w:t>3</w:t>
            </w:r>
            <w:r w:rsidRPr="00226F9D">
              <w:rPr>
                <w:rFonts w:ascii="Times New Roman" w:eastAsia="Times New Roman" w:hAnsi="Times New Roman" w:cs="Times New Roman"/>
                <w:sz w:val="20"/>
                <w:szCs w:val="20"/>
                <w:lang w:val="sr-Cyrl-RS"/>
              </w:rPr>
              <w:t>%</w:t>
            </w:r>
          </w:p>
        </w:tc>
        <w:tc>
          <w:tcPr>
            <w:tcW w:w="635" w:type="pct"/>
            <w:vAlign w:val="center"/>
          </w:tcPr>
          <w:p w14:paraId="0297EE0F" w14:textId="18427A35"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w:t>
            </w:r>
            <w:r w:rsidR="000F1CA0" w:rsidRPr="00226F9D">
              <w:rPr>
                <w:rFonts w:ascii="Times New Roman" w:eastAsia="Times New Roman" w:hAnsi="Times New Roman" w:cs="Times New Roman"/>
                <w:sz w:val="20"/>
                <w:szCs w:val="20"/>
                <w:lang w:val="sr-Cyrl-RS"/>
              </w:rPr>
              <w:t>4</w:t>
            </w:r>
            <w:r w:rsidR="006D0DC0" w:rsidRPr="00226F9D">
              <w:rPr>
                <w:rFonts w:ascii="Times New Roman" w:eastAsia="Times New Roman" w:hAnsi="Times New Roman" w:cs="Times New Roman"/>
                <w:sz w:val="20"/>
                <w:szCs w:val="20"/>
                <w:lang w:val="sr-Cyrl-RS"/>
              </w:rPr>
              <w:t>,</w:t>
            </w:r>
            <w:r w:rsidR="000F1CA0" w:rsidRPr="00226F9D">
              <w:rPr>
                <w:rFonts w:ascii="Times New Roman" w:eastAsia="Times New Roman" w:hAnsi="Times New Roman" w:cs="Times New Roman"/>
                <w:sz w:val="20"/>
                <w:szCs w:val="20"/>
                <w:lang w:val="sr-Cyrl-RS"/>
              </w:rPr>
              <w:t>3</w:t>
            </w:r>
            <w:r w:rsidRPr="00226F9D">
              <w:rPr>
                <w:rFonts w:ascii="Times New Roman" w:eastAsia="Times New Roman" w:hAnsi="Times New Roman" w:cs="Times New Roman"/>
                <w:sz w:val="20"/>
                <w:szCs w:val="20"/>
                <w:lang w:val="sr-Cyrl-RS"/>
              </w:rPr>
              <w:t>%</w:t>
            </w:r>
          </w:p>
        </w:tc>
        <w:tc>
          <w:tcPr>
            <w:tcW w:w="634" w:type="pct"/>
            <w:vAlign w:val="center"/>
          </w:tcPr>
          <w:p w14:paraId="19946388" w14:textId="171C466B"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w:t>
            </w:r>
            <w:r w:rsidR="000F1CA0" w:rsidRPr="00226F9D">
              <w:rPr>
                <w:rFonts w:ascii="Times New Roman" w:eastAsia="Times New Roman" w:hAnsi="Times New Roman" w:cs="Times New Roman"/>
                <w:sz w:val="20"/>
                <w:szCs w:val="20"/>
                <w:lang w:val="sr-Cyrl-RS"/>
              </w:rPr>
              <w:t>4</w:t>
            </w:r>
            <w:r w:rsidRPr="00226F9D">
              <w:rPr>
                <w:rFonts w:ascii="Times New Roman" w:eastAsia="Times New Roman" w:hAnsi="Times New Roman" w:cs="Times New Roman"/>
                <w:sz w:val="20"/>
                <w:szCs w:val="20"/>
                <w:lang w:val="sr-Cyrl-RS"/>
              </w:rPr>
              <w:t>,5%</w:t>
            </w:r>
          </w:p>
        </w:tc>
      </w:tr>
      <w:tr w:rsidR="00F32809" w:rsidRPr="00226F9D" w14:paraId="3E10B42C" w14:textId="77777777" w:rsidTr="005476BF">
        <w:trPr>
          <w:jc w:val="center"/>
        </w:trPr>
        <w:tc>
          <w:tcPr>
            <w:tcW w:w="1191" w:type="pct"/>
            <w:vAlign w:val="center"/>
          </w:tcPr>
          <w:p w14:paraId="62D736D4" w14:textId="77777777" w:rsidR="00CF32C3" w:rsidRPr="00226F9D" w:rsidRDefault="00CF32C3" w:rsidP="005476BF">
            <w:pPr>
              <w:rPr>
                <w:rFonts w:ascii="Times New Roman" w:eastAsia="Times New Roman" w:hAnsi="Times New Roman" w:cs="Times New Roman"/>
                <w:iCs/>
                <w:sz w:val="20"/>
                <w:szCs w:val="20"/>
                <w:lang w:val="sr-Cyrl-RS" w:eastAsia="en-GB"/>
              </w:rPr>
            </w:pPr>
            <w:r w:rsidRPr="00226F9D">
              <w:rPr>
                <w:rFonts w:ascii="Times New Roman" w:eastAsia="Times New Roman" w:hAnsi="Times New Roman" w:cs="Times New Roman"/>
                <w:iCs/>
                <w:sz w:val="20"/>
                <w:szCs w:val="20"/>
                <w:lang w:val="sr-Cyrl-RS" w:eastAsia="en-GB"/>
              </w:rPr>
              <w:t>Удео капиталних издатака у укупним издацима локалне самоуправе</w:t>
            </w:r>
          </w:p>
        </w:tc>
        <w:tc>
          <w:tcPr>
            <w:tcW w:w="798" w:type="pct"/>
            <w:vAlign w:val="center"/>
          </w:tcPr>
          <w:p w14:paraId="755F59ED" w14:textId="1BE6154A" w:rsidR="00CF32C3" w:rsidRPr="00226F9D" w:rsidRDefault="002D3D60" w:rsidP="00090884">
            <w:pPr>
              <w:jc w:val="both"/>
              <w:rPr>
                <w:rFonts w:ascii="Times New Roman" w:eastAsia="Times New Roman" w:hAnsi="Times New Roman" w:cs="Times New Roman"/>
                <w:i/>
                <w:sz w:val="20"/>
                <w:szCs w:val="20"/>
              </w:rPr>
            </w:pPr>
            <w:r w:rsidRPr="00226F9D">
              <w:rPr>
                <w:rFonts w:ascii="Times New Roman" w:eastAsia="Times New Roman" w:hAnsi="Times New Roman" w:cs="Times New Roman"/>
                <w:sz w:val="20"/>
                <w:szCs w:val="20"/>
                <w:lang w:val="sr-Cyrl-RS"/>
              </w:rPr>
              <w:t xml:space="preserve">15,8 </w:t>
            </w:r>
            <w:r w:rsidR="00DD008C" w:rsidRPr="00226F9D">
              <w:rPr>
                <w:rFonts w:ascii="Times New Roman" w:eastAsia="Times New Roman" w:hAnsi="Times New Roman" w:cs="Times New Roman"/>
                <w:sz w:val="20"/>
                <w:szCs w:val="20"/>
                <w:lang w:val="sr-Cyrl-RS"/>
              </w:rPr>
              <w:t>%</w:t>
            </w:r>
            <w:r w:rsidR="00F32809" w:rsidRPr="00226F9D">
              <w:rPr>
                <w:rFonts w:ascii="Times New Roman" w:eastAsia="Times New Roman" w:hAnsi="Times New Roman" w:cs="Times New Roman"/>
                <w:sz w:val="20"/>
                <w:szCs w:val="20"/>
              </w:rPr>
              <w:t xml:space="preserve"> (202</w:t>
            </w:r>
            <w:r w:rsidR="00C35F92" w:rsidRPr="00226F9D">
              <w:rPr>
                <w:rFonts w:ascii="Times New Roman" w:eastAsia="Times New Roman" w:hAnsi="Times New Roman" w:cs="Times New Roman"/>
                <w:sz w:val="20"/>
                <w:szCs w:val="20"/>
                <w:lang w:val="sr-Cyrl-RS"/>
              </w:rPr>
              <w:t>5</w:t>
            </w:r>
            <w:r w:rsidR="00F32809" w:rsidRPr="00226F9D">
              <w:rPr>
                <w:rFonts w:ascii="Times New Roman" w:eastAsia="Times New Roman" w:hAnsi="Times New Roman" w:cs="Times New Roman"/>
                <w:sz w:val="20"/>
                <w:szCs w:val="20"/>
              </w:rPr>
              <w:t>)</w:t>
            </w:r>
          </w:p>
        </w:tc>
        <w:tc>
          <w:tcPr>
            <w:tcW w:w="536" w:type="pct"/>
            <w:vAlign w:val="center"/>
          </w:tcPr>
          <w:p w14:paraId="6609BD0D" w14:textId="37B8A4B2"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w:t>
            </w:r>
            <w:r w:rsidR="00A50E8E" w:rsidRPr="00226F9D">
              <w:rPr>
                <w:rFonts w:ascii="Times New Roman" w:eastAsia="Times New Roman" w:hAnsi="Times New Roman" w:cs="Times New Roman"/>
                <w:sz w:val="20"/>
                <w:szCs w:val="20"/>
                <w:lang w:val="sr-Latn-RS"/>
              </w:rPr>
              <w:t>8</w:t>
            </w:r>
            <w:r w:rsidR="00DD008C" w:rsidRPr="00226F9D">
              <w:rPr>
                <w:rFonts w:ascii="Times New Roman" w:eastAsia="Times New Roman" w:hAnsi="Times New Roman" w:cs="Times New Roman"/>
                <w:sz w:val="20"/>
                <w:szCs w:val="20"/>
                <w:lang w:val="sr-Cyrl-RS"/>
              </w:rPr>
              <w:t>,</w:t>
            </w:r>
            <w:r w:rsidR="00A50E8E" w:rsidRPr="00226F9D">
              <w:rPr>
                <w:rFonts w:ascii="Times New Roman" w:eastAsia="Times New Roman" w:hAnsi="Times New Roman" w:cs="Times New Roman"/>
                <w:sz w:val="20"/>
                <w:szCs w:val="20"/>
                <w:lang w:val="sr-Latn-RS"/>
              </w:rPr>
              <w:t>3</w:t>
            </w:r>
            <w:r w:rsidRPr="00226F9D">
              <w:rPr>
                <w:rFonts w:ascii="Times New Roman" w:eastAsia="Times New Roman" w:hAnsi="Times New Roman" w:cs="Times New Roman"/>
                <w:sz w:val="20"/>
                <w:szCs w:val="20"/>
                <w:lang w:val="sr-Cyrl-RS"/>
              </w:rPr>
              <w:t>%</w:t>
            </w:r>
          </w:p>
        </w:tc>
        <w:tc>
          <w:tcPr>
            <w:tcW w:w="571" w:type="pct"/>
            <w:vAlign w:val="center"/>
          </w:tcPr>
          <w:p w14:paraId="1EA6818D" w14:textId="3F61C718"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18</w:t>
            </w:r>
            <w:r w:rsidR="00A50E8E" w:rsidRPr="00226F9D">
              <w:rPr>
                <w:rFonts w:ascii="Times New Roman" w:eastAsia="Times New Roman" w:hAnsi="Times New Roman" w:cs="Times New Roman"/>
                <w:sz w:val="20"/>
                <w:szCs w:val="20"/>
                <w:lang w:val="sr-Latn-RS"/>
              </w:rPr>
              <w:t>,7</w:t>
            </w:r>
            <w:r w:rsidRPr="00226F9D">
              <w:rPr>
                <w:rFonts w:ascii="Times New Roman" w:eastAsia="Times New Roman" w:hAnsi="Times New Roman" w:cs="Times New Roman"/>
                <w:sz w:val="20"/>
                <w:szCs w:val="20"/>
                <w:lang w:val="sr-Cyrl-RS"/>
              </w:rPr>
              <w:t>%</w:t>
            </w:r>
          </w:p>
        </w:tc>
        <w:tc>
          <w:tcPr>
            <w:tcW w:w="635" w:type="pct"/>
            <w:vAlign w:val="center"/>
          </w:tcPr>
          <w:p w14:paraId="74C4D24A" w14:textId="56FBF815"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w:t>
            </w:r>
            <w:r w:rsidR="001463DC" w:rsidRPr="00226F9D">
              <w:rPr>
                <w:rFonts w:ascii="Times New Roman" w:eastAsia="Times New Roman" w:hAnsi="Times New Roman" w:cs="Times New Roman"/>
                <w:sz w:val="20"/>
                <w:szCs w:val="20"/>
                <w:lang w:val="sr-Latn-RS"/>
              </w:rPr>
              <w:t>9</w:t>
            </w:r>
            <w:r w:rsidRPr="00226F9D">
              <w:rPr>
                <w:rFonts w:ascii="Times New Roman" w:eastAsia="Times New Roman" w:hAnsi="Times New Roman" w:cs="Times New Roman"/>
                <w:sz w:val="20"/>
                <w:szCs w:val="20"/>
                <w:lang w:val="sr-Cyrl-RS"/>
              </w:rPr>
              <w:t>,</w:t>
            </w:r>
            <w:r w:rsidR="001463DC" w:rsidRPr="00226F9D">
              <w:rPr>
                <w:rFonts w:ascii="Times New Roman" w:eastAsia="Times New Roman" w:hAnsi="Times New Roman" w:cs="Times New Roman"/>
                <w:sz w:val="20"/>
                <w:szCs w:val="20"/>
                <w:lang w:val="sr-Latn-RS"/>
              </w:rPr>
              <w:t>2</w:t>
            </w:r>
            <w:r w:rsidRPr="00226F9D">
              <w:rPr>
                <w:rFonts w:ascii="Times New Roman" w:eastAsia="Times New Roman" w:hAnsi="Times New Roman" w:cs="Times New Roman"/>
                <w:sz w:val="20"/>
                <w:szCs w:val="20"/>
                <w:lang w:val="sr-Cyrl-RS"/>
              </w:rPr>
              <w:t>%</w:t>
            </w:r>
          </w:p>
        </w:tc>
        <w:tc>
          <w:tcPr>
            <w:tcW w:w="635" w:type="pct"/>
            <w:vAlign w:val="center"/>
          </w:tcPr>
          <w:p w14:paraId="3DC45971" w14:textId="2AA79D67" w:rsidR="00CF32C3" w:rsidRPr="00226F9D" w:rsidRDefault="00CF32C3" w:rsidP="00090884">
            <w:pPr>
              <w:jc w:val="both"/>
              <w:rPr>
                <w:rFonts w:ascii="Times New Roman" w:eastAsia="Times New Roman" w:hAnsi="Times New Roman" w:cs="Times New Roman"/>
                <w:sz w:val="20"/>
                <w:szCs w:val="20"/>
                <w:lang w:val="sr-Cyrl-RS"/>
              </w:rPr>
            </w:pPr>
            <w:r w:rsidRPr="00226F9D">
              <w:rPr>
                <w:rFonts w:ascii="Times New Roman" w:eastAsia="Times New Roman" w:hAnsi="Times New Roman" w:cs="Times New Roman"/>
                <w:sz w:val="20"/>
                <w:szCs w:val="20"/>
                <w:lang w:val="sr-Cyrl-RS"/>
              </w:rPr>
              <w:t>19,</w:t>
            </w:r>
            <w:r w:rsidR="001463DC" w:rsidRPr="00226F9D">
              <w:rPr>
                <w:rFonts w:ascii="Times New Roman" w:eastAsia="Times New Roman" w:hAnsi="Times New Roman" w:cs="Times New Roman"/>
                <w:sz w:val="20"/>
                <w:szCs w:val="20"/>
                <w:lang w:val="sr-Latn-RS"/>
              </w:rPr>
              <w:t>7</w:t>
            </w:r>
            <w:r w:rsidRPr="00226F9D">
              <w:rPr>
                <w:rFonts w:ascii="Times New Roman" w:eastAsia="Times New Roman" w:hAnsi="Times New Roman" w:cs="Times New Roman"/>
                <w:sz w:val="20"/>
                <w:szCs w:val="20"/>
                <w:lang w:val="sr-Cyrl-RS"/>
              </w:rPr>
              <w:t>%</w:t>
            </w:r>
          </w:p>
        </w:tc>
        <w:tc>
          <w:tcPr>
            <w:tcW w:w="634" w:type="pct"/>
            <w:vAlign w:val="center"/>
          </w:tcPr>
          <w:p w14:paraId="30A827EE" w14:textId="77777777" w:rsidR="00CF32C3" w:rsidRPr="00226F9D" w:rsidRDefault="00CF32C3" w:rsidP="00090884">
            <w:pPr>
              <w:jc w:val="both"/>
              <w:rPr>
                <w:rFonts w:ascii="Times New Roman" w:eastAsia="Arial" w:hAnsi="Times New Roman" w:cs="Times New Roman"/>
                <w:sz w:val="20"/>
                <w:szCs w:val="20"/>
                <w:lang w:val="sr-Cyrl-RS"/>
              </w:rPr>
            </w:pPr>
            <w:r w:rsidRPr="00226F9D">
              <w:rPr>
                <w:rFonts w:ascii="Times New Roman" w:eastAsia="Times New Roman" w:hAnsi="Times New Roman" w:cs="Times New Roman"/>
                <w:sz w:val="20"/>
                <w:szCs w:val="20"/>
                <w:lang w:val="sr-Cyrl-RS"/>
              </w:rPr>
              <w:t>20%</w:t>
            </w:r>
            <w:r w:rsidRPr="00226F9D">
              <w:rPr>
                <w:rFonts w:ascii="Times New Roman" w:eastAsia="Arial" w:hAnsi="Times New Roman" w:cs="Times New Roman"/>
                <w:sz w:val="20"/>
                <w:szCs w:val="20"/>
                <w:lang w:val="sr-Cyrl-RS"/>
              </w:rPr>
              <w:t xml:space="preserve"> </w:t>
            </w:r>
          </w:p>
        </w:tc>
      </w:tr>
    </w:tbl>
    <w:p w14:paraId="66515F63" w14:textId="4937093F" w:rsidR="00C546A3" w:rsidRPr="00226F9D" w:rsidRDefault="00560079" w:rsidP="00090884">
      <w:pPr>
        <w:spacing w:after="0" w:line="240" w:lineRule="auto"/>
        <w:jc w:val="both"/>
        <w:rPr>
          <w:rFonts w:ascii="Times New Roman" w:eastAsia="Times New Roman" w:hAnsi="Times New Roman" w:cs="Times New Roman"/>
          <w:b/>
          <w:i/>
          <w:color w:val="000000" w:themeColor="text1"/>
          <w:kern w:val="0"/>
          <w:lang w:val="sr-Cyrl-RS"/>
          <w14:ligatures w14:val="none"/>
        </w:rPr>
      </w:pPr>
      <w:r w:rsidRPr="00226F9D">
        <w:rPr>
          <w:rFonts w:ascii="Times New Roman" w:eastAsia="Calibri" w:hAnsi="Times New Roman" w:cs="Times New Roman"/>
          <w:noProof/>
          <w:u w:val="single"/>
        </w:rPr>
        <w:drawing>
          <wp:anchor distT="0" distB="0" distL="114300" distR="114300" simplePos="0" relativeHeight="251658253" behindDoc="0" locked="0" layoutInCell="1" allowOverlap="1" wp14:anchorId="5E99B1C5" wp14:editId="5F6A80E3">
            <wp:simplePos x="0" y="0"/>
            <wp:positionH relativeFrom="margin">
              <wp:align>left</wp:align>
            </wp:positionH>
            <wp:positionV relativeFrom="paragraph">
              <wp:posOffset>170815</wp:posOffset>
            </wp:positionV>
            <wp:extent cx="887095" cy="676910"/>
            <wp:effectExtent l="0" t="0" r="8255" b="8890"/>
            <wp:wrapThrough wrapText="bothSides">
              <wp:wrapPolygon edited="0">
                <wp:start x="0" y="0"/>
                <wp:lineTo x="0" y="21276"/>
                <wp:lineTo x="21337" y="21276"/>
                <wp:lineTo x="21337" y="0"/>
                <wp:lineTo x="0" y="0"/>
              </wp:wrapPolygon>
            </wp:wrapThrough>
            <wp:docPr id="2137520402" name="Picture 1" descr="A colorful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33888" name="Picture 1" descr="A colorful circle with text&#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87095" cy="676910"/>
                    </a:xfrm>
                    <a:prstGeom prst="rect">
                      <a:avLst/>
                    </a:prstGeom>
                  </pic:spPr>
                </pic:pic>
              </a:graphicData>
            </a:graphic>
            <wp14:sizeRelH relativeFrom="margin">
              <wp14:pctWidth>0</wp14:pctWidth>
            </wp14:sizeRelH>
            <wp14:sizeRelV relativeFrom="margin">
              <wp14:pctHeight>0</wp14:pctHeight>
            </wp14:sizeRelV>
          </wp:anchor>
        </w:drawing>
      </w:r>
    </w:p>
    <w:p w14:paraId="366BBF61" w14:textId="421F6373" w:rsidR="00C67877" w:rsidRPr="00226F9D" w:rsidRDefault="00C67877"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lang w:val="sr-Cyrl-RS"/>
        </w:rPr>
        <w:t xml:space="preserve">Када је реч о </w:t>
      </w:r>
      <w:r w:rsidR="00AA43C5" w:rsidRPr="00226F9D">
        <w:rPr>
          <w:rFonts w:ascii="Times New Roman" w:eastAsia="Calibri" w:hAnsi="Times New Roman" w:cs="Times New Roman"/>
          <w:lang w:val="sr-Cyrl-RS"/>
        </w:rPr>
        <w:t>повезаности са</w:t>
      </w:r>
      <w:r w:rsidRPr="00226F9D">
        <w:rPr>
          <w:rFonts w:ascii="Times New Roman" w:eastAsia="Calibri" w:hAnsi="Times New Roman" w:cs="Times New Roman"/>
          <w:lang w:val="sr-Cyrl-RS"/>
        </w:rPr>
        <w:t xml:space="preserve"> Агенд</w:t>
      </w:r>
      <w:r w:rsidR="00AA43C5" w:rsidRPr="00226F9D">
        <w:rPr>
          <w:rFonts w:ascii="Times New Roman" w:eastAsia="Calibri" w:hAnsi="Times New Roman" w:cs="Times New Roman"/>
          <w:lang w:val="sr-Cyrl-RS"/>
        </w:rPr>
        <w:t>ом</w:t>
      </w:r>
      <w:r w:rsidRPr="00226F9D">
        <w:rPr>
          <w:rFonts w:ascii="Times New Roman" w:eastAsia="Calibri" w:hAnsi="Times New Roman" w:cs="Times New Roman"/>
          <w:lang w:val="sr-Cyrl-RS"/>
        </w:rPr>
        <w:t xml:space="preserve"> 2030 на нивоу </w:t>
      </w:r>
      <w:r w:rsidRPr="00226F9D">
        <w:rPr>
          <w:rFonts w:ascii="Times New Roman" w:eastAsia="Calibri" w:hAnsi="Times New Roman" w:cs="Times New Roman"/>
          <w:b/>
          <w:bCs/>
          <w:lang w:val="sr-Cyrl-RS"/>
        </w:rPr>
        <w:t>другог посебног циља</w:t>
      </w:r>
      <w:r w:rsidRPr="00226F9D">
        <w:rPr>
          <w:rFonts w:ascii="Times New Roman" w:eastAsia="Calibri" w:hAnsi="Times New Roman" w:cs="Times New Roman"/>
          <w:lang w:val="sr-Cyrl-RS"/>
        </w:rPr>
        <w:t xml:space="preserve"> ПРСЛС 2026-2030</w:t>
      </w:r>
      <w:r w:rsidR="00BB675B" w:rsidRPr="00226F9D">
        <w:rPr>
          <w:rFonts w:ascii="Times New Roman" w:eastAsia="Calibri" w:hAnsi="Times New Roman" w:cs="Times New Roman"/>
          <w:lang w:val="sr-Cyrl-RS"/>
        </w:rPr>
        <w:t xml:space="preserve">, исходи у оквиру ЦОР </w:t>
      </w:r>
      <w:r w:rsidR="00F3337D" w:rsidRPr="00226F9D">
        <w:rPr>
          <w:rFonts w:ascii="Times New Roman" w:eastAsia="Calibri" w:hAnsi="Times New Roman" w:cs="Times New Roman"/>
          <w:lang w:val="sr-Cyrl-RS"/>
        </w:rPr>
        <w:t xml:space="preserve">не сужавају фокус </w:t>
      </w:r>
      <w:r w:rsidR="002A0077" w:rsidRPr="00226F9D">
        <w:rPr>
          <w:rFonts w:ascii="Times New Roman" w:eastAsia="Calibri" w:hAnsi="Times New Roman" w:cs="Times New Roman"/>
          <w:lang w:val="sr-Cyrl-RS"/>
        </w:rPr>
        <w:t xml:space="preserve">на </w:t>
      </w:r>
      <w:r w:rsidR="0063406A" w:rsidRPr="00226F9D">
        <w:rPr>
          <w:rFonts w:ascii="Times New Roman" w:eastAsia="Calibri" w:hAnsi="Times New Roman" w:cs="Times New Roman"/>
          <w:lang w:val="sr-Cyrl-RS"/>
        </w:rPr>
        <w:t>финансијске параметре</w:t>
      </w:r>
      <w:r w:rsidR="002A0077" w:rsidRPr="00226F9D">
        <w:rPr>
          <w:rFonts w:ascii="Times New Roman" w:eastAsia="Calibri" w:hAnsi="Times New Roman" w:cs="Times New Roman"/>
          <w:lang w:val="sr-Cyrl-RS"/>
        </w:rPr>
        <w:t xml:space="preserve"> локалног нивоа власти</w:t>
      </w:r>
      <w:r w:rsidR="0063406A" w:rsidRPr="00226F9D">
        <w:rPr>
          <w:rFonts w:ascii="Times New Roman" w:eastAsia="Calibri" w:hAnsi="Times New Roman" w:cs="Times New Roman"/>
          <w:lang w:val="sr-Cyrl-RS"/>
        </w:rPr>
        <w:t xml:space="preserve"> </w:t>
      </w:r>
      <w:r w:rsidR="00172299" w:rsidRPr="00226F9D">
        <w:rPr>
          <w:rFonts w:ascii="Times New Roman" w:eastAsia="Calibri" w:hAnsi="Times New Roman" w:cs="Times New Roman"/>
          <w:lang w:val="sr-Cyrl-RS"/>
        </w:rPr>
        <w:t xml:space="preserve">већ посматрају </w:t>
      </w:r>
      <w:r w:rsidR="00604CCA" w:rsidRPr="00226F9D">
        <w:rPr>
          <w:rFonts w:ascii="Times New Roman" w:eastAsia="Calibri" w:hAnsi="Times New Roman" w:cs="Times New Roman"/>
          <w:lang w:val="sr-Cyrl-RS"/>
        </w:rPr>
        <w:t xml:space="preserve">укупност приходних и расходних </w:t>
      </w:r>
      <w:r w:rsidR="000405DF" w:rsidRPr="00226F9D">
        <w:rPr>
          <w:rFonts w:ascii="Times New Roman" w:eastAsia="Calibri" w:hAnsi="Times New Roman" w:cs="Times New Roman"/>
          <w:lang w:val="sr-Cyrl-RS"/>
        </w:rPr>
        <w:t>кретања</w:t>
      </w:r>
      <w:r w:rsidR="005971BB" w:rsidRPr="00226F9D">
        <w:rPr>
          <w:rFonts w:ascii="Times New Roman" w:eastAsia="Calibri" w:hAnsi="Times New Roman" w:cs="Times New Roman"/>
          <w:lang w:val="sr-Cyrl-RS"/>
        </w:rPr>
        <w:t xml:space="preserve"> државе</w:t>
      </w:r>
      <w:r w:rsidR="00D52A19" w:rsidRPr="00226F9D">
        <w:rPr>
          <w:rFonts w:ascii="Times New Roman" w:eastAsia="Calibri" w:hAnsi="Times New Roman" w:cs="Times New Roman"/>
          <w:lang w:val="sr-Cyrl-RS"/>
        </w:rPr>
        <w:t xml:space="preserve">, при чему се </w:t>
      </w:r>
      <w:r w:rsidR="00294687" w:rsidRPr="00226F9D">
        <w:rPr>
          <w:rFonts w:ascii="Times New Roman" w:eastAsia="Calibri" w:hAnsi="Times New Roman" w:cs="Times New Roman"/>
          <w:lang w:val="sr-Cyrl-RS"/>
        </w:rPr>
        <w:t xml:space="preserve">сразмерни доприноси </w:t>
      </w:r>
      <w:r w:rsidR="00F84A7F" w:rsidRPr="00226F9D">
        <w:rPr>
          <w:rFonts w:ascii="Times New Roman" w:eastAsia="Calibri" w:hAnsi="Times New Roman" w:cs="Times New Roman"/>
          <w:lang w:val="sr-Cyrl-RS"/>
        </w:rPr>
        <w:t xml:space="preserve">остварују и кроз напредак параметара </w:t>
      </w:r>
      <w:r w:rsidR="008E7784" w:rsidRPr="00226F9D">
        <w:rPr>
          <w:rFonts w:ascii="Times New Roman" w:eastAsia="Calibri" w:hAnsi="Times New Roman" w:cs="Times New Roman"/>
          <w:lang w:val="sr-Cyrl-RS"/>
        </w:rPr>
        <w:t>који се прате за лок</w:t>
      </w:r>
      <w:r w:rsidR="00F62B32" w:rsidRPr="00226F9D">
        <w:rPr>
          <w:rFonts w:ascii="Times New Roman" w:eastAsia="Calibri" w:hAnsi="Times New Roman" w:cs="Times New Roman"/>
          <w:lang w:val="sr-Cyrl-RS"/>
        </w:rPr>
        <w:t>а</w:t>
      </w:r>
      <w:r w:rsidR="008E7784" w:rsidRPr="00226F9D">
        <w:rPr>
          <w:rFonts w:ascii="Times New Roman" w:eastAsia="Calibri" w:hAnsi="Times New Roman" w:cs="Times New Roman"/>
          <w:lang w:val="sr-Cyrl-RS"/>
        </w:rPr>
        <w:t>лни ниво</w:t>
      </w:r>
      <w:r w:rsidRPr="00226F9D">
        <w:rPr>
          <w:rFonts w:ascii="Times New Roman" w:eastAsia="Calibri" w:hAnsi="Times New Roman" w:cs="Times New Roman"/>
          <w:lang w:val="sr-Cyrl-RS"/>
        </w:rPr>
        <w:t>, тако да је основни приказ ових веза како следи:</w:t>
      </w:r>
    </w:p>
    <w:p w14:paraId="229BD0D3" w14:textId="77777777" w:rsidR="00A873F4" w:rsidRPr="00226F9D" w:rsidRDefault="00A873F4" w:rsidP="00090884">
      <w:pPr>
        <w:spacing w:after="0" w:line="240" w:lineRule="auto"/>
        <w:jc w:val="both"/>
        <w:rPr>
          <w:rFonts w:ascii="Times New Roman" w:eastAsia="Times New Roman" w:hAnsi="Times New Roman" w:cs="Times New Roman"/>
          <w:b/>
          <w:i/>
          <w:color w:val="000000" w:themeColor="text1"/>
          <w:kern w:val="0"/>
          <w:lang w:val="sr-Cyrl-RS"/>
          <w14:ligatures w14:val="none"/>
        </w:rPr>
      </w:pPr>
    </w:p>
    <w:tbl>
      <w:tblPr>
        <w:tblW w:w="5000" w:type="pct"/>
        <w:tblInd w:w="-5" w:type="dxa"/>
        <w:tblCellMar>
          <w:top w:w="57" w:type="dxa"/>
          <w:bottom w:w="57" w:type="dxa"/>
        </w:tblCellMar>
        <w:tblLook w:val="04A0" w:firstRow="1" w:lastRow="0" w:firstColumn="1" w:lastColumn="0" w:noHBand="0" w:noVBand="1"/>
      </w:tblPr>
      <w:tblGrid>
        <w:gridCol w:w="1896"/>
        <w:gridCol w:w="2186"/>
        <w:gridCol w:w="2187"/>
        <w:gridCol w:w="3353"/>
      </w:tblGrid>
      <w:tr w:rsidR="00FB1C71" w:rsidRPr="00226F9D" w14:paraId="0E4359C0" w14:textId="77777777" w:rsidTr="00CA471C">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0B49B6AC" w14:textId="42858A31" w:rsidR="00A873F4" w:rsidRPr="00226F9D" w:rsidRDefault="00A873F4" w:rsidP="005476BF">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ПОСЕБНИ ЦИЉ</w:t>
            </w:r>
            <w:r w:rsidR="00F20B1B" w:rsidRPr="00226F9D">
              <w:rPr>
                <w:rFonts w:ascii="Times New Roman" w:eastAsia="Times New Roman" w:hAnsi="Times New Roman" w:cs="Times New Roman"/>
                <w:b/>
                <w:bCs/>
                <w:i/>
                <w:iCs/>
                <w:color w:val="000000"/>
                <w:kern w:val="0"/>
                <w:sz w:val="20"/>
                <w:szCs w:val="20"/>
                <w:lang w:val="sr-Cyrl-RS" w:eastAsia="en-GB"/>
                <w14:ligatures w14:val="none"/>
              </w:rPr>
              <w:t xml:space="preserve"> </w:t>
            </w:r>
            <w:r w:rsidRPr="00226F9D">
              <w:rPr>
                <w:rFonts w:ascii="Times New Roman" w:eastAsia="Times New Roman" w:hAnsi="Times New Roman" w:cs="Times New Roman"/>
                <w:b/>
                <w:bCs/>
                <w:i/>
                <w:iCs/>
                <w:color w:val="000000"/>
                <w:kern w:val="0"/>
                <w:sz w:val="20"/>
                <w:szCs w:val="20"/>
                <w:lang w:val="sr-Cyrl-RS" w:eastAsia="en-GB"/>
                <w14:ligatures w14:val="none"/>
              </w:rPr>
              <w:t>ПР</w:t>
            </w:r>
            <w:r w:rsidR="009B5961" w:rsidRPr="00226F9D">
              <w:rPr>
                <w:rFonts w:ascii="Times New Roman" w:eastAsia="Times New Roman" w:hAnsi="Times New Roman" w:cs="Times New Roman"/>
                <w:b/>
                <w:bCs/>
                <w:i/>
                <w:iCs/>
                <w:color w:val="000000"/>
                <w:kern w:val="0"/>
                <w:sz w:val="20"/>
                <w:szCs w:val="20"/>
                <w:lang w:val="sr-Cyrl-RS" w:eastAsia="en-GB"/>
                <w14:ligatures w14:val="none"/>
              </w:rPr>
              <w:t>СЛС 2026-2025</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25F1AC0B" w14:textId="6539676E" w:rsidR="00A873F4" w:rsidRPr="00226F9D" w:rsidRDefault="00A873F4" w:rsidP="005476BF">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П</w:t>
            </w:r>
            <w:r w:rsidR="00A30004" w:rsidRPr="00226F9D">
              <w:rPr>
                <w:rFonts w:ascii="Times New Roman" w:eastAsia="Times New Roman" w:hAnsi="Times New Roman" w:cs="Times New Roman"/>
                <w:b/>
                <w:bCs/>
                <w:i/>
                <w:iCs/>
                <w:color w:val="000000"/>
                <w:kern w:val="0"/>
                <w:sz w:val="20"/>
                <w:szCs w:val="20"/>
                <w:lang w:val="sr-Cyrl-RS" w:eastAsia="en-GB"/>
                <w14:ligatures w14:val="none"/>
              </w:rPr>
              <w:t xml:space="preserve">оказатељи </w:t>
            </w:r>
            <w:r w:rsidR="00FD5C97" w:rsidRPr="00226F9D">
              <w:rPr>
                <w:rFonts w:ascii="Times New Roman" w:eastAsia="Times New Roman" w:hAnsi="Times New Roman" w:cs="Times New Roman"/>
                <w:b/>
                <w:bCs/>
                <w:i/>
                <w:iCs/>
                <w:color w:val="000000"/>
                <w:kern w:val="0"/>
                <w:sz w:val="20"/>
                <w:szCs w:val="20"/>
                <w:lang w:val="sr-Cyrl-RS" w:eastAsia="en-GB"/>
                <w14:ligatures w14:val="none"/>
              </w:rPr>
              <w:t>циља у ПРСЛС</w:t>
            </w: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4361E761" w14:textId="21ECD7CD" w:rsidR="00A873F4" w:rsidRPr="00226F9D" w:rsidRDefault="00A873F4" w:rsidP="005476BF">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В</w:t>
            </w:r>
            <w:r w:rsidR="002343DC" w:rsidRPr="00226F9D">
              <w:rPr>
                <w:rFonts w:ascii="Times New Roman" w:eastAsia="Times New Roman" w:hAnsi="Times New Roman" w:cs="Times New Roman"/>
                <w:b/>
                <w:bCs/>
                <w:i/>
                <w:iCs/>
                <w:color w:val="000000"/>
                <w:kern w:val="0"/>
                <w:sz w:val="20"/>
                <w:szCs w:val="20"/>
                <w:lang w:val="sr-Cyrl-RS" w:eastAsia="en-GB"/>
                <w14:ligatures w14:val="none"/>
              </w:rPr>
              <w:t xml:space="preserve">еза са потциљевима </w:t>
            </w:r>
            <w:r w:rsidR="009C75EF" w:rsidRPr="00226F9D">
              <w:rPr>
                <w:rFonts w:ascii="Times New Roman" w:eastAsia="Times New Roman" w:hAnsi="Times New Roman" w:cs="Times New Roman"/>
                <w:b/>
                <w:bCs/>
                <w:i/>
                <w:iCs/>
                <w:color w:val="000000"/>
                <w:kern w:val="0"/>
                <w:sz w:val="20"/>
                <w:szCs w:val="20"/>
                <w:lang w:val="sr-Cyrl-RS" w:eastAsia="en-GB"/>
                <w14:ligatures w14:val="none"/>
              </w:rPr>
              <w:t>одрживог развоја</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1DF655B9" w14:textId="15346F5A" w:rsidR="00A873F4" w:rsidRPr="00226F9D" w:rsidRDefault="00A873F4" w:rsidP="005476BF">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В</w:t>
            </w:r>
            <w:r w:rsidR="008A2B16" w:rsidRPr="00226F9D">
              <w:rPr>
                <w:rFonts w:ascii="Times New Roman" w:eastAsia="Times New Roman" w:hAnsi="Times New Roman" w:cs="Times New Roman"/>
                <w:b/>
                <w:bCs/>
                <w:i/>
                <w:iCs/>
                <w:color w:val="000000"/>
                <w:kern w:val="0"/>
                <w:sz w:val="20"/>
                <w:szCs w:val="20"/>
                <w:lang w:val="sr-Cyrl-RS" w:eastAsia="en-GB"/>
                <w14:ligatures w14:val="none"/>
              </w:rPr>
              <w:t>еза са показатељем ЦОР</w:t>
            </w:r>
          </w:p>
        </w:tc>
      </w:tr>
      <w:tr w:rsidR="00E80D7D" w:rsidRPr="00226F9D" w14:paraId="42FC57D3" w14:textId="77777777" w:rsidTr="00CA471C">
        <w:trPr>
          <w:trHeight w:val="2994"/>
        </w:trPr>
        <w:tc>
          <w:tcPr>
            <w:tcW w:w="1843" w:type="dxa"/>
            <w:tcBorders>
              <w:top w:val="nil"/>
              <w:left w:val="single" w:sz="4" w:space="0" w:color="auto"/>
              <w:bottom w:val="single" w:sz="4" w:space="0" w:color="auto"/>
              <w:right w:val="single" w:sz="4" w:space="0" w:color="auto"/>
            </w:tcBorders>
            <w:shd w:val="clear" w:color="auto" w:fill="FFFFFF"/>
            <w:hideMark/>
          </w:tcPr>
          <w:p w14:paraId="148E4AC0"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3B46BDB1"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317BEA8"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48D6CF6D" w14:textId="50B321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2: Унапређење система финансирања локалне самоуправе</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14:paraId="68E50B2A"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Calibri" w:hAnsi="Times New Roman" w:cs="Times New Roman"/>
                <w:i/>
                <w:color w:val="000000"/>
                <w:kern w:val="0"/>
                <w:sz w:val="20"/>
                <w:szCs w:val="20"/>
                <w:lang w:val="sr-Cyrl-RS"/>
                <w14:ligatures w14:val="none"/>
              </w:rPr>
              <w:t xml:space="preserve">Удео текућих прихода ЛС у укупним текућим приходима у Републици Србији </w:t>
            </w:r>
          </w:p>
          <w:p w14:paraId="0FEBB8DD"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7728DCD6" w14:textId="77777777" w:rsidR="003D64C0" w:rsidRPr="00226F9D" w:rsidRDefault="003D64C0"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35EA47C3"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 xml:space="preserve">Удео капиталних издатака у укупним издацима локалне самоуправе </w:t>
            </w:r>
          </w:p>
          <w:p w14:paraId="73E056AC" w14:textId="1FD70ADD" w:rsidR="0080685C" w:rsidRPr="00226F9D" w:rsidRDefault="0080685C" w:rsidP="00090884">
            <w:pPr>
              <w:spacing w:after="0" w:line="240" w:lineRule="auto"/>
              <w:jc w:val="both"/>
              <w:rPr>
                <w:rFonts w:ascii="Times New Roman" w:eastAsia="Times New Roman" w:hAnsi="Times New Roman" w:cs="Times New Roman"/>
                <w:color w:val="EE0000"/>
                <w:kern w:val="0"/>
                <w:sz w:val="20"/>
                <w:szCs w:val="20"/>
                <w:lang w:val="sr-Cyrl-RS"/>
                <w14:ligatures w14:val="none"/>
              </w:rPr>
            </w:pPr>
          </w:p>
        </w:tc>
        <w:tc>
          <w:tcPr>
            <w:tcW w:w="2127" w:type="dxa"/>
            <w:tcBorders>
              <w:top w:val="single" w:sz="4" w:space="0" w:color="auto"/>
              <w:left w:val="single" w:sz="4" w:space="0" w:color="auto"/>
              <w:bottom w:val="single" w:sz="4" w:space="0" w:color="auto"/>
              <w:right w:val="single" w:sz="4" w:space="0" w:color="auto"/>
            </w:tcBorders>
            <w:shd w:val="clear" w:color="auto" w:fill="FFFFFF"/>
            <w:hideMark/>
          </w:tcPr>
          <w:p w14:paraId="1D6D5030"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27BC1FA"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4DDE73E6" w14:textId="52D32AC3"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17.1</w:t>
            </w:r>
          </w:p>
          <w:p w14:paraId="60AE626C"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662F61C3"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19FC0C6A"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18DB50B"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63DA9105"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3DD3DD06"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069E8AB" w14:textId="0A1C4F70"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16.6</w:t>
            </w:r>
          </w:p>
        </w:tc>
        <w:tc>
          <w:tcPr>
            <w:tcW w:w="3260" w:type="dxa"/>
            <w:tcBorders>
              <w:top w:val="single" w:sz="4" w:space="0" w:color="auto"/>
              <w:left w:val="single" w:sz="4" w:space="0" w:color="auto"/>
              <w:bottom w:val="single" w:sz="4" w:space="0" w:color="auto"/>
              <w:right w:val="single" w:sz="4" w:space="0" w:color="auto"/>
            </w:tcBorders>
            <w:shd w:val="clear" w:color="auto" w:fill="FFFFFF"/>
            <w:hideMark/>
          </w:tcPr>
          <w:p w14:paraId="19E45138"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BBE491E" w14:textId="77777777" w:rsidR="00074691" w:rsidRPr="00226F9D" w:rsidRDefault="00074691"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37442DF5" w14:textId="4E25C430"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 xml:space="preserve">17.1.1 Укупни </w:t>
            </w:r>
            <w:r w:rsidRPr="00226F9D">
              <w:rPr>
                <w:rFonts w:ascii="Times New Roman" w:eastAsia="Times New Roman" w:hAnsi="Times New Roman" w:cs="Times New Roman"/>
                <w:i/>
                <w:iCs/>
                <w:color w:val="000000"/>
                <w:kern w:val="0"/>
                <w:sz w:val="20"/>
                <w:szCs w:val="20"/>
                <w:lang w:val="sr-Latn-RS" w:eastAsia="en-GB"/>
                <w14:ligatures w14:val="none"/>
              </w:rPr>
              <w:t>(</w:t>
            </w:r>
            <w:r w:rsidRPr="00226F9D">
              <w:rPr>
                <w:rFonts w:ascii="Times New Roman" w:eastAsia="Times New Roman" w:hAnsi="Times New Roman" w:cs="Times New Roman"/>
                <w:i/>
                <w:iCs/>
                <w:color w:val="000000"/>
                <w:kern w:val="0"/>
                <w:sz w:val="20"/>
                <w:szCs w:val="20"/>
                <w:lang w:val="sr-Cyrl-RS" w:eastAsia="en-GB"/>
                <w14:ligatures w14:val="none"/>
              </w:rPr>
              <w:t>државни</w:t>
            </w:r>
            <w:r w:rsidRPr="00226F9D">
              <w:rPr>
                <w:rFonts w:ascii="Times New Roman" w:eastAsia="Times New Roman" w:hAnsi="Times New Roman" w:cs="Times New Roman"/>
                <w:i/>
                <w:iCs/>
                <w:color w:val="000000"/>
                <w:kern w:val="0"/>
                <w:sz w:val="20"/>
                <w:szCs w:val="20"/>
                <w:lang w:val="sr-Latn-RS" w:eastAsia="en-GB"/>
                <w14:ligatures w14:val="none"/>
              </w:rPr>
              <w:t>)</w:t>
            </w:r>
            <w:r w:rsidRPr="00226F9D">
              <w:rPr>
                <w:rFonts w:ascii="Times New Roman" w:eastAsia="Times New Roman" w:hAnsi="Times New Roman" w:cs="Times New Roman"/>
                <w:i/>
                <w:iCs/>
                <w:color w:val="000000"/>
                <w:kern w:val="0"/>
                <w:sz w:val="20"/>
                <w:szCs w:val="20"/>
                <w:lang w:val="sr-Cyrl-RS" w:eastAsia="en-GB"/>
                <w14:ligatures w14:val="none"/>
              </w:rPr>
              <w:t xml:space="preserve"> приходи као удео у БДП-у, према изворима</w:t>
            </w:r>
          </w:p>
          <w:p w14:paraId="45D41350"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67D5F43E"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044F4F1" w14:textId="77777777"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7A0F960D" w14:textId="53F01841" w:rsidR="0080685C" w:rsidRPr="00226F9D" w:rsidRDefault="0080685C"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 xml:space="preserve">16.6.1 Примарни </w:t>
            </w:r>
            <w:r w:rsidRPr="00226F9D">
              <w:rPr>
                <w:rFonts w:ascii="Times New Roman" w:eastAsia="Times New Roman" w:hAnsi="Times New Roman" w:cs="Times New Roman"/>
                <w:i/>
                <w:iCs/>
                <w:color w:val="000000"/>
                <w:kern w:val="0"/>
                <w:sz w:val="20"/>
                <w:szCs w:val="20"/>
                <w:lang w:val="sr-Latn-RS" w:eastAsia="en-GB"/>
                <w14:ligatures w14:val="none"/>
              </w:rPr>
              <w:t>(</w:t>
            </w:r>
            <w:r w:rsidRPr="00226F9D">
              <w:rPr>
                <w:rFonts w:ascii="Times New Roman" w:eastAsia="Times New Roman" w:hAnsi="Times New Roman" w:cs="Times New Roman"/>
                <w:i/>
                <w:iCs/>
                <w:color w:val="000000"/>
                <w:kern w:val="0"/>
                <w:sz w:val="20"/>
                <w:szCs w:val="20"/>
                <w:lang w:val="sr-Cyrl-RS" w:eastAsia="en-GB"/>
                <w14:ligatures w14:val="none"/>
              </w:rPr>
              <w:t>државни</w:t>
            </w:r>
            <w:r w:rsidRPr="00226F9D">
              <w:rPr>
                <w:rFonts w:ascii="Times New Roman" w:eastAsia="Times New Roman" w:hAnsi="Times New Roman" w:cs="Times New Roman"/>
                <w:i/>
                <w:iCs/>
                <w:color w:val="000000"/>
                <w:kern w:val="0"/>
                <w:sz w:val="20"/>
                <w:szCs w:val="20"/>
                <w:lang w:val="sr-Latn-RS" w:eastAsia="en-GB"/>
                <w14:ligatures w14:val="none"/>
              </w:rPr>
              <w:t>)</w:t>
            </w:r>
            <w:r w:rsidRPr="00226F9D">
              <w:rPr>
                <w:rFonts w:ascii="Times New Roman" w:eastAsia="Times New Roman" w:hAnsi="Times New Roman" w:cs="Times New Roman"/>
                <w:i/>
                <w:iCs/>
                <w:color w:val="000000"/>
                <w:kern w:val="0"/>
                <w:sz w:val="20"/>
                <w:szCs w:val="20"/>
                <w:lang w:val="sr-Cyrl-RS" w:eastAsia="en-GB"/>
                <w14:ligatures w14:val="none"/>
              </w:rPr>
              <w:t xml:space="preserve"> расходи као удео у оригинално одобреном буџету, по секторима (или по буџетским линијама и</w:t>
            </w:r>
            <w:r w:rsidR="00AC0410" w:rsidRPr="00226F9D">
              <w:rPr>
                <w:rFonts w:ascii="Times New Roman" w:eastAsia="Times New Roman" w:hAnsi="Times New Roman" w:cs="Times New Roman"/>
                <w:i/>
                <w:iCs/>
                <w:color w:val="000000"/>
                <w:kern w:val="0"/>
                <w:sz w:val="20"/>
                <w:szCs w:val="20"/>
                <w:lang w:val="sr-Cyrl-RS" w:eastAsia="en-GB"/>
                <w14:ligatures w14:val="none"/>
              </w:rPr>
              <w:t xml:space="preserve"> сл.</w:t>
            </w:r>
            <w:r w:rsidRPr="00226F9D">
              <w:rPr>
                <w:rFonts w:ascii="Times New Roman" w:eastAsia="Times New Roman" w:hAnsi="Times New Roman" w:cs="Times New Roman"/>
                <w:i/>
                <w:iCs/>
                <w:color w:val="000000"/>
                <w:kern w:val="0"/>
                <w:sz w:val="20"/>
                <w:szCs w:val="20"/>
                <w:lang w:val="sr-Cyrl-RS" w:eastAsia="en-GB"/>
                <w14:ligatures w14:val="none"/>
              </w:rPr>
              <w:t>)</w:t>
            </w:r>
          </w:p>
        </w:tc>
      </w:tr>
    </w:tbl>
    <w:p w14:paraId="7631DBA5" w14:textId="77777777" w:rsidR="00A873F4" w:rsidRPr="00226F9D" w:rsidRDefault="00A873F4" w:rsidP="00090884">
      <w:pPr>
        <w:spacing w:after="0" w:line="240" w:lineRule="auto"/>
        <w:jc w:val="both"/>
        <w:rPr>
          <w:rFonts w:ascii="Times New Roman" w:eastAsia="Times New Roman" w:hAnsi="Times New Roman" w:cs="Times New Roman"/>
          <w:b/>
          <w:i/>
          <w:color w:val="000000" w:themeColor="text1"/>
          <w:kern w:val="0"/>
          <w:lang w:val="sr-Cyrl-RS"/>
          <w14:ligatures w14:val="none"/>
        </w:rPr>
      </w:pPr>
    </w:p>
    <w:p w14:paraId="31BC416A" w14:textId="51C25659" w:rsidR="00F53843" w:rsidRPr="00226F9D" w:rsidRDefault="00F53843" w:rsidP="00F53843">
      <w:pPr>
        <w:spacing w:after="0" w:line="240" w:lineRule="auto"/>
        <w:jc w:val="both"/>
        <w:rPr>
          <w:rFonts w:ascii="Times New Roman" w:eastAsia="Times New Roman" w:hAnsi="Times New Roman" w:cs="Times New Roman"/>
          <w:lang w:val="sr-Cyrl-RS" w:eastAsia="de-CH"/>
        </w:rPr>
      </w:pPr>
      <w:r w:rsidRPr="00226F9D">
        <w:rPr>
          <w:rFonts w:ascii="Times New Roman" w:eastAsia="Times New Roman" w:hAnsi="Times New Roman" w:cs="Times New Roman"/>
          <w:u w:val="single"/>
          <w:lang w:val="sr-Cyrl-RS" w:eastAsia="de-CH"/>
        </w:rPr>
        <w:t>Опције за достизање Посебног циља 2 – приказ адаптације у односу на претходни програмски период и одговор прилагођеног сета мера на препознате ризике</w:t>
      </w:r>
      <w:r w:rsidRPr="00226F9D">
        <w:rPr>
          <w:rFonts w:ascii="Times New Roman" w:eastAsia="Times New Roman" w:hAnsi="Times New Roman" w:cs="Times New Roman"/>
          <w:lang w:val="sr-Cyrl-RS" w:eastAsia="de-CH"/>
        </w:rPr>
        <w:t>:</w:t>
      </w:r>
    </w:p>
    <w:p w14:paraId="2A190CAB" w14:textId="77777777" w:rsidR="00CC4CC3" w:rsidRPr="00226F9D" w:rsidRDefault="00CC4CC3" w:rsidP="00CC4CC3">
      <w:pPr>
        <w:spacing w:after="0" w:line="240" w:lineRule="auto"/>
        <w:jc w:val="both"/>
        <w:rPr>
          <w:rFonts w:ascii="Times New Roman" w:eastAsia="Times New Roman" w:hAnsi="Times New Roman" w:cs="Times New Roman"/>
          <w:kern w:val="0"/>
          <w:lang w:val="sr-Cyrl-RS" w:eastAsia="de-CH"/>
          <w14:ligatures w14:val="none"/>
        </w:rPr>
      </w:pPr>
    </w:p>
    <w:p w14:paraId="78899F4A" w14:textId="3E80FBD5" w:rsidR="00CC4CC3" w:rsidRPr="00226F9D" w:rsidRDefault="00CC4CC3" w:rsidP="00CC4CC3">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У детаљном разматрању опција и анализи ефеката на нивоу овог циља у оквиру ПРСЛС 2021-2025, аргументован је и опредељен избор опције која потенцира </w:t>
      </w:r>
      <w:r w:rsidR="00FB70DA" w:rsidRPr="00226F9D">
        <w:rPr>
          <w:rFonts w:ascii="Times New Roman" w:eastAsia="Times New Roman" w:hAnsi="Times New Roman" w:cs="Times New Roman"/>
          <w:i/>
          <w:iCs/>
          <w:kern w:val="0"/>
          <w:lang w:val="sr-Cyrl-RS" w:eastAsia="de-CH"/>
          <w14:ligatures w14:val="none"/>
        </w:rPr>
        <w:t>измен</w:t>
      </w:r>
      <w:r w:rsidR="005B6359" w:rsidRPr="00226F9D">
        <w:rPr>
          <w:rFonts w:ascii="Times New Roman" w:eastAsia="Times New Roman" w:hAnsi="Times New Roman" w:cs="Times New Roman"/>
          <w:i/>
          <w:iCs/>
          <w:kern w:val="0"/>
          <w:lang w:val="sr-Cyrl-RS" w:eastAsia="de-CH"/>
          <w14:ligatures w14:val="none"/>
        </w:rPr>
        <w:t>е</w:t>
      </w:r>
      <w:r w:rsidR="00FB70DA" w:rsidRPr="00226F9D">
        <w:rPr>
          <w:rFonts w:ascii="Times New Roman" w:eastAsia="Times New Roman" w:hAnsi="Times New Roman" w:cs="Times New Roman"/>
          <w:i/>
          <w:iCs/>
          <w:kern w:val="0"/>
          <w:lang w:val="sr-Cyrl-RS" w:eastAsia="de-CH"/>
          <w14:ligatures w14:val="none"/>
        </w:rPr>
        <w:t xml:space="preserve"> законског оквира који </w:t>
      </w:r>
      <w:r w:rsidR="005B6359" w:rsidRPr="00226F9D">
        <w:rPr>
          <w:rFonts w:ascii="Times New Roman" w:eastAsia="Times New Roman" w:hAnsi="Times New Roman" w:cs="Times New Roman"/>
          <w:i/>
          <w:iCs/>
          <w:kern w:val="0"/>
          <w:lang w:val="sr-Cyrl-RS" w:eastAsia="de-CH"/>
          <w14:ligatures w14:val="none"/>
        </w:rPr>
        <w:t>уређује</w:t>
      </w:r>
      <w:r w:rsidR="00FB70DA" w:rsidRPr="00226F9D">
        <w:rPr>
          <w:rFonts w:ascii="Times New Roman" w:eastAsia="Times New Roman" w:hAnsi="Times New Roman" w:cs="Times New Roman"/>
          <w:i/>
          <w:iCs/>
          <w:kern w:val="0"/>
          <w:lang w:val="sr-Cyrl-RS" w:eastAsia="de-CH"/>
          <w14:ligatures w14:val="none"/>
        </w:rPr>
        <w:t xml:space="preserve"> систем финансирања </w:t>
      </w:r>
      <w:r w:rsidR="005F4AEA" w:rsidRPr="00226F9D">
        <w:rPr>
          <w:rFonts w:ascii="Times New Roman" w:eastAsia="Times New Roman" w:hAnsi="Times New Roman" w:cs="Times New Roman"/>
          <w:i/>
          <w:iCs/>
          <w:kern w:val="0"/>
          <w:lang w:val="sr-Cyrl-RS" w:eastAsia="de-CH"/>
          <w14:ligatures w14:val="none"/>
        </w:rPr>
        <w:t>ЛС</w:t>
      </w:r>
      <w:r w:rsidR="00FB70DA" w:rsidRPr="00226F9D">
        <w:rPr>
          <w:rFonts w:ascii="Times New Roman" w:eastAsia="Times New Roman" w:hAnsi="Times New Roman" w:cs="Times New Roman"/>
          <w:i/>
          <w:iCs/>
          <w:kern w:val="0"/>
          <w:lang w:val="sr-Cyrl-RS" w:eastAsia="de-CH"/>
          <w14:ligatures w14:val="none"/>
        </w:rPr>
        <w:t xml:space="preserve"> уз јачање капацитета </w:t>
      </w:r>
      <w:r w:rsidR="005B6359" w:rsidRPr="00226F9D">
        <w:rPr>
          <w:rFonts w:ascii="Times New Roman" w:eastAsia="Times New Roman" w:hAnsi="Times New Roman" w:cs="Times New Roman"/>
          <w:i/>
          <w:iCs/>
          <w:kern w:val="0"/>
          <w:lang w:val="sr-Cyrl-RS" w:eastAsia="de-CH"/>
          <w14:ligatures w14:val="none"/>
        </w:rPr>
        <w:t>градова и општина</w:t>
      </w:r>
      <w:r w:rsidR="005B6359" w:rsidRPr="00226F9D">
        <w:rPr>
          <w:rFonts w:ascii="Times New Roman" w:eastAsia="Times New Roman" w:hAnsi="Times New Roman" w:cs="Times New Roman"/>
          <w:kern w:val="0"/>
          <w:lang w:val="sr-Cyrl-RS" w:eastAsia="de-CH"/>
          <w14:ligatures w14:val="none"/>
        </w:rPr>
        <w:t>.</w:t>
      </w:r>
      <w:r w:rsidR="00FB70DA"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kern w:val="0"/>
          <w:lang w:val="sr-Cyrl-RS" w:eastAsia="de-CH"/>
          <w14:ligatures w14:val="none"/>
        </w:rPr>
        <w:t xml:space="preserve">Ова опција остаје у потпуности валидна за нови програмски период, уз </w:t>
      </w:r>
      <w:r w:rsidR="00357935" w:rsidRPr="00226F9D">
        <w:rPr>
          <w:rFonts w:ascii="Times New Roman" w:eastAsia="Times New Roman" w:hAnsi="Times New Roman" w:cs="Times New Roman"/>
          <w:kern w:val="0"/>
          <w:lang w:val="sr-Cyrl-RS" w:eastAsia="de-CH"/>
          <w14:ligatures w14:val="none"/>
        </w:rPr>
        <w:t>прилагођавањ</w:t>
      </w:r>
      <w:r w:rsidR="001639D0" w:rsidRPr="00226F9D">
        <w:rPr>
          <w:rFonts w:ascii="Times New Roman" w:eastAsia="Times New Roman" w:hAnsi="Times New Roman" w:cs="Times New Roman"/>
          <w:kern w:val="0"/>
          <w:lang w:val="sr-Cyrl-RS" w:eastAsia="de-CH"/>
          <w14:ligatures w14:val="none"/>
        </w:rPr>
        <w:t>е</w:t>
      </w:r>
      <w:r w:rsidRPr="00226F9D">
        <w:rPr>
          <w:rFonts w:ascii="Times New Roman" w:eastAsia="Times New Roman" w:hAnsi="Times New Roman" w:cs="Times New Roman"/>
          <w:kern w:val="0"/>
          <w:lang w:val="sr-Cyrl-RS" w:eastAsia="de-CH"/>
          <w14:ligatures w14:val="none"/>
        </w:rPr>
        <w:t xml:space="preserve"> сета мера руковођено: </w:t>
      </w:r>
      <w:r w:rsidR="00AB30EC" w:rsidRPr="00226F9D">
        <w:rPr>
          <w:rFonts w:ascii="Times New Roman" w:eastAsia="Times New Roman" w:hAnsi="Times New Roman" w:cs="Times New Roman"/>
          <w:kern w:val="0"/>
          <w:lang w:val="sr-Cyrl-RS" w:eastAsia="de-CH"/>
          <w14:ligatures w14:val="none"/>
        </w:rPr>
        <w:t>1)</w:t>
      </w:r>
      <w:r w:rsidR="000E5B15"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kern w:val="0"/>
          <w:lang w:val="sr-Cyrl-RS" w:eastAsia="de-CH"/>
          <w14:ligatures w14:val="none"/>
        </w:rPr>
        <w:t>искуствима стеченим у спровођењу претходног Програма</w:t>
      </w:r>
      <w:r w:rsidR="00FC25CE" w:rsidRPr="00226F9D">
        <w:rPr>
          <w:rFonts w:ascii="Times New Roman" w:eastAsia="Times New Roman" w:hAnsi="Times New Roman" w:cs="Times New Roman"/>
          <w:kern w:val="0"/>
          <w:lang w:val="sr-Cyrl-RS" w:eastAsia="de-CH"/>
          <w14:ligatures w14:val="none"/>
        </w:rPr>
        <w:t xml:space="preserve"> </w:t>
      </w:r>
      <w:r w:rsidR="00FD5B4C" w:rsidRPr="00226F9D">
        <w:rPr>
          <w:rFonts w:ascii="Times New Roman" w:eastAsia="Times New Roman" w:hAnsi="Times New Roman" w:cs="Times New Roman"/>
          <w:kern w:val="0"/>
          <w:lang w:val="sr-Cyrl-RS" w:eastAsia="de-CH"/>
          <w14:ligatures w14:val="none"/>
        </w:rPr>
        <w:t>и уважавање</w:t>
      </w:r>
      <w:r w:rsidR="00260C87" w:rsidRPr="00226F9D">
        <w:rPr>
          <w:rFonts w:ascii="Times New Roman" w:eastAsia="Times New Roman" w:hAnsi="Times New Roman" w:cs="Times New Roman"/>
          <w:kern w:val="0"/>
          <w:lang w:val="sr-Cyrl-RS" w:eastAsia="de-CH"/>
          <w14:ligatures w14:val="none"/>
        </w:rPr>
        <w:t>м</w:t>
      </w:r>
      <w:r w:rsidR="00FD5B4C" w:rsidRPr="00226F9D">
        <w:rPr>
          <w:rFonts w:ascii="Times New Roman" w:eastAsia="Times New Roman" w:hAnsi="Times New Roman" w:cs="Times New Roman"/>
          <w:kern w:val="0"/>
          <w:lang w:val="sr-Cyrl-RS" w:eastAsia="de-CH"/>
          <w14:ligatures w14:val="none"/>
        </w:rPr>
        <w:t xml:space="preserve"> интервенција предвиђених </w:t>
      </w:r>
      <w:r w:rsidR="004C795F" w:rsidRPr="00226F9D">
        <w:rPr>
          <w:rFonts w:ascii="Times New Roman" w:eastAsia="Times New Roman" w:hAnsi="Times New Roman" w:cs="Times New Roman"/>
          <w:kern w:val="0"/>
          <w:lang w:val="sr-Cyrl-RS" w:eastAsia="de-CH"/>
          <w14:ligatures w14:val="none"/>
        </w:rPr>
        <w:t>другим реформским п</w:t>
      </w:r>
      <w:r w:rsidR="004D545F" w:rsidRPr="00226F9D">
        <w:rPr>
          <w:rFonts w:ascii="Times New Roman" w:eastAsia="Times New Roman" w:hAnsi="Times New Roman" w:cs="Times New Roman"/>
          <w:kern w:val="0"/>
          <w:lang w:val="sr-Cyrl-RS" w:eastAsia="de-CH"/>
          <w14:ligatures w14:val="none"/>
        </w:rPr>
        <w:t>ланским документима</w:t>
      </w:r>
      <w:r w:rsidRPr="00226F9D">
        <w:rPr>
          <w:rFonts w:ascii="Times New Roman" w:eastAsia="Times New Roman" w:hAnsi="Times New Roman" w:cs="Times New Roman"/>
          <w:kern w:val="0"/>
          <w:lang w:val="sr-Cyrl-RS" w:eastAsia="de-CH"/>
          <w14:ligatures w14:val="none"/>
        </w:rPr>
        <w:t xml:space="preserve">; </w:t>
      </w:r>
      <w:r w:rsidR="00AB30EC" w:rsidRPr="00226F9D">
        <w:rPr>
          <w:rFonts w:ascii="Times New Roman" w:eastAsia="Times New Roman" w:hAnsi="Times New Roman" w:cs="Times New Roman"/>
          <w:kern w:val="0"/>
          <w:lang w:val="sr-Cyrl-RS" w:eastAsia="de-CH"/>
          <w14:ligatures w14:val="none"/>
        </w:rPr>
        <w:t>2)</w:t>
      </w:r>
      <w:r w:rsidR="000E5B15"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kern w:val="0"/>
          <w:lang w:val="sr-Cyrl-RS" w:eastAsia="de-CH"/>
          <w14:ligatures w14:val="none"/>
        </w:rPr>
        <w:t>фокусирањем планова и ресурса</w:t>
      </w:r>
      <w:r w:rsidR="00E31761" w:rsidRPr="00226F9D">
        <w:rPr>
          <w:rFonts w:ascii="Times New Roman" w:eastAsia="Times New Roman" w:hAnsi="Times New Roman" w:cs="Times New Roman"/>
          <w:kern w:val="0"/>
          <w:lang w:val="sr-Cyrl-RS" w:eastAsia="de-CH"/>
          <w14:ligatures w14:val="none"/>
        </w:rPr>
        <w:t xml:space="preserve"> и потенцирањем јавности и </w:t>
      </w:r>
      <w:r w:rsidR="007E6C5C" w:rsidRPr="00226F9D">
        <w:rPr>
          <w:rFonts w:ascii="Times New Roman" w:eastAsia="Times New Roman" w:hAnsi="Times New Roman" w:cs="Times New Roman"/>
          <w:kern w:val="0"/>
          <w:lang w:val="sr-Cyrl-RS" w:eastAsia="de-CH"/>
          <w14:ligatures w14:val="none"/>
        </w:rPr>
        <w:t>доступности података о локалним финансијама</w:t>
      </w:r>
      <w:r w:rsidRPr="00226F9D">
        <w:rPr>
          <w:rFonts w:ascii="Times New Roman" w:eastAsia="Times New Roman" w:hAnsi="Times New Roman" w:cs="Times New Roman"/>
          <w:kern w:val="0"/>
          <w:lang w:val="sr-Cyrl-RS" w:eastAsia="de-CH"/>
          <w14:ligatures w14:val="none"/>
        </w:rPr>
        <w:t xml:space="preserve">; </w:t>
      </w:r>
      <w:r w:rsidR="00AB30EC" w:rsidRPr="00226F9D">
        <w:rPr>
          <w:rFonts w:ascii="Times New Roman" w:eastAsia="Times New Roman" w:hAnsi="Times New Roman" w:cs="Times New Roman"/>
          <w:kern w:val="0"/>
          <w:lang w:val="sr-Cyrl-RS" w:eastAsia="de-CH"/>
          <w14:ligatures w14:val="none"/>
        </w:rPr>
        <w:t>3)</w:t>
      </w:r>
      <w:r w:rsidR="000E5B15"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kern w:val="0"/>
          <w:lang w:val="sr-Cyrl-RS" w:eastAsia="de-CH"/>
          <w14:ligatures w14:val="none"/>
        </w:rPr>
        <w:t xml:space="preserve">адресирањем налаза/препорука СИГМА. Упоредни преглед сетова мера као опција претходног и новог Програма за достизање Посебног циља </w:t>
      </w:r>
      <w:r w:rsidR="002D08E7" w:rsidRPr="00226F9D">
        <w:rPr>
          <w:rFonts w:ascii="Times New Roman" w:eastAsia="Times New Roman" w:hAnsi="Times New Roman" w:cs="Times New Roman"/>
          <w:kern w:val="0"/>
          <w:lang w:val="sr-Cyrl-RS" w:eastAsia="de-CH"/>
          <w14:ligatures w14:val="none"/>
        </w:rPr>
        <w:t>2</w:t>
      </w:r>
      <w:r w:rsidRPr="00226F9D">
        <w:rPr>
          <w:rFonts w:ascii="Times New Roman" w:eastAsia="Times New Roman" w:hAnsi="Times New Roman" w:cs="Times New Roman"/>
          <w:kern w:val="0"/>
          <w:lang w:val="sr-Cyrl-RS" w:eastAsia="de-CH"/>
          <w14:ligatures w14:val="none"/>
        </w:rPr>
        <w:t xml:space="preserve"> је како следи:</w:t>
      </w:r>
    </w:p>
    <w:p w14:paraId="72A0BE55" w14:textId="77777777" w:rsidR="004A4775" w:rsidRPr="00226F9D" w:rsidRDefault="004A4775" w:rsidP="00CC4CC3">
      <w:pPr>
        <w:spacing w:after="0" w:line="240" w:lineRule="auto"/>
        <w:jc w:val="both"/>
        <w:rPr>
          <w:rFonts w:ascii="Times New Roman" w:eastAsia="Times New Roman" w:hAnsi="Times New Roman" w:cs="Times New Roman"/>
          <w:color w:val="EE0000"/>
          <w:kern w:val="0"/>
          <w:lang w:val="sr-Cyrl-RS" w:eastAsia="de-CH"/>
          <w14:ligatures w14:val="none"/>
        </w:rPr>
      </w:pPr>
    </w:p>
    <w:tbl>
      <w:tblPr>
        <w:tblStyle w:val="TableGrid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15"/>
        <w:gridCol w:w="283"/>
        <w:gridCol w:w="4524"/>
      </w:tblGrid>
      <w:tr w:rsidR="004A4775" w:rsidRPr="00226F9D" w14:paraId="3BAC0680" w14:textId="77777777" w:rsidTr="005476BF">
        <w:trPr>
          <w:tblHeader/>
          <w:jc w:val="center"/>
        </w:trPr>
        <w:tc>
          <w:tcPr>
            <w:tcW w:w="5000" w:type="pct"/>
            <w:gridSpan w:val="3"/>
            <w:shd w:val="clear" w:color="auto" w:fill="FFCE3C"/>
          </w:tcPr>
          <w:p w14:paraId="0096FE72" w14:textId="6134E358" w:rsidR="004A4775" w:rsidRPr="00226F9D" w:rsidRDefault="004A4775" w:rsidP="00C026E7">
            <w:pPr>
              <w:jc w:val="center"/>
              <w:rPr>
                <w:rFonts w:ascii="Times New Roman" w:eastAsia="Times New Roman" w:hAnsi="Times New Roman" w:cs="Times New Roman"/>
                <w:i/>
                <w:iCs/>
                <w:sz w:val="20"/>
                <w:szCs w:val="20"/>
                <w:lang w:val="sr-Cyrl-RS" w:eastAsia="en-GB"/>
              </w:rPr>
            </w:pPr>
            <w:r w:rsidRPr="00226F9D">
              <w:rPr>
                <w:rFonts w:ascii="Times New Roman" w:eastAsia="Times New Roman" w:hAnsi="Times New Roman" w:cs="Times New Roman"/>
                <w:i/>
                <w:iCs/>
                <w:sz w:val="20"/>
                <w:szCs w:val="20"/>
                <w:lang w:val="sr-Cyrl-RS" w:eastAsia="en-GB"/>
              </w:rPr>
              <w:t xml:space="preserve">Опција: измене законског оквира </w:t>
            </w:r>
            <w:r w:rsidR="00606B1E" w:rsidRPr="00226F9D">
              <w:rPr>
                <w:rFonts w:ascii="Times New Roman" w:eastAsia="Times New Roman" w:hAnsi="Times New Roman" w:cs="Times New Roman"/>
                <w:i/>
                <w:iCs/>
                <w:sz w:val="20"/>
                <w:szCs w:val="20"/>
                <w:lang w:val="sr-Cyrl-RS" w:eastAsia="en-GB"/>
              </w:rPr>
              <w:t>који уређује систем финансирања ЛС уз јачање капацитета градова и општина</w:t>
            </w:r>
          </w:p>
        </w:tc>
      </w:tr>
      <w:tr w:rsidR="004A4775" w:rsidRPr="00226F9D" w14:paraId="420142C8" w14:textId="77777777" w:rsidTr="005476BF">
        <w:trPr>
          <w:tblHeader/>
          <w:jc w:val="center"/>
        </w:trPr>
        <w:tc>
          <w:tcPr>
            <w:tcW w:w="2502" w:type="pct"/>
            <w:shd w:val="clear" w:color="auto" w:fill="FFCE3C"/>
          </w:tcPr>
          <w:p w14:paraId="518220FC" w14:textId="5CCDF9F1" w:rsidR="004A4775" w:rsidRPr="00226F9D" w:rsidRDefault="004A4775"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i/>
                <w:iCs/>
                <w:sz w:val="20"/>
                <w:szCs w:val="20"/>
                <w:lang w:val="sr-Latn-RS" w:eastAsia="en-GB"/>
              </w:rPr>
              <w:t>Status quo</w:t>
            </w:r>
            <w:r w:rsidRPr="00226F9D">
              <w:rPr>
                <w:rFonts w:ascii="Times New Roman" w:eastAsia="Times New Roman" w:hAnsi="Times New Roman" w:cs="Times New Roman"/>
                <w:sz w:val="20"/>
                <w:szCs w:val="20"/>
                <w:lang w:val="sr-Latn-RS" w:eastAsia="en-GB"/>
              </w:rPr>
              <w:t xml:space="preserve"> – </w:t>
            </w:r>
            <w:r w:rsidRPr="00226F9D">
              <w:rPr>
                <w:rFonts w:ascii="Times New Roman" w:eastAsia="Times New Roman" w:hAnsi="Times New Roman" w:cs="Times New Roman"/>
                <w:sz w:val="20"/>
                <w:szCs w:val="20"/>
                <w:lang w:val="sr-Cyrl-RS" w:eastAsia="en-GB"/>
              </w:rPr>
              <w:t xml:space="preserve">сет мера за ПЦ </w:t>
            </w:r>
            <w:r w:rsidR="00B43AEF" w:rsidRPr="00226F9D">
              <w:rPr>
                <w:rFonts w:ascii="Times New Roman" w:eastAsia="Times New Roman" w:hAnsi="Times New Roman" w:cs="Times New Roman"/>
                <w:sz w:val="20"/>
                <w:szCs w:val="20"/>
                <w:lang w:val="sr-Cyrl-RS" w:eastAsia="en-GB"/>
              </w:rPr>
              <w:t>2</w:t>
            </w:r>
            <w:r w:rsidRPr="00226F9D">
              <w:rPr>
                <w:rFonts w:ascii="Times New Roman" w:eastAsia="Times New Roman" w:hAnsi="Times New Roman" w:cs="Times New Roman"/>
                <w:sz w:val="20"/>
                <w:szCs w:val="20"/>
                <w:lang w:val="sr-Cyrl-RS" w:eastAsia="en-GB"/>
              </w:rPr>
              <w:t xml:space="preserve"> ПРСЛС 2021-2025</w:t>
            </w:r>
          </w:p>
        </w:tc>
        <w:tc>
          <w:tcPr>
            <w:tcW w:w="147" w:type="pct"/>
            <w:vMerge w:val="restart"/>
            <w:tcBorders>
              <w:bottom w:val="nil"/>
            </w:tcBorders>
          </w:tcPr>
          <w:p w14:paraId="0838499A" w14:textId="77777777" w:rsidR="004A4775" w:rsidRPr="00226F9D" w:rsidRDefault="004A4775" w:rsidP="00C026E7">
            <w:pPr>
              <w:jc w:val="both"/>
              <w:rPr>
                <w:rFonts w:ascii="Times New Roman" w:eastAsia="Times New Roman" w:hAnsi="Times New Roman" w:cs="Times New Roman"/>
                <w:i/>
                <w:iCs/>
                <w:sz w:val="20"/>
                <w:szCs w:val="20"/>
                <w:lang w:val="sr-Cyrl-RS" w:eastAsia="en-GB"/>
              </w:rPr>
            </w:pPr>
          </w:p>
        </w:tc>
        <w:tc>
          <w:tcPr>
            <w:tcW w:w="2351" w:type="pct"/>
            <w:shd w:val="clear" w:color="auto" w:fill="FFCE3C"/>
          </w:tcPr>
          <w:p w14:paraId="726C5B8E" w14:textId="78A3CCE6" w:rsidR="004A4775" w:rsidRPr="00226F9D" w:rsidRDefault="004A4775"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i/>
                <w:iCs/>
                <w:sz w:val="20"/>
                <w:szCs w:val="20"/>
                <w:lang w:val="sr-Cyrl-RS" w:eastAsia="en-GB"/>
              </w:rPr>
              <w:t xml:space="preserve">Умерени даљи реформски приступ – </w:t>
            </w:r>
            <w:r w:rsidRPr="00226F9D">
              <w:rPr>
                <w:rFonts w:ascii="Times New Roman" w:eastAsia="Times New Roman" w:hAnsi="Times New Roman" w:cs="Times New Roman"/>
                <w:sz w:val="20"/>
                <w:szCs w:val="20"/>
                <w:lang w:val="sr-Cyrl-RS" w:eastAsia="en-GB"/>
              </w:rPr>
              <w:t xml:space="preserve">сет мера за ПЦ </w:t>
            </w:r>
            <w:r w:rsidR="00B43AEF" w:rsidRPr="00226F9D">
              <w:rPr>
                <w:rFonts w:ascii="Times New Roman" w:eastAsia="Times New Roman" w:hAnsi="Times New Roman" w:cs="Times New Roman"/>
                <w:sz w:val="20"/>
                <w:szCs w:val="20"/>
                <w:lang w:val="sr-Cyrl-RS" w:eastAsia="en-GB"/>
              </w:rPr>
              <w:t>2</w:t>
            </w:r>
            <w:r w:rsidRPr="00226F9D">
              <w:rPr>
                <w:rFonts w:ascii="Times New Roman" w:eastAsia="Times New Roman" w:hAnsi="Times New Roman" w:cs="Times New Roman"/>
                <w:sz w:val="20"/>
                <w:szCs w:val="20"/>
                <w:lang w:val="sr-Cyrl-RS" w:eastAsia="en-GB"/>
              </w:rPr>
              <w:t xml:space="preserve"> ПРСЛС 2026-2030</w:t>
            </w:r>
          </w:p>
        </w:tc>
      </w:tr>
      <w:tr w:rsidR="004E4C6C" w:rsidRPr="00226F9D" w14:paraId="38F9DDFE" w14:textId="77777777" w:rsidTr="005476BF">
        <w:trPr>
          <w:jc w:val="center"/>
        </w:trPr>
        <w:tc>
          <w:tcPr>
            <w:tcW w:w="2502" w:type="pct"/>
          </w:tcPr>
          <w:p w14:paraId="456BD796" w14:textId="72047C05" w:rsidR="004E4C6C" w:rsidRPr="00226F9D" w:rsidRDefault="004E4C6C" w:rsidP="007F7220">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2.1</w:t>
            </w:r>
            <w:r w:rsidRPr="00226F9D">
              <w:rPr>
                <w:rFonts w:ascii="Times New Roman" w:eastAsia="Times New Roman" w:hAnsi="Times New Roman" w:cs="Times New Roman"/>
                <w:sz w:val="20"/>
                <w:szCs w:val="20"/>
                <w:lang w:val="sr-Cyrl-RS" w:eastAsia="en-GB"/>
              </w:rPr>
              <w:t>: Реформа система финансирања локалне самоуправе и подршка развоју фискалне децентрализације</w:t>
            </w:r>
          </w:p>
        </w:tc>
        <w:tc>
          <w:tcPr>
            <w:tcW w:w="147" w:type="pct"/>
            <w:vMerge/>
            <w:tcBorders>
              <w:bottom w:val="nil"/>
            </w:tcBorders>
          </w:tcPr>
          <w:p w14:paraId="553A62AB" w14:textId="77777777" w:rsidR="004E4C6C" w:rsidRPr="00226F9D" w:rsidRDefault="004E4C6C" w:rsidP="00C026E7">
            <w:pPr>
              <w:jc w:val="both"/>
              <w:rPr>
                <w:rFonts w:ascii="Times New Roman" w:eastAsia="Times New Roman" w:hAnsi="Times New Roman" w:cs="Times New Roman"/>
                <w:sz w:val="20"/>
                <w:szCs w:val="20"/>
                <w:lang w:val="sr-Cyrl-RS" w:eastAsia="en-GB"/>
              </w:rPr>
            </w:pPr>
          </w:p>
        </w:tc>
        <w:tc>
          <w:tcPr>
            <w:tcW w:w="2351" w:type="pct"/>
          </w:tcPr>
          <w:p w14:paraId="51D6D017" w14:textId="6653FE09" w:rsidR="004E4C6C" w:rsidRPr="00226F9D" w:rsidRDefault="004E4C6C" w:rsidP="004A52B6">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2.1:</w:t>
            </w:r>
            <w:r w:rsidRPr="00226F9D">
              <w:rPr>
                <w:rFonts w:ascii="Times New Roman" w:eastAsia="Times New Roman" w:hAnsi="Times New Roman" w:cs="Times New Roman"/>
                <w:sz w:val="20"/>
                <w:szCs w:val="20"/>
                <w:lang w:val="sr-Cyrl-RS" w:eastAsia="en-GB"/>
              </w:rPr>
              <w:t xml:space="preserve"> </w:t>
            </w:r>
            <w:r w:rsidR="00B71158" w:rsidRPr="00226F9D">
              <w:rPr>
                <w:rFonts w:ascii="Times New Roman" w:eastAsia="Times New Roman" w:hAnsi="Times New Roman" w:cs="Times New Roman"/>
                <w:sz w:val="20"/>
                <w:szCs w:val="20"/>
                <w:lang w:val="sr-Cyrl-RS" w:eastAsia="en-GB"/>
              </w:rPr>
              <w:t>Унапређење фискалне одрживости ЛС и повећање фискалне аутономије ЛС</w:t>
            </w:r>
          </w:p>
        </w:tc>
      </w:tr>
      <w:tr w:rsidR="00B1462F" w:rsidRPr="00226F9D" w14:paraId="1A3D6260" w14:textId="77777777" w:rsidTr="005476BF">
        <w:trPr>
          <w:jc w:val="center"/>
        </w:trPr>
        <w:tc>
          <w:tcPr>
            <w:tcW w:w="2502" w:type="pct"/>
          </w:tcPr>
          <w:p w14:paraId="64C638BB" w14:textId="7FED412D" w:rsidR="00B1462F" w:rsidRPr="00226F9D" w:rsidRDefault="00B1462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2.2</w:t>
            </w:r>
            <w:r w:rsidRPr="00226F9D">
              <w:rPr>
                <w:rFonts w:ascii="Times New Roman" w:eastAsia="Times New Roman" w:hAnsi="Times New Roman" w:cs="Times New Roman"/>
                <w:sz w:val="20"/>
                <w:szCs w:val="20"/>
                <w:lang w:val="sr-Cyrl-RS" w:eastAsia="en-GB"/>
              </w:rPr>
              <w:t>: Подршка ЈЛС за унапређење процеса планирања буџета</w:t>
            </w:r>
          </w:p>
        </w:tc>
        <w:tc>
          <w:tcPr>
            <w:tcW w:w="147" w:type="pct"/>
            <w:vMerge/>
            <w:tcBorders>
              <w:bottom w:val="nil"/>
            </w:tcBorders>
          </w:tcPr>
          <w:p w14:paraId="237B4782" w14:textId="77777777" w:rsidR="00B1462F" w:rsidRPr="00226F9D" w:rsidRDefault="00B1462F" w:rsidP="00C026E7">
            <w:pPr>
              <w:jc w:val="both"/>
              <w:rPr>
                <w:rFonts w:ascii="Times New Roman" w:eastAsia="Times New Roman" w:hAnsi="Times New Roman" w:cs="Times New Roman"/>
                <w:sz w:val="20"/>
                <w:szCs w:val="20"/>
                <w:lang w:val="sr-Cyrl-RS" w:eastAsia="en-GB"/>
              </w:rPr>
            </w:pPr>
          </w:p>
        </w:tc>
        <w:tc>
          <w:tcPr>
            <w:tcW w:w="2351" w:type="pct"/>
            <w:vMerge w:val="restart"/>
          </w:tcPr>
          <w:p w14:paraId="4B731D71" w14:textId="70F65C5C" w:rsidR="00B1462F" w:rsidRPr="00226F9D" w:rsidRDefault="00B1462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2.2:</w:t>
            </w:r>
            <w:r w:rsidRPr="00226F9D">
              <w:rPr>
                <w:rFonts w:ascii="Times New Roman" w:eastAsia="Times New Roman" w:hAnsi="Times New Roman" w:cs="Times New Roman"/>
                <w:sz w:val="20"/>
                <w:szCs w:val="20"/>
                <w:lang w:val="sr-Cyrl-RS" w:eastAsia="en-GB"/>
              </w:rPr>
              <w:t xml:space="preserve"> Подршка ЈЛС за унапређење процеса планирања и транспарентности буџета</w:t>
            </w:r>
          </w:p>
        </w:tc>
      </w:tr>
      <w:tr w:rsidR="00B1462F" w:rsidRPr="00226F9D" w14:paraId="751DB47F" w14:textId="77777777" w:rsidTr="005476BF">
        <w:trPr>
          <w:jc w:val="center"/>
        </w:trPr>
        <w:tc>
          <w:tcPr>
            <w:tcW w:w="2502" w:type="pct"/>
          </w:tcPr>
          <w:p w14:paraId="3FF3CD0C" w14:textId="19C24742" w:rsidR="00B1462F" w:rsidRPr="00226F9D" w:rsidRDefault="00B1462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2.3</w:t>
            </w:r>
            <w:r w:rsidRPr="00226F9D">
              <w:rPr>
                <w:rFonts w:ascii="Times New Roman" w:eastAsia="Times New Roman" w:hAnsi="Times New Roman" w:cs="Times New Roman"/>
                <w:sz w:val="20"/>
                <w:szCs w:val="20"/>
                <w:lang w:val="sr-Cyrl-RS" w:eastAsia="en-GB"/>
              </w:rPr>
              <w:t>: Унапређење транспарентности система локалних финансија</w:t>
            </w:r>
          </w:p>
        </w:tc>
        <w:tc>
          <w:tcPr>
            <w:tcW w:w="147" w:type="pct"/>
            <w:vMerge/>
            <w:tcBorders>
              <w:bottom w:val="nil"/>
            </w:tcBorders>
          </w:tcPr>
          <w:p w14:paraId="070E2CD7" w14:textId="77777777" w:rsidR="00B1462F" w:rsidRPr="00226F9D" w:rsidRDefault="00B1462F" w:rsidP="00C026E7">
            <w:pPr>
              <w:jc w:val="both"/>
              <w:rPr>
                <w:rFonts w:ascii="Times New Roman" w:eastAsia="Times New Roman" w:hAnsi="Times New Roman" w:cs="Times New Roman"/>
                <w:sz w:val="20"/>
                <w:szCs w:val="20"/>
                <w:lang w:val="sr-Cyrl-RS" w:eastAsia="en-GB"/>
              </w:rPr>
            </w:pPr>
          </w:p>
        </w:tc>
        <w:tc>
          <w:tcPr>
            <w:tcW w:w="2351" w:type="pct"/>
            <w:vMerge/>
          </w:tcPr>
          <w:p w14:paraId="790FFB04" w14:textId="3F8B0438" w:rsidR="00B1462F" w:rsidRPr="00226F9D" w:rsidRDefault="00B1462F" w:rsidP="00C026E7">
            <w:pPr>
              <w:jc w:val="both"/>
              <w:rPr>
                <w:rFonts w:ascii="Times New Roman" w:eastAsia="Times New Roman" w:hAnsi="Times New Roman" w:cs="Times New Roman"/>
                <w:sz w:val="20"/>
                <w:szCs w:val="20"/>
                <w:lang w:val="sr-Cyrl-RS" w:eastAsia="en-GB"/>
              </w:rPr>
            </w:pPr>
          </w:p>
        </w:tc>
      </w:tr>
      <w:tr w:rsidR="00B1462F" w:rsidRPr="00226F9D" w14:paraId="603D73E4" w14:textId="77777777" w:rsidTr="005476BF">
        <w:trPr>
          <w:jc w:val="center"/>
        </w:trPr>
        <w:tc>
          <w:tcPr>
            <w:tcW w:w="2502" w:type="pct"/>
          </w:tcPr>
          <w:p w14:paraId="0FA269A5" w14:textId="69522704" w:rsidR="00B1462F" w:rsidRPr="00226F9D" w:rsidRDefault="00B1462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2.4</w:t>
            </w:r>
            <w:r w:rsidRPr="00226F9D">
              <w:rPr>
                <w:rFonts w:ascii="Times New Roman" w:eastAsia="Times New Roman" w:hAnsi="Times New Roman" w:cs="Times New Roman"/>
                <w:sz w:val="20"/>
                <w:szCs w:val="20"/>
                <w:lang w:val="sr-Cyrl-RS" w:eastAsia="en-GB"/>
              </w:rPr>
              <w:t>: Интензиван развој система интерне финансијске контроле у јавном сектору (ИФКЈ) на локалном нивоу</w:t>
            </w:r>
          </w:p>
        </w:tc>
        <w:tc>
          <w:tcPr>
            <w:tcW w:w="147" w:type="pct"/>
            <w:vMerge/>
            <w:tcBorders>
              <w:bottom w:val="nil"/>
            </w:tcBorders>
          </w:tcPr>
          <w:p w14:paraId="64BB9C02" w14:textId="77777777" w:rsidR="00B1462F" w:rsidRPr="00226F9D" w:rsidRDefault="00B1462F" w:rsidP="00C026E7">
            <w:pPr>
              <w:jc w:val="both"/>
              <w:rPr>
                <w:rFonts w:ascii="Times New Roman" w:eastAsia="Times New Roman" w:hAnsi="Times New Roman" w:cs="Times New Roman"/>
                <w:sz w:val="20"/>
                <w:szCs w:val="20"/>
                <w:lang w:val="sr-Cyrl-RS" w:eastAsia="en-GB"/>
              </w:rPr>
            </w:pPr>
          </w:p>
        </w:tc>
        <w:tc>
          <w:tcPr>
            <w:tcW w:w="2351" w:type="pct"/>
            <w:vMerge/>
          </w:tcPr>
          <w:p w14:paraId="0C5CD3FE" w14:textId="77777777" w:rsidR="00B1462F" w:rsidRPr="00226F9D" w:rsidRDefault="00B1462F" w:rsidP="00C026E7">
            <w:pPr>
              <w:jc w:val="both"/>
              <w:rPr>
                <w:rFonts w:ascii="Times New Roman" w:eastAsia="Times New Roman" w:hAnsi="Times New Roman" w:cs="Times New Roman"/>
                <w:sz w:val="20"/>
                <w:szCs w:val="20"/>
                <w:lang w:val="sr-Cyrl-RS" w:eastAsia="en-GB"/>
              </w:rPr>
            </w:pPr>
          </w:p>
        </w:tc>
      </w:tr>
    </w:tbl>
    <w:p w14:paraId="39CED3E3" w14:textId="77777777" w:rsidR="009848D6" w:rsidRPr="00226F9D" w:rsidRDefault="009848D6" w:rsidP="00CC4CC3">
      <w:pPr>
        <w:spacing w:after="0" w:line="240" w:lineRule="auto"/>
        <w:jc w:val="both"/>
        <w:rPr>
          <w:rFonts w:ascii="Times New Roman" w:eastAsia="Times New Roman" w:hAnsi="Times New Roman" w:cs="Times New Roman"/>
          <w:kern w:val="0"/>
          <w:lang w:val="sr-Cyrl-RS" w:eastAsia="de-CH"/>
          <w14:ligatures w14:val="none"/>
        </w:rPr>
      </w:pPr>
    </w:p>
    <w:p w14:paraId="4433B96A" w14:textId="4524BF25" w:rsidR="00336446" w:rsidRPr="00226F9D" w:rsidRDefault="00107A63" w:rsidP="00107A63">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Поставка мера новог Програма</w:t>
      </w:r>
      <w:r w:rsidR="00270333" w:rsidRPr="00226F9D">
        <w:rPr>
          <w:rFonts w:ascii="Times New Roman" w:eastAsia="Times New Roman" w:hAnsi="Times New Roman" w:cs="Times New Roman"/>
          <w:kern w:val="0"/>
          <w:lang w:val="sr-Cyrl-RS" w:eastAsia="de-CH"/>
          <w14:ligatures w14:val="none"/>
        </w:rPr>
        <w:t xml:space="preserve"> за П</w:t>
      </w:r>
      <w:r w:rsidR="00184AE9" w:rsidRPr="00226F9D">
        <w:rPr>
          <w:rFonts w:ascii="Times New Roman" w:eastAsia="Times New Roman" w:hAnsi="Times New Roman" w:cs="Times New Roman"/>
          <w:kern w:val="0"/>
          <w:lang w:val="sr-Cyrl-RS" w:eastAsia="de-CH"/>
          <w14:ligatures w14:val="none"/>
        </w:rPr>
        <w:t xml:space="preserve">рограмски циљ </w:t>
      </w:r>
      <w:r w:rsidR="00270333" w:rsidRPr="00226F9D">
        <w:rPr>
          <w:rFonts w:ascii="Times New Roman" w:eastAsia="Times New Roman" w:hAnsi="Times New Roman" w:cs="Times New Roman"/>
          <w:kern w:val="0"/>
          <w:lang w:val="sr-Cyrl-RS" w:eastAsia="de-CH"/>
          <w14:ligatures w14:val="none"/>
        </w:rPr>
        <w:t>2</w:t>
      </w:r>
      <w:r w:rsidRPr="00226F9D">
        <w:rPr>
          <w:rFonts w:ascii="Times New Roman" w:eastAsia="Times New Roman" w:hAnsi="Times New Roman" w:cs="Times New Roman"/>
          <w:kern w:val="0"/>
          <w:lang w:val="sr-Cyrl-RS" w:eastAsia="de-CH"/>
          <w14:ligatures w14:val="none"/>
        </w:rPr>
        <w:t xml:space="preserve"> уважава чињеницу да у претходном програмском периоду није </w:t>
      </w:r>
      <w:r w:rsidR="004F6B75" w:rsidRPr="00226F9D">
        <w:rPr>
          <w:rFonts w:ascii="Times New Roman" w:eastAsia="Times New Roman" w:hAnsi="Times New Roman" w:cs="Times New Roman"/>
          <w:kern w:val="0"/>
          <w:lang w:val="sr-Cyrl-RS" w:eastAsia="de-CH"/>
          <w14:ligatures w14:val="none"/>
        </w:rPr>
        <w:t xml:space="preserve">реформисан системски правни оквир за </w:t>
      </w:r>
      <w:r w:rsidR="0037109B" w:rsidRPr="00226F9D">
        <w:rPr>
          <w:rFonts w:ascii="Times New Roman" w:eastAsia="Times New Roman" w:hAnsi="Times New Roman" w:cs="Times New Roman"/>
          <w:kern w:val="0"/>
          <w:lang w:val="sr-Cyrl-RS" w:eastAsia="de-CH"/>
          <w14:ligatures w14:val="none"/>
        </w:rPr>
        <w:t>финансирање ЛС</w:t>
      </w:r>
      <w:r w:rsidR="009250CB" w:rsidRPr="00226F9D">
        <w:rPr>
          <w:rFonts w:ascii="Times New Roman" w:eastAsia="Times New Roman" w:hAnsi="Times New Roman" w:cs="Times New Roman"/>
          <w:kern w:val="0"/>
          <w:lang w:val="sr-Cyrl-RS" w:eastAsia="de-CH"/>
          <w14:ligatures w14:val="none"/>
        </w:rPr>
        <w:t>. У складу са тим</w:t>
      </w:r>
      <w:r w:rsidR="0037109B"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kern w:val="0"/>
          <w:lang w:val="sr-Cyrl-RS" w:eastAsia="de-CH"/>
          <w14:ligatures w14:val="none"/>
        </w:rPr>
        <w:t xml:space="preserve"> наставља </w:t>
      </w:r>
      <w:r w:rsidR="009250CB" w:rsidRPr="00226F9D">
        <w:rPr>
          <w:rFonts w:ascii="Times New Roman" w:eastAsia="Times New Roman" w:hAnsi="Times New Roman" w:cs="Times New Roman"/>
          <w:kern w:val="0"/>
          <w:lang w:val="sr-Cyrl-RS" w:eastAsia="de-CH"/>
          <w14:ligatures w14:val="none"/>
        </w:rPr>
        <w:t xml:space="preserve">се </w:t>
      </w:r>
      <w:r w:rsidR="004D501C" w:rsidRPr="00226F9D">
        <w:rPr>
          <w:rFonts w:ascii="Times New Roman" w:eastAsia="Times New Roman" w:hAnsi="Times New Roman" w:cs="Times New Roman"/>
          <w:kern w:val="0"/>
          <w:lang w:val="sr-Cyrl-RS" w:eastAsia="de-CH"/>
          <w14:ligatures w14:val="none"/>
        </w:rPr>
        <w:t xml:space="preserve">са планом да се спроведу </w:t>
      </w:r>
      <w:r w:rsidR="002A1AB9" w:rsidRPr="00226F9D">
        <w:rPr>
          <w:rFonts w:ascii="Times New Roman" w:eastAsia="Times New Roman" w:hAnsi="Times New Roman" w:cs="Times New Roman"/>
          <w:kern w:val="0"/>
          <w:lang w:val="sr-Cyrl-RS" w:eastAsia="de-CH"/>
          <w14:ligatures w14:val="none"/>
        </w:rPr>
        <w:t>измен</w:t>
      </w:r>
      <w:r w:rsidR="004D501C" w:rsidRPr="00226F9D">
        <w:rPr>
          <w:rFonts w:ascii="Times New Roman" w:eastAsia="Times New Roman" w:hAnsi="Times New Roman" w:cs="Times New Roman"/>
          <w:kern w:val="0"/>
          <w:lang w:val="sr-Cyrl-RS" w:eastAsia="de-CH"/>
          <w14:ligatures w14:val="none"/>
        </w:rPr>
        <w:t>е системског оквира и</w:t>
      </w:r>
      <w:r w:rsidR="002A1AB9"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kern w:val="0"/>
          <w:lang w:val="sr-Cyrl-RS" w:eastAsia="de-CH"/>
          <w14:ligatures w14:val="none"/>
        </w:rPr>
        <w:t>појачава наг</w:t>
      </w:r>
      <w:r w:rsidR="00245AE0" w:rsidRPr="00226F9D">
        <w:rPr>
          <w:rFonts w:ascii="Times New Roman" w:eastAsia="Times New Roman" w:hAnsi="Times New Roman" w:cs="Times New Roman"/>
          <w:kern w:val="0"/>
          <w:lang w:val="sr-Cyrl-RS" w:eastAsia="de-CH"/>
          <w14:ligatures w14:val="none"/>
        </w:rPr>
        <w:t>л</w:t>
      </w:r>
      <w:r w:rsidRPr="00226F9D">
        <w:rPr>
          <w:rFonts w:ascii="Times New Roman" w:eastAsia="Times New Roman" w:hAnsi="Times New Roman" w:cs="Times New Roman"/>
          <w:kern w:val="0"/>
          <w:lang w:val="sr-Cyrl-RS" w:eastAsia="de-CH"/>
          <w14:ligatures w14:val="none"/>
        </w:rPr>
        <w:t>асак на аналитичкој подлози</w:t>
      </w:r>
      <w:r w:rsidR="001C3F97" w:rsidRPr="00226F9D">
        <w:rPr>
          <w:rFonts w:ascii="Times New Roman" w:eastAsia="Times New Roman" w:hAnsi="Times New Roman" w:cs="Times New Roman"/>
          <w:kern w:val="0"/>
          <w:lang w:val="sr-Cyrl-RS" w:eastAsia="de-CH"/>
          <w14:ligatures w14:val="none"/>
        </w:rPr>
        <w:t xml:space="preserve"> која укључује и разматрање </w:t>
      </w:r>
      <w:r w:rsidR="00D12F7A" w:rsidRPr="00226F9D">
        <w:rPr>
          <w:rFonts w:ascii="Times New Roman" w:eastAsia="Times New Roman" w:hAnsi="Times New Roman" w:cs="Times New Roman"/>
          <w:kern w:val="0"/>
          <w:lang w:val="sr-Cyrl-RS" w:eastAsia="de-CH"/>
          <w14:ligatures w14:val="none"/>
        </w:rPr>
        <w:t xml:space="preserve">приступа из упоредне праксе </w:t>
      </w:r>
      <w:r w:rsidR="001C3F97" w:rsidRPr="00226F9D">
        <w:rPr>
          <w:rFonts w:ascii="Times New Roman" w:eastAsia="Times New Roman" w:hAnsi="Times New Roman" w:cs="Times New Roman"/>
          <w:kern w:val="0"/>
          <w:lang w:val="sr-Cyrl-RS" w:eastAsia="de-CH"/>
          <w14:ligatures w14:val="none"/>
        </w:rPr>
        <w:t xml:space="preserve">за финансијско уједначавање прихода </w:t>
      </w:r>
      <w:r w:rsidR="001E3168" w:rsidRPr="00226F9D">
        <w:rPr>
          <w:rFonts w:ascii="Times New Roman" w:eastAsia="Times New Roman" w:hAnsi="Times New Roman" w:cs="Times New Roman"/>
          <w:kern w:val="0"/>
          <w:lang w:val="sr-Cyrl-RS" w:eastAsia="de-CH"/>
          <w14:ligatures w14:val="none"/>
        </w:rPr>
        <w:t>ЛС</w:t>
      </w:r>
      <w:r w:rsidR="003D4017" w:rsidRPr="00226F9D">
        <w:rPr>
          <w:rFonts w:ascii="Times New Roman" w:eastAsia="Times New Roman" w:hAnsi="Times New Roman" w:cs="Times New Roman"/>
          <w:kern w:val="0"/>
          <w:lang w:val="sr-Cyrl-RS" w:eastAsia="de-CH"/>
          <w14:ligatures w14:val="none"/>
        </w:rPr>
        <w:t xml:space="preserve"> и праћење новог показатеља </w:t>
      </w:r>
      <w:r w:rsidR="00D03EAF" w:rsidRPr="00226F9D">
        <w:rPr>
          <w:rFonts w:ascii="Times New Roman" w:eastAsia="Times New Roman" w:hAnsi="Times New Roman" w:cs="Times New Roman"/>
          <w:kern w:val="0"/>
          <w:lang w:val="sr-Cyrl-RS" w:eastAsia="de-CH"/>
          <w14:ligatures w14:val="none"/>
        </w:rPr>
        <w:t>х</w:t>
      </w:r>
      <w:r w:rsidR="003D4017" w:rsidRPr="00226F9D">
        <w:rPr>
          <w:rFonts w:ascii="Times New Roman" w:eastAsia="Times New Roman" w:hAnsi="Times New Roman" w:cs="Times New Roman"/>
          <w:kern w:val="0"/>
          <w:lang w:val="sr-Cyrl-RS" w:eastAsia="de-CH"/>
          <w14:ligatures w14:val="none"/>
        </w:rPr>
        <w:t>оризонталн</w:t>
      </w:r>
      <w:r w:rsidR="00D03EAF" w:rsidRPr="00226F9D">
        <w:rPr>
          <w:rFonts w:ascii="Times New Roman" w:eastAsia="Times New Roman" w:hAnsi="Times New Roman" w:cs="Times New Roman"/>
          <w:kern w:val="0"/>
          <w:lang w:val="sr-Cyrl-RS" w:eastAsia="de-CH"/>
          <w14:ligatures w14:val="none"/>
        </w:rPr>
        <w:t>ог</w:t>
      </w:r>
      <w:r w:rsidR="003D4017" w:rsidRPr="00226F9D">
        <w:rPr>
          <w:rFonts w:ascii="Times New Roman" w:eastAsia="Times New Roman" w:hAnsi="Times New Roman" w:cs="Times New Roman"/>
          <w:kern w:val="0"/>
          <w:lang w:val="sr-Cyrl-RS" w:eastAsia="de-CH"/>
          <w14:ligatures w14:val="none"/>
        </w:rPr>
        <w:t xml:space="preserve"> баланс</w:t>
      </w:r>
      <w:r w:rsidR="00D03EAF" w:rsidRPr="00226F9D">
        <w:rPr>
          <w:rFonts w:ascii="Times New Roman" w:eastAsia="Times New Roman" w:hAnsi="Times New Roman" w:cs="Times New Roman"/>
          <w:kern w:val="0"/>
          <w:lang w:val="sr-Cyrl-RS" w:eastAsia="de-CH"/>
          <w14:ligatures w14:val="none"/>
        </w:rPr>
        <w:t>а</w:t>
      </w:r>
      <w:r w:rsidR="003D4017" w:rsidRPr="00226F9D">
        <w:rPr>
          <w:rFonts w:ascii="Times New Roman" w:eastAsia="Times New Roman" w:hAnsi="Times New Roman" w:cs="Times New Roman"/>
          <w:kern w:val="0"/>
          <w:lang w:val="sr-Cyrl-RS" w:eastAsia="de-CH"/>
          <w14:ligatures w14:val="none"/>
        </w:rPr>
        <w:t xml:space="preserve"> финансија ЈЛС</w:t>
      </w:r>
      <w:r w:rsidR="00D03EAF" w:rsidRPr="00226F9D">
        <w:rPr>
          <w:rFonts w:ascii="Times New Roman" w:eastAsia="Times New Roman" w:hAnsi="Times New Roman" w:cs="Times New Roman"/>
          <w:kern w:val="0"/>
          <w:lang w:val="sr-Cyrl-RS" w:eastAsia="de-CH"/>
          <w14:ligatures w14:val="none"/>
        </w:rPr>
        <w:t xml:space="preserve">. Такође на линији </w:t>
      </w:r>
      <w:r w:rsidR="008E48C8" w:rsidRPr="00226F9D">
        <w:rPr>
          <w:rFonts w:ascii="Times New Roman" w:eastAsia="Times New Roman" w:hAnsi="Times New Roman" w:cs="Times New Roman"/>
          <w:kern w:val="0"/>
          <w:lang w:val="sr-Cyrl-RS" w:eastAsia="de-CH"/>
          <w14:ligatures w14:val="none"/>
        </w:rPr>
        <w:t xml:space="preserve">налаза и </w:t>
      </w:r>
      <w:r w:rsidR="00D03EAF" w:rsidRPr="00226F9D">
        <w:rPr>
          <w:rFonts w:ascii="Times New Roman" w:eastAsia="Times New Roman" w:hAnsi="Times New Roman" w:cs="Times New Roman"/>
          <w:kern w:val="0"/>
          <w:lang w:val="sr-Cyrl-RS" w:eastAsia="de-CH"/>
          <w14:ligatures w14:val="none"/>
        </w:rPr>
        <w:t xml:space="preserve">препорука </w:t>
      </w:r>
      <w:r w:rsidR="00517C12" w:rsidRPr="00226F9D">
        <w:rPr>
          <w:rFonts w:ascii="Times New Roman" w:eastAsia="Times New Roman" w:hAnsi="Times New Roman" w:cs="Times New Roman"/>
          <w:kern w:val="0"/>
          <w:lang w:val="sr-Cyrl-RS" w:eastAsia="de-CH"/>
          <w14:ligatures w14:val="none"/>
        </w:rPr>
        <w:t>ЕК/</w:t>
      </w:r>
      <w:r w:rsidR="00D03EAF" w:rsidRPr="00226F9D">
        <w:rPr>
          <w:rFonts w:ascii="Times New Roman" w:eastAsia="Times New Roman" w:hAnsi="Times New Roman" w:cs="Times New Roman"/>
          <w:kern w:val="0"/>
          <w:lang w:val="sr-Cyrl-RS" w:eastAsia="de-CH"/>
          <w14:ligatures w14:val="none"/>
        </w:rPr>
        <w:t>СИГМА</w:t>
      </w:r>
      <w:r w:rsidR="00E04F9F" w:rsidRPr="00226F9D">
        <w:rPr>
          <w:rFonts w:ascii="Times New Roman" w:eastAsia="Times New Roman" w:hAnsi="Times New Roman" w:cs="Times New Roman"/>
          <w:kern w:val="0"/>
          <w:lang w:val="sr-Cyrl-RS" w:eastAsia="de-CH"/>
          <w14:ligatures w14:val="none"/>
        </w:rPr>
        <w:t xml:space="preserve">, потврђује се значај улоге и активирања </w:t>
      </w:r>
      <w:r w:rsidR="00F86FF3" w:rsidRPr="00226F9D">
        <w:rPr>
          <w:rFonts w:ascii="Times New Roman" w:eastAsia="Times New Roman" w:hAnsi="Times New Roman" w:cs="Times New Roman"/>
          <w:kern w:val="0"/>
          <w:lang w:val="sr-Cyrl-RS" w:eastAsia="de-CH"/>
          <w14:ligatures w14:val="none"/>
        </w:rPr>
        <w:t>Комисије за финансирање ЛС</w:t>
      </w:r>
      <w:r w:rsidR="00627F2C" w:rsidRPr="00226F9D">
        <w:rPr>
          <w:rFonts w:ascii="Times New Roman" w:eastAsia="Times New Roman" w:hAnsi="Times New Roman" w:cs="Times New Roman"/>
          <w:kern w:val="0"/>
          <w:lang w:val="sr-Cyrl-RS" w:eastAsia="de-CH"/>
          <w14:ligatures w14:val="none"/>
        </w:rPr>
        <w:t xml:space="preserve">, а због тесне везе </w:t>
      </w:r>
      <w:r w:rsidR="00204D1B" w:rsidRPr="00226F9D">
        <w:rPr>
          <w:rFonts w:ascii="Times New Roman" w:eastAsia="Times New Roman" w:hAnsi="Times New Roman" w:cs="Times New Roman"/>
          <w:kern w:val="0"/>
          <w:lang w:val="sr-Cyrl-RS" w:eastAsia="de-CH"/>
          <w14:ligatures w14:val="none"/>
        </w:rPr>
        <w:t xml:space="preserve">категоризације ЛС по развијености </w:t>
      </w:r>
      <w:r w:rsidR="00627F2C" w:rsidRPr="00226F9D">
        <w:rPr>
          <w:rFonts w:ascii="Times New Roman" w:eastAsia="Times New Roman" w:hAnsi="Times New Roman" w:cs="Times New Roman"/>
          <w:kern w:val="0"/>
          <w:lang w:val="sr-Cyrl-RS" w:eastAsia="de-CH"/>
          <w14:ligatures w14:val="none"/>
        </w:rPr>
        <w:t>са системом трансфера</w:t>
      </w:r>
      <w:r w:rsidR="00336446" w:rsidRPr="00226F9D">
        <w:rPr>
          <w:rFonts w:ascii="Times New Roman" w:eastAsia="Times New Roman" w:hAnsi="Times New Roman" w:cs="Times New Roman"/>
          <w:kern w:val="0"/>
          <w:lang w:val="sr-Cyrl-RS" w:eastAsia="de-CH"/>
          <w14:ligatures w14:val="none"/>
        </w:rPr>
        <w:t xml:space="preserve"> </w:t>
      </w:r>
      <w:r w:rsidR="00204D1B" w:rsidRPr="00226F9D">
        <w:rPr>
          <w:rFonts w:ascii="Times New Roman" w:eastAsia="Times New Roman" w:hAnsi="Times New Roman" w:cs="Times New Roman"/>
          <w:kern w:val="0"/>
          <w:lang w:val="sr-Cyrl-RS" w:eastAsia="de-CH"/>
          <w14:ligatures w14:val="none"/>
        </w:rPr>
        <w:t xml:space="preserve">- </w:t>
      </w:r>
      <w:r w:rsidR="00336446" w:rsidRPr="00226F9D">
        <w:rPr>
          <w:rFonts w:ascii="Times New Roman" w:eastAsia="Times New Roman" w:hAnsi="Times New Roman" w:cs="Times New Roman"/>
          <w:kern w:val="0"/>
          <w:lang w:val="sr-Cyrl-RS" w:eastAsia="de-CH"/>
          <w14:ligatures w14:val="none"/>
        </w:rPr>
        <w:t xml:space="preserve">предвиђене су и комплементарне активности </w:t>
      </w:r>
      <w:r w:rsidR="00892A80" w:rsidRPr="00226F9D">
        <w:rPr>
          <w:rFonts w:ascii="Times New Roman" w:eastAsia="Times New Roman" w:hAnsi="Times New Roman" w:cs="Times New Roman"/>
          <w:kern w:val="0"/>
          <w:lang w:val="sr-Cyrl-RS" w:eastAsia="de-CH"/>
          <w14:ligatures w14:val="none"/>
        </w:rPr>
        <w:t xml:space="preserve">за </w:t>
      </w:r>
      <w:r w:rsidR="00E308B6" w:rsidRPr="00226F9D">
        <w:rPr>
          <w:rFonts w:ascii="Times New Roman" w:eastAsia="Times New Roman" w:hAnsi="Times New Roman" w:cs="Times New Roman"/>
          <w:kern w:val="0"/>
          <w:lang w:val="sr-Cyrl-RS" w:eastAsia="de-CH"/>
          <w14:ligatures w14:val="none"/>
        </w:rPr>
        <w:t>унапређење и тестирање о</w:t>
      </w:r>
      <w:r w:rsidR="008E48C8" w:rsidRPr="00226F9D">
        <w:rPr>
          <w:rFonts w:ascii="Times New Roman" w:eastAsia="Times New Roman" w:hAnsi="Times New Roman" w:cs="Times New Roman"/>
          <w:kern w:val="0"/>
          <w:lang w:val="sr-Cyrl-RS" w:eastAsia="de-CH"/>
          <w14:ligatures w14:val="none"/>
        </w:rPr>
        <w:t>д</w:t>
      </w:r>
      <w:r w:rsidR="00E308B6" w:rsidRPr="00226F9D">
        <w:rPr>
          <w:rFonts w:ascii="Times New Roman" w:eastAsia="Times New Roman" w:hAnsi="Times New Roman" w:cs="Times New Roman"/>
          <w:kern w:val="0"/>
          <w:lang w:val="sr-Cyrl-RS" w:eastAsia="de-CH"/>
          <w14:ligatures w14:val="none"/>
        </w:rPr>
        <w:t>носне методологије</w:t>
      </w:r>
      <w:r w:rsidR="00C344FA" w:rsidRPr="00226F9D">
        <w:rPr>
          <w:rFonts w:ascii="Times New Roman" w:eastAsia="Times New Roman" w:hAnsi="Times New Roman" w:cs="Times New Roman"/>
          <w:kern w:val="0"/>
          <w:lang w:val="sr-Cyrl-RS" w:eastAsia="de-CH"/>
          <w14:ligatures w14:val="none"/>
        </w:rPr>
        <w:t xml:space="preserve"> (</w:t>
      </w:r>
      <w:r w:rsidR="00E76FA4" w:rsidRPr="00226F9D">
        <w:rPr>
          <w:rFonts w:ascii="Times New Roman" w:eastAsia="Times New Roman" w:hAnsi="Times New Roman" w:cs="Times New Roman"/>
          <w:kern w:val="0"/>
          <w:lang w:val="sr-Cyrl-RS" w:eastAsia="de-CH"/>
          <w14:ligatures w14:val="none"/>
        </w:rPr>
        <w:t>формирана свеобухватна мера 2.1)</w:t>
      </w:r>
      <w:r w:rsidR="00CD05E5" w:rsidRPr="00226F9D">
        <w:rPr>
          <w:rFonts w:ascii="Times New Roman" w:eastAsia="Times New Roman" w:hAnsi="Times New Roman" w:cs="Times New Roman"/>
          <w:kern w:val="0"/>
          <w:lang w:val="sr-Cyrl-RS" w:eastAsia="de-CH"/>
          <w14:ligatures w14:val="none"/>
        </w:rPr>
        <w:t>.</w:t>
      </w:r>
      <w:r w:rsidR="00E76FA4" w:rsidRPr="00226F9D">
        <w:rPr>
          <w:rFonts w:ascii="Times New Roman" w:eastAsia="Times New Roman" w:hAnsi="Times New Roman" w:cs="Times New Roman"/>
          <w:kern w:val="0"/>
          <w:lang w:val="sr-Cyrl-RS" w:eastAsia="de-CH"/>
          <w14:ligatures w14:val="none"/>
        </w:rPr>
        <w:t xml:space="preserve"> </w:t>
      </w:r>
      <w:r w:rsidR="00CD05E5" w:rsidRPr="00226F9D">
        <w:rPr>
          <w:rFonts w:ascii="Times New Roman" w:eastAsia="Times New Roman" w:hAnsi="Times New Roman" w:cs="Times New Roman"/>
          <w:kern w:val="0"/>
          <w:lang w:val="sr-Cyrl-RS" w:eastAsia="de-CH"/>
          <w14:ligatures w14:val="none"/>
        </w:rPr>
        <w:t>Н</w:t>
      </w:r>
      <w:r w:rsidR="00191E70" w:rsidRPr="00226F9D">
        <w:rPr>
          <w:rFonts w:ascii="Times New Roman" w:eastAsia="Times New Roman" w:hAnsi="Times New Roman" w:cs="Times New Roman"/>
          <w:kern w:val="0"/>
          <w:lang w:val="sr-Cyrl-RS" w:eastAsia="de-CH"/>
          <w14:ligatures w14:val="none"/>
        </w:rPr>
        <w:t xml:space="preserve">еопходна </w:t>
      </w:r>
      <w:r w:rsidR="0053409D" w:rsidRPr="00226F9D">
        <w:rPr>
          <w:rFonts w:ascii="Times New Roman" w:eastAsia="Times New Roman" w:hAnsi="Times New Roman" w:cs="Times New Roman"/>
          <w:kern w:val="0"/>
          <w:lang w:val="sr-Cyrl-RS" w:eastAsia="de-CH"/>
          <w14:ligatures w14:val="none"/>
        </w:rPr>
        <w:t>у</w:t>
      </w:r>
      <w:r w:rsidR="000926A0" w:rsidRPr="00226F9D">
        <w:rPr>
          <w:rFonts w:ascii="Times New Roman" w:eastAsia="Times New Roman" w:hAnsi="Times New Roman" w:cs="Times New Roman"/>
          <w:kern w:val="0"/>
          <w:lang w:val="sr-Cyrl-RS" w:eastAsia="de-CH"/>
          <w14:ligatures w14:val="none"/>
        </w:rPr>
        <w:t>напређењ</w:t>
      </w:r>
      <w:r w:rsidR="00753B9F" w:rsidRPr="00226F9D">
        <w:rPr>
          <w:rFonts w:ascii="Times New Roman" w:eastAsia="Times New Roman" w:hAnsi="Times New Roman" w:cs="Times New Roman"/>
          <w:kern w:val="0"/>
          <w:lang w:val="sr-Cyrl-RS" w:eastAsia="de-CH"/>
          <w14:ligatures w14:val="none"/>
        </w:rPr>
        <w:t>а</w:t>
      </w:r>
      <w:r w:rsidR="000926A0" w:rsidRPr="00226F9D">
        <w:rPr>
          <w:rFonts w:ascii="Times New Roman" w:eastAsia="Times New Roman" w:hAnsi="Times New Roman" w:cs="Times New Roman"/>
          <w:kern w:val="0"/>
          <w:lang w:val="sr-Cyrl-RS" w:eastAsia="de-CH"/>
          <w14:ligatures w14:val="none"/>
        </w:rPr>
        <w:t xml:space="preserve"> процеса буџет</w:t>
      </w:r>
      <w:r w:rsidR="00753B9F" w:rsidRPr="00226F9D">
        <w:rPr>
          <w:rFonts w:ascii="Times New Roman" w:eastAsia="Times New Roman" w:hAnsi="Times New Roman" w:cs="Times New Roman"/>
          <w:kern w:val="0"/>
          <w:lang w:val="sr-Cyrl-RS" w:eastAsia="de-CH"/>
          <w14:ligatures w14:val="none"/>
        </w:rPr>
        <w:t xml:space="preserve">ирања и средњорочног планирања </w:t>
      </w:r>
      <w:r w:rsidR="009F7A73" w:rsidRPr="00226F9D">
        <w:rPr>
          <w:rFonts w:ascii="Times New Roman" w:eastAsia="Times New Roman" w:hAnsi="Times New Roman" w:cs="Times New Roman"/>
          <w:kern w:val="0"/>
          <w:lang w:val="sr-Cyrl-RS" w:eastAsia="de-CH"/>
          <w14:ligatures w14:val="none"/>
        </w:rPr>
        <w:t xml:space="preserve">адресирају се кроз предвиђену изградњу капацитета ЛС и </w:t>
      </w:r>
      <w:r w:rsidR="006B5EB6" w:rsidRPr="00226F9D">
        <w:rPr>
          <w:rFonts w:ascii="Times New Roman" w:eastAsia="Times New Roman" w:hAnsi="Times New Roman" w:cs="Times New Roman"/>
          <w:kern w:val="0"/>
          <w:lang w:val="sr-Cyrl-RS" w:eastAsia="de-CH"/>
          <w14:ligatures w14:val="none"/>
        </w:rPr>
        <w:t>уз</w:t>
      </w:r>
      <w:r w:rsidR="007B13C2" w:rsidRPr="00226F9D">
        <w:rPr>
          <w:rFonts w:ascii="Times New Roman" w:eastAsia="Times New Roman" w:hAnsi="Times New Roman" w:cs="Times New Roman"/>
          <w:kern w:val="0"/>
          <w:lang w:val="sr-Cyrl-RS" w:eastAsia="de-CH"/>
          <w14:ligatures w14:val="none"/>
        </w:rPr>
        <w:t xml:space="preserve"> </w:t>
      </w:r>
      <w:r w:rsidR="00EA6149" w:rsidRPr="00226F9D">
        <w:rPr>
          <w:rFonts w:ascii="Times New Roman" w:eastAsia="Times New Roman" w:hAnsi="Times New Roman" w:cs="Times New Roman"/>
          <w:kern w:val="0"/>
          <w:lang w:val="sr-Cyrl-RS" w:eastAsia="de-CH"/>
          <w14:ligatures w14:val="none"/>
        </w:rPr>
        <w:t xml:space="preserve">појачани фокус на </w:t>
      </w:r>
      <w:r w:rsidR="00822CCF" w:rsidRPr="00226F9D">
        <w:rPr>
          <w:rFonts w:ascii="Times New Roman" w:eastAsia="Times New Roman" w:hAnsi="Times New Roman" w:cs="Times New Roman"/>
          <w:kern w:val="0"/>
          <w:lang w:val="sr-Cyrl-RS" w:eastAsia="de-CH"/>
          <w14:ligatures w14:val="none"/>
        </w:rPr>
        <w:t xml:space="preserve">усклађивању са смерницама </w:t>
      </w:r>
      <w:r w:rsidR="00A06EC2" w:rsidRPr="00226F9D">
        <w:rPr>
          <w:rFonts w:ascii="Times New Roman" w:eastAsia="Times New Roman" w:hAnsi="Times New Roman" w:cs="Times New Roman"/>
          <w:kern w:val="0"/>
          <w:lang w:val="sr-Cyrl-RS" w:eastAsia="de-CH"/>
          <w14:ligatures w14:val="none"/>
        </w:rPr>
        <w:t>за припрему буџета</w:t>
      </w:r>
      <w:r w:rsidR="003D2213" w:rsidRPr="00226F9D">
        <w:rPr>
          <w:rFonts w:ascii="Times New Roman" w:eastAsia="Times New Roman" w:hAnsi="Times New Roman" w:cs="Times New Roman"/>
          <w:kern w:val="0"/>
          <w:lang w:val="sr-Cyrl-RS" w:eastAsia="de-CH"/>
          <w14:ligatures w14:val="none"/>
        </w:rPr>
        <w:t xml:space="preserve">, а примена начела </w:t>
      </w:r>
      <w:r w:rsidR="00FD529D" w:rsidRPr="00226F9D">
        <w:rPr>
          <w:rFonts w:ascii="Times New Roman" w:eastAsia="Times New Roman" w:hAnsi="Times New Roman" w:cs="Times New Roman"/>
          <w:kern w:val="0"/>
          <w:lang w:val="sr-Cyrl-RS" w:eastAsia="de-CH"/>
          <w14:ligatures w14:val="none"/>
        </w:rPr>
        <w:t xml:space="preserve">доброг управљања локалним финансијама </w:t>
      </w:r>
      <w:r w:rsidR="00C25F3D" w:rsidRPr="00226F9D">
        <w:rPr>
          <w:rFonts w:ascii="Times New Roman" w:eastAsia="Times New Roman" w:hAnsi="Times New Roman" w:cs="Times New Roman"/>
          <w:kern w:val="0"/>
          <w:lang w:val="sr-Cyrl-RS" w:eastAsia="de-CH"/>
          <w14:ligatures w14:val="none"/>
        </w:rPr>
        <w:t xml:space="preserve">биће подржана </w:t>
      </w:r>
      <w:r w:rsidR="007717A7" w:rsidRPr="00226F9D">
        <w:rPr>
          <w:rFonts w:ascii="Times New Roman" w:eastAsia="Times New Roman" w:hAnsi="Times New Roman" w:cs="Times New Roman"/>
          <w:kern w:val="0"/>
          <w:lang w:val="sr-Cyrl-RS" w:eastAsia="de-CH"/>
          <w14:ligatures w14:val="none"/>
        </w:rPr>
        <w:t>и са цен</w:t>
      </w:r>
      <w:r w:rsidR="007B549B" w:rsidRPr="00226F9D">
        <w:rPr>
          <w:rFonts w:ascii="Times New Roman" w:eastAsia="Times New Roman" w:hAnsi="Times New Roman" w:cs="Times New Roman"/>
          <w:kern w:val="0"/>
          <w:lang w:val="sr-Cyrl-RS" w:eastAsia="de-CH"/>
          <w14:ligatures w14:val="none"/>
        </w:rPr>
        <w:t>т</w:t>
      </w:r>
      <w:r w:rsidR="007717A7" w:rsidRPr="00226F9D">
        <w:rPr>
          <w:rFonts w:ascii="Times New Roman" w:eastAsia="Times New Roman" w:hAnsi="Times New Roman" w:cs="Times New Roman"/>
          <w:kern w:val="0"/>
          <w:lang w:val="sr-Cyrl-RS" w:eastAsia="de-CH"/>
          <w14:ligatures w14:val="none"/>
        </w:rPr>
        <w:t xml:space="preserve">ралног </w:t>
      </w:r>
      <w:r w:rsidR="007717A7" w:rsidRPr="00226F9D">
        <w:rPr>
          <w:rFonts w:ascii="Times New Roman" w:eastAsia="Times New Roman" w:hAnsi="Times New Roman" w:cs="Times New Roman"/>
          <w:kern w:val="0"/>
          <w:lang w:val="sr-Cyrl-RS" w:eastAsia="de-CH"/>
          <w14:ligatures w14:val="none"/>
        </w:rPr>
        <w:lastRenderedPageBreak/>
        <w:t xml:space="preserve">нивоа </w:t>
      </w:r>
      <w:r w:rsidR="00F06ABA" w:rsidRPr="00226F9D">
        <w:rPr>
          <w:rFonts w:ascii="Times New Roman" w:eastAsia="Times New Roman" w:hAnsi="Times New Roman" w:cs="Times New Roman"/>
          <w:kern w:val="0"/>
          <w:lang w:val="sr-Cyrl-RS" w:eastAsia="de-CH"/>
          <w14:ligatures w14:val="none"/>
        </w:rPr>
        <w:t>формирањем јавног</w:t>
      </w:r>
      <w:r w:rsidR="009F7A73" w:rsidRPr="00226F9D">
        <w:rPr>
          <w:rFonts w:ascii="Times New Roman" w:eastAsia="Times New Roman" w:hAnsi="Times New Roman" w:cs="Times New Roman"/>
          <w:kern w:val="0"/>
          <w:lang w:val="sr-Cyrl-RS" w:eastAsia="de-CH"/>
          <w14:ligatures w14:val="none"/>
        </w:rPr>
        <w:t xml:space="preserve"> </w:t>
      </w:r>
      <w:r w:rsidR="00F06ABA" w:rsidRPr="00226F9D">
        <w:rPr>
          <w:rFonts w:ascii="Times New Roman" w:eastAsia="Times New Roman" w:hAnsi="Times New Roman" w:cs="Times New Roman"/>
          <w:kern w:val="0"/>
          <w:lang w:val="sr-Cyrl-RS" w:eastAsia="de-CH"/>
          <w14:ligatures w14:val="none"/>
        </w:rPr>
        <w:t>електронског портала за приказивање и праћење стања локалних буџета</w:t>
      </w:r>
      <w:r w:rsidR="000926A0" w:rsidRPr="00226F9D">
        <w:rPr>
          <w:rFonts w:ascii="Times New Roman" w:eastAsia="Times New Roman" w:hAnsi="Times New Roman" w:cs="Times New Roman"/>
          <w:kern w:val="0"/>
          <w:lang w:val="sr-Cyrl-RS" w:eastAsia="de-CH"/>
          <w14:ligatures w14:val="none"/>
        </w:rPr>
        <w:t xml:space="preserve"> </w:t>
      </w:r>
      <w:r w:rsidR="00522CE0" w:rsidRPr="00226F9D">
        <w:rPr>
          <w:rFonts w:ascii="Times New Roman" w:eastAsia="Times New Roman" w:hAnsi="Times New Roman" w:cs="Times New Roman"/>
          <w:kern w:val="0"/>
          <w:lang w:val="sr-Cyrl-RS" w:eastAsia="de-CH"/>
          <w14:ligatures w14:val="none"/>
        </w:rPr>
        <w:t>(консолидација активности у обухвату мере 2.2.</w:t>
      </w:r>
      <w:r w:rsidR="00517C12" w:rsidRPr="00226F9D">
        <w:rPr>
          <w:rFonts w:ascii="Times New Roman" w:eastAsia="Times New Roman" w:hAnsi="Times New Roman" w:cs="Times New Roman"/>
          <w:kern w:val="0"/>
          <w:lang w:val="sr-Cyrl-RS" w:eastAsia="de-CH"/>
          <w14:ligatures w14:val="none"/>
        </w:rPr>
        <w:t>).</w:t>
      </w:r>
      <w:r w:rsidR="00A87378" w:rsidRPr="00226F9D">
        <w:rPr>
          <w:rFonts w:ascii="Times New Roman" w:eastAsia="Times New Roman" w:hAnsi="Times New Roman" w:cs="Times New Roman"/>
          <w:kern w:val="0"/>
          <w:lang w:val="sr-Cyrl-RS" w:eastAsia="de-CH"/>
          <w14:ligatures w14:val="none"/>
        </w:rPr>
        <w:t xml:space="preserve"> Солидни помаци претход</w:t>
      </w:r>
      <w:r w:rsidR="003C3D45" w:rsidRPr="00226F9D">
        <w:rPr>
          <w:rFonts w:ascii="Times New Roman" w:eastAsia="Times New Roman" w:hAnsi="Times New Roman" w:cs="Times New Roman"/>
          <w:kern w:val="0"/>
          <w:lang w:val="sr-Cyrl-RS" w:eastAsia="de-CH"/>
          <w14:ligatures w14:val="none"/>
        </w:rPr>
        <w:t>н</w:t>
      </w:r>
      <w:r w:rsidR="00A87378" w:rsidRPr="00226F9D">
        <w:rPr>
          <w:rFonts w:ascii="Times New Roman" w:eastAsia="Times New Roman" w:hAnsi="Times New Roman" w:cs="Times New Roman"/>
          <w:kern w:val="0"/>
          <w:lang w:val="sr-Cyrl-RS" w:eastAsia="de-CH"/>
          <w14:ligatures w14:val="none"/>
        </w:rPr>
        <w:t xml:space="preserve">о остварени </w:t>
      </w:r>
      <w:r w:rsidR="00005968" w:rsidRPr="00226F9D">
        <w:rPr>
          <w:rFonts w:ascii="Times New Roman" w:eastAsia="Times New Roman" w:hAnsi="Times New Roman" w:cs="Times New Roman"/>
          <w:kern w:val="0"/>
          <w:lang w:val="sr-Cyrl-RS" w:eastAsia="de-CH"/>
          <w14:ligatures w14:val="none"/>
        </w:rPr>
        <w:t>у домену ИФКЈ на локалном нивоу</w:t>
      </w:r>
      <w:r w:rsidR="00CA1490" w:rsidRPr="00226F9D">
        <w:rPr>
          <w:rFonts w:ascii="Times New Roman" w:eastAsia="Times New Roman" w:hAnsi="Times New Roman" w:cs="Times New Roman"/>
          <w:kern w:val="0"/>
          <w:lang w:val="sr-Cyrl-RS" w:eastAsia="de-CH"/>
          <w14:ligatures w14:val="none"/>
        </w:rPr>
        <w:t xml:space="preserve"> су констатовани</w:t>
      </w:r>
      <w:r w:rsidR="00632498" w:rsidRPr="00226F9D">
        <w:rPr>
          <w:rFonts w:ascii="Times New Roman" w:eastAsia="Times New Roman" w:hAnsi="Times New Roman" w:cs="Times New Roman"/>
          <w:kern w:val="0"/>
          <w:lang w:val="sr-Cyrl-RS" w:eastAsia="de-CH"/>
          <w14:ligatures w14:val="none"/>
        </w:rPr>
        <w:t xml:space="preserve">, </w:t>
      </w:r>
      <w:r w:rsidR="00A9304A" w:rsidRPr="00226F9D">
        <w:rPr>
          <w:rFonts w:ascii="Times New Roman" w:eastAsia="Times New Roman" w:hAnsi="Times New Roman" w:cs="Times New Roman"/>
          <w:kern w:val="0"/>
          <w:lang w:val="sr-Cyrl-RS" w:eastAsia="de-CH"/>
          <w14:ligatures w14:val="none"/>
        </w:rPr>
        <w:t xml:space="preserve">али су даље реформске активности </w:t>
      </w:r>
      <w:r w:rsidR="00747360" w:rsidRPr="00226F9D">
        <w:rPr>
          <w:rFonts w:ascii="Times New Roman" w:eastAsia="Times New Roman" w:hAnsi="Times New Roman" w:cs="Times New Roman"/>
          <w:kern w:val="0"/>
          <w:lang w:val="sr-Cyrl-RS" w:eastAsia="de-CH"/>
          <w14:ligatures w14:val="none"/>
        </w:rPr>
        <w:t xml:space="preserve">придружене као комплементарне централном нивоу у обухвату </w:t>
      </w:r>
      <w:r w:rsidR="003D5037" w:rsidRPr="00226F9D">
        <w:rPr>
          <w:rFonts w:ascii="Times New Roman" w:eastAsia="Times New Roman" w:hAnsi="Times New Roman" w:cs="Times New Roman"/>
          <w:kern w:val="0"/>
          <w:lang w:val="sr-Cyrl-RS" w:eastAsia="de-CH"/>
          <w14:ligatures w14:val="none"/>
        </w:rPr>
        <w:t>новог Програма за реформу система управљања јавним финансијама</w:t>
      </w:r>
      <w:r w:rsidR="00435890" w:rsidRPr="00226F9D">
        <w:rPr>
          <w:rFonts w:ascii="Times New Roman" w:eastAsia="Times New Roman" w:hAnsi="Times New Roman" w:cs="Times New Roman"/>
          <w:kern w:val="0"/>
          <w:lang w:val="sr-Cyrl-RS" w:eastAsia="de-CH"/>
          <w14:ligatures w14:val="none"/>
        </w:rPr>
        <w:t xml:space="preserve"> (и </w:t>
      </w:r>
      <w:r w:rsidR="003560DB" w:rsidRPr="00226F9D">
        <w:rPr>
          <w:rFonts w:ascii="Times New Roman" w:eastAsia="Times New Roman" w:hAnsi="Times New Roman" w:cs="Times New Roman"/>
          <w:kern w:val="0"/>
          <w:lang w:val="sr-Cyrl-RS" w:eastAsia="de-CH"/>
          <w14:ligatures w14:val="none"/>
        </w:rPr>
        <w:t>у аспекту управљачке одговорности – део су новог АП уз СРЈУ)</w:t>
      </w:r>
      <w:r w:rsidR="00DF0992" w:rsidRPr="00226F9D">
        <w:rPr>
          <w:rFonts w:ascii="Times New Roman" w:eastAsia="Times New Roman" w:hAnsi="Times New Roman" w:cs="Times New Roman"/>
          <w:kern w:val="0"/>
          <w:lang w:val="sr-Cyrl-RS" w:eastAsia="de-CH"/>
          <w14:ligatures w14:val="none"/>
        </w:rPr>
        <w:t xml:space="preserve">. </w:t>
      </w:r>
    </w:p>
    <w:p w14:paraId="702CAE2A" w14:textId="391E9784" w:rsidR="00107A63" w:rsidRPr="00226F9D" w:rsidRDefault="00107A63" w:rsidP="00107A63">
      <w:pPr>
        <w:spacing w:after="0" w:line="240" w:lineRule="auto"/>
        <w:jc w:val="both"/>
        <w:rPr>
          <w:rFonts w:ascii="Times New Roman" w:eastAsia="Times New Roman" w:hAnsi="Times New Roman" w:cs="Times New Roman"/>
          <w:kern w:val="0"/>
          <w:highlight w:val="yellow"/>
          <w:lang w:val="sr-Cyrl-RS" w:eastAsia="de-CH"/>
          <w14:ligatures w14:val="none"/>
        </w:rPr>
      </w:pPr>
    </w:p>
    <w:p w14:paraId="7D2279AA" w14:textId="7C50F0A2" w:rsidR="00107A63" w:rsidRPr="00226F9D" w:rsidRDefault="00107A63" w:rsidP="00107A63">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За ефективну реализацију мера и остваривање Посебног циља </w:t>
      </w:r>
      <w:r w:rsidR="006C6388" w:rsidRPr="00226F9D">
        <w:rPr>
          <w:rFonts w:ascii="Times New Roman" w:eastAsia="Times New Roman" w:hAnsi="Times New Roman" w:cs="Times New Roman"/>
          <w:kern w:val="0"/>
          <w:lang w:val="sr-Cyrl-RS" w:eastAsia="de-CH"/>
          <w14:ligatures w14:val="none"/>
        </w:rPr>
        <w:t>2</w:t>
      </w:r>
      <w:r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b/>
          <w:bCs/>
          <w:i/>
          <w:iCs/>
          <w:kern w:val="0"/>
          <w:lang w:val="sr-Cyrl-RS" w:eastAsia="de-CH"/>
          <w14:ligatures w14:val="none"/>
        </w:rPr>
        <w:t>кључни ризик</w:t>
      </w:r>
      <w:r w:rsidRPr="00226F9D">
        <w:rPr>
          <w:rFonts w:ascii="Times New Roman" w:eastAsia="Times New Roman" w:hAnsi="Times New Roman" w:cs="Times New Roman"/>
          <w:kern w:val="0"/>
          <w:lang w:val="sr-Cyrl-RS" w:eastAsia="de-CH"/>
          <w14:ligatures w14:val="none"/>
        </w:rPr>
        <w:t xml:space="preserve"> који се у значајној мери испољио у претходном програмском периоду и стога треба да буде праћен и адекватно адресиран у оквиру ПРСЛС 2026-2030 је како следи:</w:t>
      </w:r>
    </w:p>
    <w:p w14:paraId="2EA26B11" w14:textId="77777777" w:rsidR="00107A63" w:rsidRPr="00226F9D" w:rsidRDefault="00107A63" w:rsidP="00107A63">
      <w:pPr>
        <w:spacing w:after="0" w:line="240" w:lineRule="auto"/>
        <w:jc w:val="both"/>
        <w:rPr>
          <w:rFonts w:ascii="Times New Roman" w:eastAsia="Calibri" w:hAnsi="Times New Roman" w:cs="Times New Roman"/>
          <w:color w:val="EE0000"/>
          <w:highlight w:val="yellow"/>
          <w:lang w:val="sr-Cyrl-RS"/>
        </w:rPr>
      </w:pPr>
      <w:r w:rsidRPr="00226F9D">
        <w:rPr>
          <w:rFonts w:ascii="Times New Roman" w:eastAsia="Calibri" w:hAnsi="Times New Roman" w:cs="Times New Roman"/>
          <w:color w:val="EE0000"/>
          <w:highlight w:val="yellow"/>
          <w:lang w:val="sr-Cyrl-RS"/>
        </w:rPr>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A0" w:firstRow="1" w:lastRow="0" w:firstColumn="1" w:lastColumn="0" w:noHBand="1" w:noVBand="1"/>
      </w:tblPr>
      <w:tblGrid>
        <w:gridCol w:w="4518"/>
        <w:gridCol w:w="5104"/>
      </w:tblGrid>
      <w:tr w:rsidR="00107A63" w:rsidRPr="00226F9D" w14:paraId="6591B5C0" w14:textId="77777777" w:rsidTr="005476BF">
        <w:tc>
          <w:tcPr>
            <w:tcW w:w="2348" w:type="pct"/>
            <w:shd w:val="clear" w:color="auto" w:fill="FFFFFF" w:themeFill="background1"/>
          </w:tcPr>
          <w:p w14:paraId="27F22BD7" w14:textId="19A98C6C" w:rsidR="00107A63" w:rsidRPr="00226F9D" w:rsidRDefault="00EA12E3" w:rsidP="00C026E7">
            <w:pPr>
              <w:spacing w:after="0" w:line="240" w:lineRule="auto"/>
              <w:jc w:val="center"/>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О</w:t>
            </w:r>
            <w:r w:rsidR="00107A63" w:rsidRPr="00226F9D">
              <w:rPr>
                <w:rFonts w:ascii="Times New Roman" w:eastAsia="Times New Roman" w:hAnsi="Times New Roman" w:cs="Times New Roman"/>
                <w:b/>
                <w:bCs/>
                <w:kern w:val="0"/>
                <w:sz w:val="20"/>
                <w:szCs w:val="20"/>
                <w:lang w:val="sr-Cyrl-RS"/>
                <w14:ligatures w14:val="none"/>
              </w:rPr>
              <w:t>пис ризика</w:t>
            </w:r>
          </w:p>
        </w:tc>
        <w:tc>
          <w:tcPr>
            <w:tcW w:w="2652" w:type="pct"/>
            <w:shd w:val="clear" w:color="auto" w:fill="FFFFFF" w:themeFill="background1"/>
          </w:tcPr>
          <w:p w14:paraId="1088A795" w14:textId="07CF19B6" w:rsidR="00107A63" w:rsidRPr="00226F9D" w:rsidRDefault="00EA12E3" w:rsidP="00C026E7">
            <w:pPr>
              <w:spacing w:after="0" w:line="240" w:lineRule="auto"/>
              <w:jc w:val="center"/>
              <w:rPr>
                <w:rFonts w:ascii="Times New Roman" w:eastAsia="Calibri"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У</w:t>
            </w:r>
            <w:r w:rsidR="00107A63" w:rsidRPr="00226F9D">
              <w:rPr>
                <w:rFonts w:ascii="Times New Roman" w:eastAsia="Times New Roman" w:hAnsi="Times New Roman" w:cs="Times New Roman"/>
                <w:b/>
                <w:bCs/>
                <w:kern w:val="0"/>
                <w:sz w:val="20"/>
                <w:szCs w:val="20"/>
                <w:lang w:val="sr-Cyrl-RS"/>
                <w14:ligatures w14:val="none"/>
              </w:rPr>
              <w:t>блажавање ризика</w:t>
            </w:r>
          </w:p>
        </w:tc>
      </w:tr>
      <w:tr w:rsidR="00107A63" w:rsidRPr="00226F9D" w14:paraId="6A66D1BD" w14:textId="77777777" w:rsidTr="005476BF">
        <w:tc>
          <w:tcPr>
            <w:tcW w:w="2348" w:type="pct"/>
          </w:tcPr>
          <w:p w14:paraId="064896FC" w14:textId="17FEFCE6" w:rsidR="00107A63" w:rsidRPr="00226F9D" w:rsidRDefault="00285B23" w:rsidP="00C026E7">
            <w:pPr>
              <w:spacing w:after="0" w:line="240" w:lineRule="auto"/>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 xml:space="preserve">Стагнирање </w:t>
            </w:r>
            <w:r w:rsidR="003D6783" w:rsidRPr="00226F9D">
              <w:rPr>
                <w:rFonts w:ascii="Times New Roman" w:eastAsia="Times New Roman" w:hAnsi="Times New Roman" w:cs="Times New Roman"/>
                <w:kern w:val="0"/>
                <w:sz w:val="20"/>
                <w:szCs w:val="20"/>
                <w:lang w:val="sr-Cyrl-RS"/>
                <w14:ligatures w14:val="none"/>
              </w:rPr>
              <w:t>износа укупног</w:t>
            </w:r>
            <w:r w:rsidRPr="00226F9D">
              <w:rPr>
                <w:rFonts w:ascii="Times New Roman" w:eastAsia="Times New Roman" w:hAnsi="Times New Roman" w:cs="Times New Roman"/>
                <w:kern w:val="0"/>
                <w:sz w:val="20"/>
                <w:szCs w:val="20"/>
                <w:lang w:val="sr-Cyrl-RS"/>
                <w14:ligatures w14:val="none"/>
              </w:rPr>
              <w:t xml:space="preserve"> </w:t>
            </w:r>
            <w:r w:rsidR="00262AA9" w:rsidRPr="00226F9D">
              <w:rPr>
                <w:rFonts w:ascii="Times New Roman" w:eastAsia="Times New Roman" w:hAnsi="Times New Roman" w:cs="Times New Roman"/>
                <w:kern w:val="0"/>
                <w:sz w:val="20"/>
                <w:szCs w:val="20"/>
                <w:lang w:val="sr-Cyrl-RS"/>
                <w14:ligatures w14:val="none"/>
              </w:rPr>
              <w:t>ненаменск</w:t>
            </w:r>
            <w:r w:rsidR="00682CE5" w:rsidRPr="00226F9D">
              <w:rPr>
                <w:rFonts w:ascii="Times New Roman" w:eastAsia="Times New Roman" w:hAnsi="Times New Roman" w:cs="Times New Roman"/>
                <w:kern w:val="0"/>
                <w:sz w:val="20"/>
                <w:szCs w:val="20"/>
                <w:lang w:val="sr-Cyrl-RS"/>
                <w14:ligatures w14:val="none"/>
              </w:rPr>
              <w:t>ог</w:t>
            </w:r>
            <w:r w:rsidR="00262AA9" w:rsidRPr="00226F9D">
              <w:rPr>
                <w:rFonts w:ascii="Times New Roman" w:eastAsia="Times New Roman" w:hAnsi="Times New Roman" w:cs="Times New Roman"/>
                <w:kern w:val="0"/>
                <w:sz w:val="20"/>
                <w:szCs w:val="20"/>
                <w:lang w:val="sr-Cyrl-RS"/>
                <w14:ligatures w14:val="none"/>
              </w:rPr>
              <w:t xml:space="preserve"> трансфера </w:t>
            </w:r>
            <w:r w:rsidR="00682CE5" w:rsidRPr="00226F9D">
              <w:rPr>
                <w:rFonts w:ascii="Times New Roman" w:eastAsia="Times New Roman" w:hAnsi="Times New Roman" w:cs="Times New Roman"/>
                <w:kern w:val="0"/>
                <w:sz w:val="20"/>
                <w:szCs w:val="20"/>
                <w:lang w:val="sr-Cyrl-RS"/>
                <w14:ligatures w14:val="none"/>
              </w:rPr>
              <w:t xml:space="preserve">и </w:t>
            </w:r>
            <w:r w:rsidR="00737475" w:rsidRPr="00226F9D">
              <w:rPr>
                <w:rFonts w:ascii="Times New Roman" w:eastAsia="Times New Roman" w:hAnsi="Times New Roman" w:cs="Times New Roman"/>
                <w:kern w:val="0"/>
                <w:sz w:val="20"/>
                <w:szCs w:val="20"/>
                <w:lang w:val="sr-Cyrl-RS"/>
                <w14:ligatures w14:val="none"/>
              </w:rPr>
              <w:t xml:space="preserve">слабљење финансијског </w:t>
            </w:r>
            <w:r w:rsidR="00CE5287" w:rsidRPr="00226F9D">
              <w:rPr>
                <w:rFonts w:ascii="Times New Roman" w:eastAsia="Times New Roman" w:hAnsi="Times New Roman" w:cs="Times New Roman"/>
                <w:kern w:val="0"/>
                <w:sz w:val="20"/>
                <w:szCs w:val="20"/>
                <w:lang w:val="sr-Cyrl-RS"/>
                <w14:ligatures w14:val="none"/>
              </w:rPr>
              <w:t>положаја најнеразвијенијих ЛС</w:t>
            </w:r>
            <w:r w:rsidR="00107A63" w:rsidRPr="00226F9D">
              <w:rPr>
                <w:rFonts w:ascii="Times New Roman" w:eastAsia="Times New Roman" w:hAnsi="Times New Roman" w:cs="Times New Roman"/>
                <w:kern w:val="0"/>
                <w:sz w:val="20"/>
                <w:szCs w:val="20"/>
                <w:lang w:val="sr-Cyrl-RS"/>
                <w14:ligatures w14:val="none"/>
              </w:rPr>
              <w:t xml:space="preserve"> </w:t>
            </w:r>
          </w:p>
        </w:tc>
        <w:tc>
          <w:tcPr>
            <w:tcW w:w="2652" w:type="pct"/>
          </w:tcPr>
          <w:p w14:paraId="29D4F925" w14:textId="49E53D4D" w:rsidR="00336C72" w:rsidRPr="00226F9D" w:rsidRDefault="00C43E4D" w:rsidP="00C026E7">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 xml:space="preserve">Консензус о нужности осигуравања правичније расподеле средстава и </w:t>
            </w:r>
            <w:r w:rsidR="004D30B7" w:rsidRPr="00226F9D">
              <w:rPr>
                <w:rFonts w:ascii="Times New Roman" w:eastAsia="Times New Roman" w:hAnsi="Times New Roman" w:cs="Times New Roman"/>
                <w:kern w:val="0"/>
                <w:sz w:val="20"/>
                <w:szCs w:val="20"/>
                <w:lang w:val="sr-Cyrl-RS" w:eastAsia="de-CH"/>
                <w14:ligatures w14:val="none"/>
              </w:rPr>
              <w:t xml:space="preserve">кретања </w:t>
            </w:r>
            <w:r w:rsidR="006C0A29" w:rsidRPr="00226F9D">
              <w:rPr>
                <w:rFonts w:ascii="Times New Roman" w:eastAsia="Times New Roman" w:hAnsi="Times New Roman" w:cs="Times New Roman"/>
                <w:kern w:val="0"/>
                <w:sz w:val="20"/>
                <w:szCs w:val="20"/>
                <w:lang w:val="sr-Cyrl-RS" w:eastAsia="de-CH"/>
                <w14:ligatures w14:val="none"/>
              </w:rPr>
              <w:t xml:space="preserve">ка </w:t>
            </w:r>
            <w:r w:rsidRPr="00226F9D">
              <w:rPr>
                <w:rFonts w:ascii="Times New Roman" w:eastAsia="Times New Roman" w:hAnsi="Times New Roman" w:cs="Times New Roman"/>
                <w:kern w:val="0"/>
                <w:sz w:val="20"/>
                <w:szCs w:val="20"/>
                <w:lang w:val="sr-Cyrl-RS" w:eastAsia="de-CH"/>
                <w14:ligatures w14:val="none"/>
              </w:rPr>
              <w:t>финансијск</w:t>
            </w:r>
            <w:r w:rsidR="006254A7" w:rsidRPr="00226F9D">
              <w:rPr>
                <w:rFonts w:ascii="Times New Roman" w:eastAsia="Times New Roman" w:hAnsi="Times New Roman" w:cs="Times New Roman"/>
                <w:kern w:val="0"/>
                <w:sz w:val="20"/>
                <w:szCs w:val="20"/>
                <w:lang w:val="sr-Cyrl-RS" w:eastAsia="de-CH"/>
                <w14:ligatures w14:val="none"/>
              </w:rPr>
              <w:t>о</w:t>
            </w:r>
            <w:r w:rsidR="006C0A29" w:rsidRPr="00226F9D">
              <w:rPr>
                <w:rFonts w:ascii="Times New Roman" w:eastAsia="Times New Roman" w:hAnsi="Times New Roman" w:cs="Times New Roman"/>
                <w:kern w:val="0"/>
                <w:sz w:val="20"/>
                <w:szCs w:val="20"/>
                <w:lang w:val="sr-Cyrl-RS" w:eastAsia="de-CH"/>
                <w14:ligatures w14:val="none"/>
              </w:rPr>
              <w:t>м</w:t>
            </w:r>
            <w:r w:rsidRPr="00226F9D">
              <w:rPr>
                <w:rFonts w:ascii="Times New Roman" w:eastAsia="Times New Roman" w:hAnsi="Times New Roman" w:cs="Times New Roman"/>
                <w:kern w:val="0"/>
                <w:sz w:val="20"/>
                <w:szCs w:val="20"/>
                <w:lang w:val="sr-Cyrl-RS" w:eastAsia="de-CH"/>
                <w14:ligatures w14:val="none"/>
              </w:rPr>
              <w:t xml:space="preserve"> уједначавањ</w:t>
            </w:r>
            <w:r w:rsidR="006C0A29" w:rsidRPr="00226F9D">
              <w:rPr>
                <w:rFonts w:ascii="Times New Roman" w:eastAsia="Times New Roman" w:hAnsi="Times New Roman" w:cs="Times New Roman"/>
                <w:kern w:val="0"/>
                <w:sz w:val="20"/>
                <w:szCs w:val="20"/>
                <w:lang w:val="sr-Cyrl-RS" w:eastAsia="de-CH"/>
                <w14:ligatures w14:val="none"/>
              </w:rPr>
              <w:t>у</w:t>
            </w:r>
            <w:r w:rsidRPr="00226F9D">
              <w:rPr>
                <w:rFonts w:ascii="Times New Roman" w:eastAsia="Times New Roman" w:hAnsi="Times New Roman" w:cs="Times New Roman"/>
                <w:kern w:val="0"/>
                <w:sz w:val="20"/>
                <w:szCs w:val="20"/>
                <w:lang w:val="sr-Cyrl-RS" w:eastAsia="de-CH"/>
                <w14:ligatures w14:val="none"/>
              </w:rPr>
              <w:t xml:space="preserve"> прихода ЛС</w:t>
            </w:r>
            <w:r w:rsidR="00C3211B" w:rsidRPr="00226F9D">
              <w:rPr>
                <w:rFonts w:ascii="Times New Roman" w:eastAsia="Times New Roman" w:hAnsi="Times New Roman" w:cs="Times New Roman"/>
                <w:kern w:val="0"/>
                <w:sz w:val="20"/>
                <w:szCs w:val="20"/>
                <w:lang w:val="sr-Cyrl-RS" w:eastAsia="de-CH"/>
                <w14:ligatures w14:val="none"/>
              </w:rPr>
              <w:t>,</w:t>
            </w:r>
            <w:r w:rsidRPr="00226F9D">
              <w:rPr>
                <w:rFonts w:ascii="Times New Roman" w:eastAsia="Times New Roman" w:hAnsi="Times New Roman" w:cs="Times New Roman"/>
                <w:kern w:val="0"/>
                <w:sz w:val="20"/>
                <w:szCs w:val="20"/>
                <w:lang w:val="sr-Cyrl-RS" w:eastAsia="de-CH"/>
                <w14:ligatures w14:val="none"/>
              </w:rPr>
              <w:t xml:space="preserve"> </w:t>
            </w:r>
            <w:r w:rsidR="006254A7" w:rsidRPr="00226F9D">
              <w:rPr>
                <w:rFonts w:ascii="Times New Roman" w:eastAsia="Times New Roman" w:hAnsi="Times New Roman" w:cs="Times New Roman"/>
                <w:kern w:val="0"/>
                <w:sz w:val="20"/>
                <w:szCs w:val="20"/>
                <w:lang w:val="sr-Cyrl-RS" w:eastAsia="de-CH"/>
                <w14:ligatures w14:val="none"/>
              </w:rPr>
              <w:t xml:space="preserve">уз </w:t>
            </w:r>
            <w:r w:rsidR="00AD592C" w:rsidRPr="00226F9D">
              <w:rPr>
                <w:rFonts w:ascii="Times New Roman" w:eastAsia="Times New Roman" w:hAnsi="Times New Roman" w:cs="Times New Roman"/>
                <w:kern w:val="0"/>
                <w:sz w:val="20"/>
                <w:szCs w:val="20"/>
                <w:lang w:val="sr-Cyrl-RS" w:eastAsia="de-CH"/>
                <w14:ligatures w14:val="none"/>
              </w:rPr>
              <w:t>п</w:t>
            </w:r>
            <w:r w:rsidR="00907C51" w:rsidRPr="00226F9D">
              <w:rPr>
                <w:rFonts w:ascii="Times New Roman" w:eastAsia="Times New Roman" w:hAnsi="Times New Roman" w:cs="Times New Roman"/>
                <w:kern w:val="0"/>
                <w:sz w:val="20"/>
                <w:szCs w:val="20"/>
                <w:lang w:val="sr-Cyrl-RS" w:eastAsia="de-CH"/>
                <w14:ligatures w14:val="none"/>
              </w:rPr>
              <w:t>освећеност</w:t>
            </w:r>
            <w:r w:rsidR="00AD592C" w:rsidRPr="00226F9D">
              <w:rPr>
                <w:rFonts w:ascii="Times New Roman" w:eastAsia="Times New Roman" w:hAnsi="Times New Roman" w:cs="Times New Roman"/>
                <w:kern w:val="0"/>
                <w:sz w:val="20"/>
                <w:szCs w:val="20"/>
                <w:lang w:val="sr-Cyrl-RS" w:eastAsia="de-CH"/>
                <w14:ligatures w14:val="none"/>
              </w:rPr>
              <w:t xml:space="preserve"> унапређењ</w:t>
            </w:r>
            <w:r w:rsidR="00907C51" w:rsidRPr="00226F9D">
              <w:rPr>
                <w:rFonts w:ascii="Times New Roman" w:eastAsia="Times New Roman" w:hAnsi="Times New Roman" w:cs="Times New Roman"/>
                <w:kern w:val="0"/>
                <w:sz w:val="20"/>
                <w:szCs w:val="20"/>
                <w:lang w:val="sr-Cyrl-RS" w:eastAsia="de-CH"/>
                <w14:ligatures w14:val="none"/>
              </w:rPr>
              <w:t xml:space="preserve">у методологије за </w:t>
            </w:r>
            <w:r w:rsidR="00287F33" w:rsidRPr="00226F9D">
              <w:rPr>
                <w:rFonts w:ascii="Times New Roman" w:eastAsia="Times New Roman" w:hAnsi="Times New Roman" w:cs="Times New Roman"/>
                <w:kern w:val="0"/>
                <w:sz w:val="20"/>
                <w:szCs w:val="20"/>
                <w:lang w:val="sr-Cyrl-RS" w:eastAsia="de-CH"/>
                <w14:ligatures w14:val="none"/>
              </w:rPr>
              <w:t>израчунавање степена развјености ЛС</w:t>
            </w:r>
            <w:r w:rsidR="00AD592C" w:rsidRPr="00226F9D">
              <w:rPr>
                <w:rFonts w:ascii="Times New Roman" w:eastAsia="Times New Roman" w:hAnsi="Times New Roman" w:cs="Times New Roman"/>
                <w:kern w:val="0"/>
                <w:sz w:val="20"/>
                <w:szCs w:val="20"/>
                <w:lang w:val="sr-Cyrl-RS" w:eastAsia="de-CH"/>
                <w14:ligatures w14:val="none"/>
              </w:rPr>
              <w:t xml:space="preserve"> </w:t>
            </w:r>
          </w:p>
        </w:tc>
      </w:tr>
    </w:tbl>
    <w:p w14:paraId="22296CC8" w14:textId="785B8BEA" w:rsidR="00F53843" w:rsidRPr="00226F9D" w:rsidRDefault="00107A63" w:rsidP="00090884">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Описима мера у наставку и пратећим Акционим планом, комплетирају се информације о роковима, носиоцима реализације, потребним ресурсима и очекиваним променама у фун</w:t>
      </w:r>
      <w:r w:rsidR="00733B6D">
        <w:rPr>
          <w:rFonts w:ascii="Times New Roman" w:eastAsia="Times New Roman" w:hAnsi="Times New Roman" w:cs="Times New Roman"/>
          <w:kern w:val="0"/>
          <w:lang w:val="sr-Cyrl-RS" w:eastAsia="de-CH"/>
          <w14:ligatures w14:val="none"/>
        </w:rPr>
        <w:t>к</w:t>
      </w:r>
      <w:r w:rsidRPr="00226F9D">
        <w:rPr>
          <w:rFonts w:ascii="Times New Roman" w:eastAsia="Times New Roman" w:hAnsi="Times New Roman" w:cs="Times New Roman"/>
          <w:kern w:val="0"/>
          <w:lang w:val="sr-Cyrl-RS" w:eastAsia="de-CH"/>
          <w14:ligatures w14:val="none"/>
        </w:rPr>
        <w:t xml:space="preserve">цији остваривања опредељене опције.     </w:t>
      </w:r>
    </w:p>
    <w:p w14:paraId="156F544D" w14:textId="7521C71C" w:rsidR="00CF32C3" w:rsidRPr="00226F9D" w:rsidRDefault="00CF32C3" w:rsidP="00DE4379">
      <w:pPr>
        <w:pStyle w:val="Heading4"/>
        <w:jc w:val="both"/>
        <w:rPr>
          <w:rFonts w:ascii="Times New Roman" w:hAnsi="Times New Roman" w:cs="Times New Roman"/>
          <w:lang w:val="sr-Cyrl-RS"/>
        </w:rPr>
      </w:pPr>
      <w:bookmarkStart w:id="29" w:name="_Toc77068876"/>
      <w:r w:rsidRPr="00226F9D">
        <w:rPr>
          <w:rFonts w:ascii="Times New Roman" w:hAnsi="Times New Roman" w:cs="Times New Roman"/>
          <w:lang w:val="sr-Cyrl-RS"/>
        </w:rPr>
        <w:t xml:space="preserve">Мера 2.1: </w:t>
      </w:r>
      <w:bookmarkEnd w:id="29"/>
      <w:r w:rsidRPr="00226F9D">
        <w:rPr>
          <w:rFonts w:ascii="Times New Roman" w:hAnsi="Times New Roman" w:cs="Times New Roman"/>
          <w:lang w:val="sr-Cyrl-RS"/>
        </w:rPr>
        <w:t>Унапређење фискалне одрживости ЛС и повећање фискалне аутономије</w:t>
      </w:r>
      <w:r w:rsidR="00DE4379" w:rsidRPr="00226F9D">
        <w:rPr>
          <w:rFonts w:ascii="Times New Roman" w:hAnsi="Times New Roman" w:cs="Times New Roman"/>
          <w:lang w:val="sr-Cyrl-RS"/>
        </w:rPr>
        <w:t xml:space="preserve"> </w:t>
      </w:r>
      <w:r w:rsidRPr="00226F9D">
        <w:rPr>
          <w:rFonts w:ascii="Times New Roman" w:hAnsi="Times New Roman" w:cs="Times New Roman"/>
          <w:lang w:val="sr-Cyrl-RS"/>
        </w:rPr>
        <w:t>ЛС</w:t>
      </w:r>
    </w:p>
    <w:p w14:paraId="6B01C245" w14:textId="39D02B71"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bookmarkStart w:id="30" w:name="_Hlk63273795"/>
      <w:r w:rsidRPr="00226F9D">
        <w:rPr>
          <w:rFonts w:ascii="Times New Roman" w:eastAsia="Times New Roman" w:hAnsi="Times New Roman" w:cs="Times New Roman"/>
          <w:kern w:val="0"/>
          <w:lang w:val="sr-Cyrl-RS"/>
          <w14:ligatures w14:val="none"/>
        </w:rPr>
        <w:t xml:space="preserve">У оквиру ове мере, предвиђа се предузимање неопходних корака за даље унапређење система финансирања локалне самоуправе и за подршку унапређењу капацитета ЈЛС за администрирање локалних изворних прихода. Правни оквир за систем финансирања није значајно мењан од 2011. године, а контекст се значајно променио. Стога постоји потреба да се продуби анализа  постојећег система финансирања локалне самоуправе (кроз сагледавање стања прихода и примања, али и расхода и издатака ЈЛС и других значајних параметара домаћег система), као и да се обраде компаративни примери система финансирања ЛС и изведу закључци о примени могућих унапређења за домаћи систем. Након тога, на основу закључака из ових анализа, треба приступити дефинисању могућег правца за унапређење система финансирања локалне самоуправе – кроз реформу системског правног оквира, </w:t>
      </w:r>
      <w:bookmarkEnd w:id="30"/>
      <w:r w:rsidRPr="00226F9D">
        <w:rPr>
          <w:rFonts w:ascii="Times New Roman" w:eastAsia="Times New Roman" w:hAnsi="Times New Roman" w:cs="Times New Roman"/>
          <w:kern w:val="0"/>
          <w:lang w:val="sr-Cyrl-RS"/>
          <w14:ligatures w14:val="none"/>
        </w:rPr>
        <w:t>тако да се обезбеди довољност прихода за обављање функција ЛС и стабилност неопходна за њихово предвидиво планирање. Реформа треба да води додатном унапређењу транспарентности система трансфера (како ненаменских тако и наменских) ка локалним буџетима и да на средњи рок успостави оквир за јачање прихода локалне самоуправе у Републици Србији, као и да охрабри ЈЛС да унапреде структуру локалних расхода кроз повећање учешћа капиталних издатака у својим буџетима. Стабилношћу локалних прихода, који не би смели бити предмет честих измена, и добрим планирањем и анализом ефеката расподеле и примене постојећих и, посебно, нових послова локалне самоуправе и јавних расхода и трошкова за њихово спровођење, треба обезбедити максималну могућу равнотежу локалних јавних финансија, како вертикалну (у односу на више нивое власти), тако и хоризонталну (између самих ЈЛС) која је посебно нарушена.</w:t>
      </w:r>
    </w:p>
    <w:p w14:paraId="7BC73C13" w14:textId="77777777" w:rsidR="00FA6E6E" w:rsidRPr="00226F9D" w:rsidRDefault="00FA6E6E" w:rsidP="00090884">
      <w:pPr>
        <w:spacing w:after="0" w:line="240" w:lineRule="auto"/>
        <w:jc w:val="both"/>
        <w:rPr>
          <w:rFonts w:ascii="Times New Roman" w:eastAsia="Times New Roman" w:hAnsi="Times New Roman" w:cs="Times New Roman"/>
          <w:kern w:val="0"/>
          <w:lang w:val="sr-Cyrl-RS"/>
          <w14:ligatures w14:val="none"/>
        </w:rPr>
      </w:pPr>
    </w:p>
    <w:p w14:paraId="3D86C907" w14:textId="0B454C08" w:rsidR="00CF32C3" w:rsidRPr="00226F9D" w:rsidRDefault="00CF32C3" w:rsidP="00090884">
      <w:pPr>
        <w:spacing w:after="0" w:line="240" w:lineRule="auto"/>
        <w:jc w:val="both"/>
        <w:rPr>
          <w:rFonts w:ascii="Times New Roman" w:eastAsia="Times New Roman" w:hAnsi="Times New Roman" w:cs="Times New Roman"/>
          <w:color w:val="000000" w:themeColor="text1"/>
          <w:kern w:val="0"/>
          <w:lang w:val="sr-Cyrl-RS"/>
          <w14:ligatures w14:val="none"/>
        </w:rPr>
      </w:pPr>
      <w:r w:rsidRPr="00226F9D">
        <w:rPr>
          <w:rFonts w:ascii="Times New Roman" w:eastAsia="Times New Roman" w:hAnsi="Times New Roman" w:cs="Times New Roman"/>
          <w:kern w:val="0"/>
          <w:lang w:val="sr-Cyrl-RS"/>
          <w14:ligatures w14:val="none"/>
        </w:rPr>
        <w:t xml:space="preserve">У процесу даље реформе система локалних финансија треба посебно сагледати положај и подстицаје односно мере за даљу подршку за оне општине које припадају групи неразвијених ЈЛС. Социо-економски и демографски изазови којима су оне изложене дуги низ година, траже посебан приступ и посебно профилисане мере финансијске подршке како би ове ЈЛС биле у могућности да покрену свој развој и подигну </w:t>
      </w:r>
      <w:r w:rsidRPr="00226F9D">
        <w:rPr>
          <w:rFonts w:ascii="Times New Roman" w:eastAsia="Times New Roman" w:hAnsi="Times New Roman" w:cs="Times New Roman"/>
          <w:color w:val="000000" w:themeColor="text1"/>
          <w:kern w:val="0"/>
          <w:lang w:val="sr-Cyrl-RS"/>
          <w14:ligatures w14:val="none"/>
        </w:rPr>
        <w:t>квалитет јавних услуга за грађане. На терену утврђивања и праћења нивоа развијености ЈЛС, нужно је у новом програмском периоду учинити кључни искорак ка форм</w:t>
      </w:r>
      <w:r w:rsidR="005C538D" w:rsidRPr="00226F9D">
        <w:rPr>
          <w:rFonts w:ascii="Times New Roman" w:eastAsia="Times New Roman" w:hAnsi="Times New Roman" w:cs="Times New Roman"/>
          <w:color w:val="000000" w:themeColor="text1"/>
          <w:kern w:val="0"/>
          <w:lang w:val="sr-Cyrl-RS"/>
          <w14:ligatures w14:val="none"/>
        </w:rPr>
        <w:t>улацији</w:t>
      </w:r>
      <w:r w:rsidRPr="00226F9D">
        <w:rPr>
          <w:rFonts w:ascii="Times New Roman" w:eastAsia="Times New Roman" w:hAnsi="Times New Roman" w:cs="Times New Roman"/>
          <w:color w:val="000000" w:themeColor="text1"/>
          <w:kern w:val="0"/>
          <w:lang w:val="sr-Cyrl-RS"/>
          <w14:ligatures w14:val="none"/>
        </w:rPr>
        <w:t xml:space="preserve"> нове методологије за израчунавање степена развијености и разврставању ЈЛС. Будући да се ради о захтевној ревизији и да се у претходном периоду радило на могућим моделима, предвиђен је свеобухватни приступ који укључује </w:t>
      </w:r>
      <w:r w:rsidRPr="00226F9D">
        <w:rPr>
          <w:rFonts w:ascii="Times New Roman" w:eastAsia="Times New Roman" w:hAnsi="Times New Roman" w:cs="Times New Roman"/>
          <w:color w:val="000000" w:themeColor="text1"/>
          <w:kern w:val="0"/>
          <w:lang w:val="sr-Cyrl-RS"/>
          <w14:ligatures w14:val="none"/>
        </w:rPr>
        <w:lastRenderedPageBreak/>
        <w:t xml:space="preserve">поновно сагледавање индикатора, формулисање унапређене/нове методологије и симулацију мерења развијености ЈЛС – </w:t>
      </w:r>
      <w:r w:rsidR="00670BFA" w:rsidRPr="00226F9D">
        <w:rPr>
          <w:rFonts w:ascii="Times New Roman" w:eastAsia="Times New Roman" w:hAnsi="Times New Roman" w:cs="Times New Roman"/>
          <w:color w:val="000000" w:themeColor="text1"/>
          <w:kern w:val="0"/>
          <w:lang w:val="sr-Cyrl-RS"/>
          <w14:ligatures w14:val="none"/>
        </w:rPr>
        <w:t>која би претходила</w:t>
      </w:r>
      <w:r w:rsidRPr="00226F9D">
        <w:rPr>
          <w:rFonts w:ascii="Times New Roman" w:eastAsia="Times New Roman" w:hAnsi="Times New Roman" w:cs="Times New Roman"/>
          <w:color w:val="000000" w:themeColor="text1"/>
          <w:kern w:val="0"/>
          <w:lang w:val="sr-Cyrl-RS"/>
          <w14:ligatures w14:val="none"/>
        </w:rPr>
        <w:t xml:space="preserve"> формализациј</w:t>
      </w:r>
      <w:r w:rsidR="00A056BE" w:rsidRPr="00226F9D">
        <w:rPr>
          <w:rFonts w:ascii="Times New Roman" w:eastAsia="Times New Roman" w:hAnsi="Times New Roman" w:cs="Times New Roman"/>
          <w:color w:val="000000" w:themeColor="text1"/>
          <w:kern w:val="0"/>
          <w:lang w:val="sr-Cyrl-RS"/>
          <w14:ligatures w14:val="none"/>
        </w:rPr>
        <w:t>и</w:t>
      </w:r>
      <w:r w:rsidRPr="00226F9D">
        <w:rPr>
          <w:rFonts w:ascii="Times New Roman" w:eastAsia="Times New Roman" w:hAnsi="Times New Roman" w:cs="Times New Roman"/>
          <w:color w:val="000000" w:themeColor="text1"/>
          <w:kern w:val="0"/>
          <w:lang w:val="sr-Cyrl-RS"/>
          <w14:ligatures w14:val="none"/>
        </w:rPr>
        <w:t xml:space="preserve"> кроз нове подзаконске акте.    </w:t>
      </w:r>
    </w:p>
    <w:p w14:paraId="75F22A6B" w14:textId="77777777" w:rsidR="00FA6E6E" w:rsidRPr="00226F9D" w:rsidRDefault="00FA6E6E" w:rsidP="00090884">
      <w:pPr>
        <w:spacing w:after="0" w:line="240" w:lineRule="auto"/>
        <w:jc w:val="both"/>
        <w:rPr>
          <w:rFonts w:ascii="Times New Roman" w:eastAsia="Times New Roman" w:hAnsi="Times New Roman" w:cs="Times New Roman"/>
          <w:kern w:val="0"/>
          <w:lang w:val="sr-Cyrl-RS"/>
          <w14:ligatures w14:val="none"/>
        </w:rPr>
      </w:pPr>
    </w:p>
    <w:p w14:paraId="76DAE409" w14:textId="77777777"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Веома је важно у даљем процесу унапређења система финансирања локалне самоуправе остварити шири дијалог националног и локалног нивоа јавне власти, првенствено кроз активирање Комисије за финансирање ЈЛС, али и дијалог унутар самих локалних власти са другим важним партнерима (цивилно друштво, пословна и привредна удружења, регионалне развојне агенције и др.), што би требало да доведе до добрих решења у вези са реформом правног оквира и унапређењем праксе локалне самоуправе. Функционисање Комисије за финансирање локалне самоуправе је посебно важно за даље унапређење процеса планирања локалних финансија и са становишта обезбеђења отворености система финансирања локалне самоуправе и давања препорука за унапређења у том смислу.</w:t>
      </w:r>
    </w:p>
    <w:p w14:paraId="466B2CF3" w14:textId="77777777" w:rsidR="00CF32C3" w:rsidRPr="00226F9D" w:rsidRDefault="00CF32C3" w:rsidP="006B59F4">
      <w:pPr>
        <w:spacing w:after="0" w:line="240" w:lineRule="auto"/>
        <w:jc w:val="both"/>
        <w:rPr>
          <w:rFonts w:ascii="Times New Roman" w:eastAsia="Times New Roman" w:hAnsi="Times New Roman" w:cs="Times New Roman"/>
          <w:b/>
          <w:color w:val="000000"/>
          <w:kern w:val="0"/>
          <w:lang w:val="sr-Cyrl-RS" w:eastAsia="sr-Latn-RS"/>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7"/>
        <w:gridCol w:w="1372"/>
        <w:gridCol w:w="1146"/>
        <w:gridCol w:w="1147"/>
        <w:gridCol w:w="1146"/>
        <w:gridCol w:w="1147"/>
        <w:gridCol w:w="1147"/>
      </w:tblGrid>
      <w:tr w:rsidR="0046481F" w:rsidRPr="00226F9D" w14:paraId="596C7635" w14:textId="77777777" w:rsidTr="00B67DE6">
        <w:trPr>
          <w:trHeight w:val="278"/>
          <w:tblHeader/>
          <w:jc w:val="center"/>
        </w:trPr>
        <w:tc>
          <w:tcPr>
            <w:tcW w:w="2445" w:type="dxa"/>
            <w:shd w:val="clear" w:color="auto" w:fill="83CAEB" w:themeFill="accent1" w:themeFillTint="66"/>
            <w:vAlign w:val="center"/>
            <w:hideMark/>
          </w:tcPr>
          <w:p w14:paraId="18A82D89" w14:textId="58E69BA9"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Показатељ(и) на нивоу мере (показатељ резултата)</w:t>
            </w:r>
          </w:p>
        </w:tc>
        <w:tc>
          <w:tcPr>
            <w:tcW w:w="1333" w:type="dxa"/>
            <w:shd w:val="clear" w:color="auto" w:fill="83CAEB" w:themeFill="accent1" w:themeFillTint="66"/>
            <w:vAlign w:val="center"/>
            <w:hideMark/>
          </w:tcPr>
          <w:p w14:paraId="06E7B0A6"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Полазна вредност</w:t>
            </w:r>
          </w:p>
        </w:tc>
        <w:tc>
          <w:tcPr>
            <w:tcW w:w="1114" w:type="dxa"/>
            <w:shd w:val="clear" w:color="auto" w:fill="83CAEB" w:themeFill="accent1" w:themeFillTint="66"/>
            <w:vAlign w:val="center"/>
            <w:hideMark/>
          </w:tcPr>
          <w:p w14:paraId="0170758C"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2026.</w:t>
            </w:r>
          </w:p>
        </w:tc>
        <w:tc>
          <w:tcPr>
            <w:tcW w:w="1115" w:type="dxa"/>
            <w:shd w:val="clear" w:color="auto" w:fill="83CAEB" w:themeFill="accent1" w:themeFillTint="66"/>
            <w:vAlign w:val="center"/>
            <w:hideMark/>
          </w:tcPr>
          <w:p w14:paraId="525A39E6"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2027.</w:t>
            </w:r>
          </w:p>
        </w:tc>
        <w:tc>
          <w:tcPr>
            <w:tcW w:w="1114" w:type="dxa"/>
            <w:shd w:val="clear" w:color="auto" w:fill="83CAEB" w:themeFill="accent1" w:themeFillTint="66"/>
            <w:vAlign w:val="center"/>
            <w:hideMark/>
          </w:tcPr>
          <w:p w14:paraId="6A6C15AE"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2028.</w:t>
            </w:r>
          </w:p>
        </w:tc>
        <w:tc>
          <w:tcPr>
            <w:tcW w:w="1115" w:type="dxa"/>
            <w:shd w:val="clear" w:color="auto" w:fill="83CAEB" w:themeFill="accent1" w:themeFillTint="66"/>
            <w:vAlign w:val="center"/>
          </w:tcPr>
          <w:p w14:paraId="4F889372"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2029.</w:t>
            </w:r>
          </w:p>
        </w:tc>
        <w:tc>
          <w:tcPr>
            <w:tcW w:w="1115" w:type="dxa"/>
            <w:shd w:val="clear" w:color="auto" w:fill="83CAEB" w:themeFill="accent1" w:themeFillTint="66"/>
            <w:vAlign w:val="center"/>
          </w:tcPr>
          <w:p w14:paraId="458D5115"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2030.</w:t>
            </w:r>
          </w:p>
        </w:tc>
      </w:tr>
      <w:tr w:rsidR="007A7449" w:rsidRPr="00226F9D" w14:paraId="46F13DE3" w14:textId="77777777" w:rsidTr="00B67DE6">
        <w:trPr>
          <w:trHeight w:val="278"/>
          <w:jc w:val="center"/>
        </w:trPr>
        <w:tc>
          <w:tcPr>
            <w:tcW w:w="2445" w:type="dxa"/>
            <w:vAlign w:val="center"/>
          </w:tcPr>
          <w:p w14:paraId="30FFB874"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Хоризонтални баланс финансија ЈЛС (однос прихода по становнику ЈЛС после уједначавања)   </w:t>
            </w:r>
          </w:p>
        </w:tc>
        <w:tc>
          <w:tcPr>
            <w:tcW w:w="1333" w:type="dxa"/>
            <w:vAlign w:val="center"/>
          </w:tcPr>
          <w:p w14:paraId="5D5414E1" w14:textId="57C2DC21" w:rsidR="00CF32C3" w:rsidRPr="00226F9D" w:rsidRDefault="462DE407"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sz w:val="20"/>
                <w:szCs w:val="20"/>
                <w:lang w:val="sr-Cyrl-RS"/>
              </w:rPr>
              <w:t>2</w:t>
            </w:r>
            <w:r w:rsidR="0020544C" w:rsidRPr="00226F9D">
              <w:rPr>
                <w:rFonts w:ascii="Times New Roman" w:eastAsia="Times New Roman" w:hAnsi="Times New Roman" w:cs="Times New Roman"/>
                <w:color w:val="000000" w:themeColor="text1"/>
                <w:sz w:val="20"/>
                <w:szCs w:val="20"/>
                <w:lang w:val="sr-Latn-RS"/>
              </w:rPr>
              <w:t>,</w:t>
            </w:r>
            <w:r w:rsidRPr="00226F9D">
              <w:rPr>
                <w:rFonts w:ascii="Times New Roman" w:eastAsia="Times New Roman" w:hAnsi="Times New Roman" w:cs="Times New Roman"/>
                <w:color w:val="000000" w:themeColor="text1"/>
                <w:sz w:val="20"/>
                <w:szCs w:val="20"/>
                <w:lang w:val="sr-Cyrl-RS"/>
              </w:rPr>
              <w:t>07</w:t>
            </w:r>
            <w:r w:rsidR="00C546A3" w:rsidRPr="00226F9D">
              <w:rPr>
                <w:rFonts w:ascii="Times New Roman" w:eastAsia="Times New Roman" w:hAnsi="Times New Roman" w:cs="Times New Roman"/>
                <w:color w:val="000000" w:themeColor="text1"/>
                <w:sz w:val="20"/>
                <w:szCs w:val="20"/>
                <w:lang w:val="sr-Cyrl-RS"/>
              </w:rPr>
              <w:t xml:space="preserve"> (2023)</w:t>
            </w:r>
          </w:p>
        </w:tc>
        <w:tc>
          <w:tcPr>
            <w:tcW w:w="1114" w:type="dxa"/>
            <w:vAlign w:val="center"/>
          </w:tcPr>
          <w:p w14:paraId="7DB1D44D" w14:textId="7D77EE73" w:rsidR="00CF32C3" w:rsidRPr="00226F9D" w:rsidRDefault="462DE407"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sz w:val="20"/>
                <w:szCs w:val="20"/>
                <w:lang w:val="sr-Cyrl-RS"/>
              </w:rPr>
              <w:t>2</w:t>
            </w:r>
            <w:r w:rsidR="0020544C" w:rsidRPr="00226F9D">
              <w:rPr>
                <w:rFonts w:ascii="Times New Roman" w:eastAsia="Times New Roman" w:hAnsi="Times New Roman" w:cs="Times New Roman"/>
                <w:color w:val="000000" w:themeColor="text1"/>
                <w:sz w:val="20"/>
                <w:szCs w:val="20"/>
                <w:lang w:val="sr-Latn-RS"/>
              </w:rPr>
              <w:t>,</w:t>
            </w:r>
            <w:r w:rsidRPr="00226F9D">
              <w:rPr>
                <w:rFonts w:ascii="Times New Roman" w:eastAsia="Times New Roman" w:hAnsi="Times New Roman" w:cs="Times New Roman"/>
                <w:color w:val="000000" w:themeColor="text1"/>
                <w:sz w:val="20"/>
                <w:szCs w:val="20"/>
                <w:lang w:val="sr-Cyrl-RS"/>
              </w:rPr>
              <w:t>07</w:t>
            </w:r>
          </w:p>
        </w:tc>
        <w:tc>
          <w:tcPr>
            <w:tcW w:w="1115" w:type="dxa"/>
            <w:vAlign w:val="center"/>
          </w:tcPr>
          <w:p w14:paraId="2A2A82A3" w14:textId="138D47F6" w:rsidR="00CF32C3" w:rsidRPr="00226F9D" w:rsidRDefault="462DE407"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sz w:val="20"/>
                <w:szCs w:val="20"/>
                <w:lang w:val="sr-Cyrl-RS"/>
              </w:rPr>
              <w:t>2</w:t>
            </w:r>
            <w:r w:rsidR="0020544C" w:rsidRPr="00226F9D">
              <w:rPr>
                <w:rFonts w:ascii="Times New Roman" w:eastAsia="Times New Roman" w:hAnsi="Times New Roman" w:cs="Times New Roman"/>
                <w:color w:val="000000" w:themeColor="text1"/>
                <w:sz w:val="20"/>
                <w:szCs w:val="20"/>
                <w:lang w:val="sr-Latn-RS"/>
              </w:rPr>
              <w:t>,</w:t>
            </w:r>
            <w:r w:rsidRPr="00226F9D">
              <w:rPr>
                <w:rFonts w:ascii="Times New Roman" w:eastAsia="Times New Roman" w:hAnsi="Times New Roman" w:cs="Times New Roman"/>
                <w:color w:val="000000" w:themeColor="text1"/>
                <w:sz w:val="20"/>
                <w:szCs w:val="20"/>
                <w:lang w:val="sr-Cyrl-RS"/>
              </w:rPr>
              <w:t>07</w:t>
            </w:r>
          </w:p>
        </w:tc>
        <w:tc>
          <w:tcPr>
            <w:tcW w:w="1114" w:type="dxa"/>
            <w:vAlign w:val="center"/>
          </w:tcPr>
          <w:p w14:paraId="3BE27A03" w14:textId="7BF11094" w:rsidR="00CF32C3" w:rsidRPr="00226F9D" w:rsidRDefault="462DE407"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sz w:val="20"/>
                <w:szCs w:val="20"/>
                <w:lang w:val="sr-Cyrl-RS"/>
              </w:rPr>
              <w:t>1</w:t>
            </w:r>
            <w:r w:rsidR="0020544C" w:rsidRPr="00226F9D">
              <w:rPr>
                <w:rFonts w:ascii="Times New Roman" w:eastAsia="Times New Roman" w:hAnsi="Times New Roman" w:cs="Times New Roman"/>
                <w:color w:val="000000" w:themeColor="text1"/>
                <w:sz w:val="20"/>
                <w:szCs w:val="20"/>
                <w:lang w:val="sr-Latn-RS"/>
              </w:rPr>
              <w:t>,</w:t>
            </w:r>
            <w:r w:rsidRPr="00226F9D">
              <w:rPr>
                <w:rFonts w:ascii="Times New Roman" w:eastAsia="Times New Roman" w:hAnsi="Times New Roman" w:cs="Times New Roman"/>
                <w:color w:val="000000" w:themeColor="text1"/>
                <w:sz w:val="20"/>
                <w:szCs w:val="20"/>
                <w:lang w:val="sr-Cyrl-RS"/>
              </w:rPr>
              <w:t>8</w:t>
            </w:r>
          </w:p>
        </w:tc>
        <w:tc>
          <w:tcPr>
            <w:tcW w:w="1115" w:type="dxa"/>
            <w:vAlign w:val="center"/>
          </w:tcPr>
          <w:p w14:paraId="7A6F93E9" w14:textId="6A8E8FE3" w:rsidR="00CF32C3" w:rsidRPr="00226F9D" w:rsidRDefault="462DE407"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sz w:val="20"/>
                <w:szCs w:val="20"/>
                <w:lang w:val="sr-Cyrl-RS"/>
              </w:rPr>
              <w:t>1</w:t>
            </w:r>
            <w:r w:rsidR="0020544C" w:rsidRPr="00226F9D">
              <w:rPr>
                <w:rFonts w:ascii="Times New Roman" w:eastAsia="Times New Roman" w:hAnsi="Times New Roman" w:cs="Times New Roman"/>
                <w:color w:val="000000" w:themeColor="text1"/>
                <w:sz w:val="20"/>
                <w:szCs w:val="20"/>
                <w:lang w:val="sr-Latn-RS"/>
              </w:rPr>
              <w:t>,</w:t>
            </w:r>
            <w:r w:rsidRPr="00226F9D">
              <w:rPr>
                <w:rFonts w:ascii="Times New Roman" w:eastAsia="Times New Roman" w:hAnsi="Times New Roman" w:cs="Times New Roman"/>
                <w:color w:val="000000" w:themeColor="text1"/>
                <w:sz w:val="20"/>
                <w:szCs w:val="20"/>
                <w:lang w:val="sr-Cyrl-RS"/>
              </w:rPr>
              <w:t>8</w:t>
            </w:r>
          </w:p>
        </w:tc>
        <w:tc>
          <w:tcPr>
            <w:tcW w:w="1115" w:type="dxa"/>
            <w:vAlign w:val="center"/>
          </w:tcPr>
          <w:p w14:paraId="258A5525" w14:textId="0EFE1C30" w:rsidR="00CF32C3" w:rsidRPr="00226F9D" w:rsidRDefault="462DE407"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sz w:val="20"/>
                <w:szCs w:val="20"/>
                <w:lang w:val="sr-Cyrl-RS"/>
              </w:rPr>
              <w:t>1</w:t>
            </w:r>
            <w:r w:rsidR="0020544C" w:rsidRPr="00226F9D">
              <w:rPr>
                <w:rFonts w:ascii="Times New Roman" w:eastAsia="Times New Roman" w:hAnsi="Times New Roman" w:cs="Times New Roman"/>
                <w:color w:val="000000" w:themeColor="text1"/>
                <w:sz w:val="20"/>
                <w:szCs w:val="20"/>
                <w:lang w:val="sr-Latn-RS"/>
              </w:rPr>
              <w:t>,</w:t>
            </w:r>
            <w:r w:rsidRPr="00226F9D">
              <w:rPr>
                <w:rFonts w:ascii="Times New Roman" w:eastAsia="Times New Roman" w:hAnsi="Times New Roman" w:cs="Times New Roman"/>
                <w:color w:val="000000" w:themeColor="text1"/>
                <w:sz w:val="20"/>
                <w:szCs w:val="20"/>
                <w:lang w:val="sr-Cyrl-RS"/>
              </w:rPr>
              <w:t>8</w:t>
            </w:r>
          </w:p>
        </w:tc>
      </w:tr>
      <w:tr w:rsidR="007A7449" w:rsidRPr="00226F9D" w14:paraId="0EF1F6DA" w14:textId="77777777" w:rsidTr="00B67DE6">
        <w:trPr>
          <w:trHeight w:val="1034"/>
          <w:jc w:val="center"/>
        </w:trPr>
        <w:tc>
          <w:tcPr>
            <w:tcW w:w="2445" w:type="dxa"/>
            <w:vAlign w:val="center"/>
          </w:tcPr>
          <w:p w14:paraId="2FE01850"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Удео општих буџетских прихода ЛС у укупним буџетским приходима ЛС </w:t>
            </w:r>
          </w:p>
        </w:tc>
        <w:tc>
          <w:tcPr>
            <w:tcW w:w="1333" w:type="dxa"/>
            <w:vAlign w:val="center"/>
          </w:tcPr>
          <w:p w14:paraId="43118FA7"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Arial" w:hAnsi="Times New Roman" w:cs="Times New Roman"/>
                <w:kern w:val="0"/>
                <w:sz w:val="20"/>
                <w:szCs w:val="20"/>
                <w:lang w:val="sr-Cyrl-RS"/>
                <w14:ligatures w14:val="none"/>
              </w:rPr>
              <w:t>92% (2024)</w:t>
            </w:r>
          </w:p>
        </w:tc>
        <w:tc>
          <w:tcPr>
            <w:tcW w:w="1114" w:type="dxa"/>
            <w:vAlign w:val="center"/>
          </w:tcPr>
          <w:p w14:paraId="13C0C44D"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92%</w:t>
            </w:r>
          </w:p>
        </w:tc>
        <w:tc>
          <w:tcPr>
            <w:tcW w:w="1115" w:type="dxa"/>
            <w:vAlign w:val="center"/>
          </w:tcPr>
          <w:p w14:paraId="65376E26"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92%</w:t>
            </w:r>
          </w:p>
        </w:tc>
        <w:tc>
          <w:tcPr>
            <w:tcW w:w="1114" w:type="dxa"/>
            <w:vAlign w:val="center"/>
          </w:tcPr>
          <w:p w14:paraId="1A89A024"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93%</w:t>
            </w:r>
          </w:p>
        </w:tc>
        <w:tc>
          <w:tcPr>
            <w:tcW w:w="1115" w:type="dxa"/>
            <w:vAlign w:val="center"/>
          </w:tcPr>
          <w:p w14:paraId="2CD153FB"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p>
          <w:p w14:paraId="758F81EC"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93%</w:t>
            </w:r>
          </w:p>
          <w:p w14:paraId="1D782E5A"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p>
        </w:tc>
        <w:tc>
          <w:tcPr>
            <w:tcW w:w="1115" w:type="dxa"/>
            <w:vAlign w:val="center"/>
          </w:tcPr>
          <w:p w14:paraId="2696F0AA"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p>
          <w:p w14:paraId="079B658E"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94%</w:t>
            </w:r>
          </w:p>
          <w:p w14:paraId="6F93AA1C"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p>
        </w:tc>
      </w:tr>
    </w:tbl>
    <w:p w14:paraId="7397B447" w14:textId="77777777" w:rsidR="00CF32C3" w:rsidRPr="00226F9D" w:rsidRDefault="00CF32C3" w:rsidP="006B59F4">
      <w:pPr>
        <w:spacing w:after="0" w:line="240" w:lineRule="auto"/>
        <w:jc w:val="both"/>
        <w:rPr>
          <w:rFonts w:ascii="Times New Roman" w:eastAsia="Times New Roman" w:hAnsi="Times New Roman" w:cs="Times New Roman"/>
          <w:b/>
          <w:color w:val="000000"/>
          <w:kern w:val="0"/>
          <w:lang w:val="sr-Cyrl-RS" w:eastAsia="sr-Latn-RS"/>
          <w14:ligatures w14:val="none"/>
        </w:rPr>
      </w:pPr>
    </w:p>
    <w:p w14:paraId="7FC85850" w14:textId="3F57B7A1" w:rsidR="00CF32C3" w:rsidRPr="00226F9D" w:rsidRDefault="00CF32C3" w:rsidP="0080486F">
      <w:pPr>
        <w:pStyle w:val="Heading4"/>
        <w:jc w:val="both"/>
        <w:rPr>
          <w:rFonts w:ascii="Times New Roman" w:hAnsi="Times New Roman" w:cs="Times New Roman"/>
          <w:lang w:val="sr-Cyrl-RS"/>
        </w:rPr>
      </w:pPr>
      <w:bookmarkStart w:id="31" w:name="_Toc77068877"/>
      <w:r w:rsidRPr="00226F9D">
        <w:rPr>
          <w:rFonts w:ascii="Times New Roman" w:hAnsi="Times New Roman" w:cs="Times New Roman"/>
          <w:lang w:val="sr-Cyrl-RS"/>
        </w:rPr>
        <w:t xml:space="preserve">Мера 2.2: </w:t>
      </w:r>
      <w:bookmarkEnd w:id="31"/>
      <w:r w:rsidRPr="00226F9D">
        <w:rPr>
          <w:rFonts w:ascii="Times New Roman" w:hAnsi="Times New Roman" w:cs="Times New Roman"/>
          <w:lang w:val="sr-Cyrl-RS"/>
        </w:rPr>
        <w:t>Подршка ЈЛС за унапређење процеса планирања и транспарентности буџета</w:t>
      </w:r>
    </w:p>
    <w:p w14:paraId="43F0F3FE" w14:textId="5A66654D"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Квалитетно и одговорно буџетирање у складу са смерницама годишњег упутства Министарства финансија је од кључног значаја за целокупни систем управљања у градовима и општинама и овом процесу ће бити посвећена посебна пажња. Кроз ову меру наставља се</w:t>
      </w:r>
      <w:r w:rsidRPr="00226F9D">
        <w:rPr>
          <w:rFonts w:ascii="Times New Roman" w:eastAsia="Times New Roman" w:hAnsi="Times New Roman" w:cs="Times New Roman"/>
          <w:color w:val="000000" w:themeColor="text1"/>
          <w:kern w:val="0"/>
          <w:lang w:val="sr-Cyrl-RS"/>
          <w14:ligatures w14:val="none"/>
        </w:rPr>
        <w:t xml:space="preserve"> подршка ЛС за квалитетније спровођење буџетских процеса кроз континуирану саветодавну подршку, израду модела и смерница</w:t>
      </w:r>
      <w:r w:rsidR="00A056BE" w:rsidRPr="00226F9D">
        <w:rPr>
          <w:rFonts w:ascii="Times New Roman" w:eastAsia="Times New Roman" w:hAnsi="Times New Roman" w:cs="Times New Roman"/>
          <w:color w:val="000000" w:themeColor="text1"/>
          <w:kern w:val="0"/>
          <w:lang w:val="sr-Cyrl-RS"/>
          <w14:ligatures w14:val="none"/>
        </w:rPr>
        <w:t>,</w:t>
      </w:r>
      <w:r w:rsidRPr="00226F9D">
        <w:rPr>
          <w:rFonts w:ascii="Times New Roman" w:eastAsia="Times New Roman" w:hAnsi="Times New Roman" w:cs="Times New Roman"/>
          <w:color w:val="000000" w:themeColor="text1"/>
          <w:kern w:val="0"/>
          <w:lang w:val="sr-Cyrl-RS"/>
          <w14:ligatures w14:val="none"/>
        </w:rPr>
        <w:t xml:space="preserve"> по потреби</w:t>
      </w:r>
      <w:r w:rsidR="00A056BE" w:rsidRPr="00226F9D">
        <w:rPr>
          <w:rFonts w:ascii="Times New Roman" w:eastAsia="Times New Roman" w:hAnsi="Times New Roman" w:cs="Times New Roman"/>
          <w:color w:val="000000" w:themeColor="text1"/>
          <w:kern w:val="0"/>
          <w:lang w:val="sr-Cyrl-RS"/>
          <w14:ligatures w14:val="none"/>
        </w:rPr>
        <w:t>,</w:t>
      </w:r>
      <w:r w:rsidRPr="00226F9D">
        <w:rPr>
          <w:rFonts w:ascii="Times New Roman" w:eastAsia="Times New Roman" w:hAnsi="Times New Roman" w:cs="Times New Roman"/>
          <w:color w:val="000000" w:themeColor="text1"/>
          <w:kern w:val="0"/>
          <w:lang w:val="sr-Cyrl-RS"/>
          <w14:ligatures w14:val="none"/>
        </w:rPr>
        <w:t xml:space="preserve"> за примену прописа и осигуравање усаглашености са Упутствима МФИН у важним областима као што су програмско и родно буџетирање и посебно планирање и буџетирање капиталних пројеката као посебно изазов</w:t>
      </w:r>
      <w:r w:rsidR="00DC5070" w:rsidRPr="00226F9D">
        <w:rPr>
          <w:rFonts w:ascii="Times New Roman" w:eastAsia="Times New Roman" w:hAnsi="Times New Roman" w:cs="Times New Roman"/>
          <w:color w:val="000000" w:themeColor="text1"/>
          <w:kern w:val="0"/>
          <w:lang w:val="sr-Cyrl-RS"/>
          <w14:ligatures w14:val="none"/>
        </w:rPr>
        <w:t>ан</w:t>
      </w:r>
      <w:r w:rsidRPr="00226F9D">
        <w:rPr>
          <w:rFonts w:ascii="Times New Roman" w:eastAsia="Times New Roman" w:hAnsi="Times New Roman" w:cs="Times New Roman"/>
          <w:color w:val="000000" w:themeColor="text1"/>
          <w:kern w:val="0"/>
          <w:lang w:val="sr-Cyrl-RS"/>
          <w14:ligatures w14:val="none"/>
        </w:rPr>
        <w:t xml:space="preserve"> аспек</w:t>
      </w:r>
      <w:r w:rsidR="00DC5070" w:rsidRPr="00226F9D">
        <w:rPr>
          <w:rFonts w:ascii="Times New Roman" w:eastAsia="Times New Roman" w:hAnsi="Times New Roman" w:cs="Times New Roman"/>
          <w:color w:val="000000" w:themeColor="text1"/>
          <w:kern w:val="0"/>
          <w:lang w:val="sr-Cyrl-RS"/>
          <w14:ligatures w14:val="none"/>
        </w:rPr>
        <w:t>ат</w:t>
      </w:r>
      <w:r w:rsidRPr="00226F9D">
        <w:rPr>
          <w:rFonts w:ascii="Times New Roman" w:eastAsia="Times New Roman" w:hAnsi="Times New Roman" w:cs="Times New Roman"/>
          <w:color w:val="000000" w:themeColor="text1"/>
          <w:kern w:val="0"/>
          <w:lang w:val="sr-Cyrl-RS"/>
          <w14:ligatures w14:val="none"/>
        </w:rPr>
        <w:t xml:space="preserve"> за ЈЛС. Даља изградња капацитета ЛС у овом погледу укључује и циљане годишње буџетске семинаре за ЛС за унапређење квалитета одлука о буџету и одлука о завршном рачуну ЛС у складу са Упутствима МФИН и налазима екстерне ревизије. Ово подразумева и задржавање фокуса на унапређењу квалитета и садржинске конзистентности програмског буџета и извештаја ЛС о учинцима буџетских програма. У тесној вези са наведеним, обухвату ове мере припада и даља подршка ЛС у процесу средњорочног планирања и извештавања </w:t>
      </w:r>
      <w:r w:rsidRPr="00226F9D">
        <w:rPr>
          <w:rFonts w:ascii="Times New Roman" w:eastAsia="Times New Roman" w:hAnsi="Times New Roman" w:cs="Times New Roman"/>
          <w:kern w:val="0"/>
          <w:lang w:val="sr-Cyrl-RS"/>
          <w14:ligatures w14:val="none"/>
        </w:rPr>
        <w:t xml:space="preserve">о спровођењу средњорочних планова, тим пре што се у претходном програмском периоду управо аспект средњорочног планирања испоставио као изразито комплексан за примену од стране ЛС и веома скроман по резултатима (у смислу броја ЈЛС које су уопште усвојиле средњорочне планове, успешности у повезивању програмских буџета са овим плановима и сл.). </w:t>
      </w:r>
    </w:p>
    <w:p w14:paraId="05206DE5" w14:textId="77777777" w:rsidR="0012465E" w:rsidRPr="00226F9D" w:rsidRDefault="0012465E" w:rsidP="00090884">
      <w:pPr>
        <w:spacing w:after="0" w:line="240" w:lineRule="auto"/>
        <w:jc w:val="both"/>
        <w:rPr>
          <w:rFonts w:ascii="Times New Roman" w:eastAsia="Times New Roman" w:hAnsi="Times New Roman" w:cs="Times New Roman"/>
          <w:kern w:val="0"/>
          <w:lang w:val="sr-Cyrl-RS"/>
          <w14:ligatures w14:val="none"/>
        </w:rPr>
      </w:pPr>
    </w:p>
    <w:p w14:paraId="0DCD25BA" w14:textId="4824A1CA"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 xml:space="preserve">Значајна реформска активност пренета у нови програмски период – тиче се  </w:t>
      </w:r>
      <w:r w:rsidRPr="00226F9D">
        <w:rPr>
          <w:rFonts w:ascii="Times New Roman" w:eastAsia="Arial" w:hAnsi="Times New Roman" w:cs="Times New Roman"/>
          <w:kern w:val="0"/>
          <w:lang w:val="sr-Cyrl-RS"/>
          <w14:ligatures w14:val="none"/>
        </w:rPr>
        <w:t xml:space="preserve">успостављања јавног електронског приказа локалних буџета (планирања и извршења по свакој ЛС) при Министарству финансија. Министарство је у претходном периоду успешно применило и сукцесивно усавршило информационе системе за буџетско пословање – припрему, извршење, рачуноводство и извештавање – за све нивое власти. У том смислу, почев од 2025. године и све локалне самоуправе укључене су у актуелни систем СПИРИ, чиме је формирана и напредна технолошка основа са дневно ажурним подацима о буџетима ЛС – која би требало </w:t>
      </w:r>
      <w:r w:rsidRPr="00226F9D">
        <w:rPr>
          <w:rFonts w:ascii="Times New Roman" w:eastAsia="Arial" w:hAnsi="Times New Roman" w:cs="Times New Roman"/>
          <w:kern w:val="0"/>
          <w:lang w:val="sr-Cyrl-RS"/>
          <w14:ligatures w14:val="none"/>
        </w:rPr>
        <w:lastRenderedPageBreak/>
        <w:t xml:space="preserve">да буде надограђена модулима/опцијама за формирање планираног јавног приказа буџета свих ЛС. Ово ће представљати прекретницу у погледу транспарентности локалних финансија, поузданости и доступности буџетских информација по ЛС, и значајан искорак у правцу достизања стандарда и праксе држава чланица ЕУ, али и земаља у окружењу. Тиме ће се превазићи досадашњи изазови и мањкавости у погледу прегледности, комплетности, ажурности и детаљности кључних информација о локалним јавним финансијама. Агрегирани параметри у овом домену обрађују се и публикују кроз билтене јавних финансија МФИН, заступљени су и кроз финансијске показатеље ЛС у оквиру аналитичког сервиса ЛС који води РСЈП и сл., али ће обим и благовременост информација бити значајно унапређени, а напори ових државних институција у приказивању локалних буџетских података битно олакшани – управо кроз предвиђени механизам. Наравно, његова кључна додата вредност у смислу јавног интереса и доброг управљања, огледаће се у јавној доступности и транспарентности збирних и појединачних информација о буџетима ЛС. </w:t>
      </w:r>
    </w:p>
    <w:p w14:paraId="2DB15720" w14:textId="77777777" w:rsidR="0012465E" w:rsidRPr="00226F9D" w:rsidRDefault="0012465E" w:rsidP="00090884">
      <w:pPr>
        <w:spacing w:after="0" w:line="240" w:lineRule="auto"/>
        <w:jc w:val="both"/>
        <w:rPr>
          <w:rFonts w:ascii="Times New Roman" w:eastAsia="Arial" w:hAnsi="Times New Roman" w:cs="Times New Roman"/>
          <w:kern w:val="0"/>
          <w:lang w:val="sr-Cyrl-RS"/>
          <w14:ligatures w14:val="none"/>
        </w:rPr>
      </w:pPr>
    </w:p>
    <w:p w14:paraId="122D0ADE" w14:textId="77777777"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На терену самих ЛС међутим, нужно је задржати фокус на индивидуалној дисциплини и доследности сваког града и општине у погледу буџетске транспарентности и спровођења пратећих процеса и унапређења доступности буџетских материјала. Обавезни минимум у овом погледу већ је у највећој мери уређен прописима, а развијене су и бројне напредне праксе појединачних ЛС. Ово се односи</w:t>
      </w:r>
      <w:r w:rsidRPr="00226F9D">
        <w:rPr>
          <w:rFonts w:ascii="Times New Roman" w:eastAsia="Times New Roman" w:hAnsi="Times New Roman" w:cs="Times New Roman"/>
          <w:kern w:val="0"/>
          <w:lang w:val="sr-Cyrl-RS"/>
          <w14:ligatures w14:val="none"/>
        </w:rPr>
        <w:t xml:space="preserve"> на спровођење </w:t>
      </w:r>
      <w:r w:rsidRPr="00226F9D">
        <w:rPr>
          <w:rFonts w:ascii="Times New Roman" w:eastAsia="Arial" w:hAnsi="Times New Roman" w:cs="Times New Roman"/>
          <w:kern w:val="0"/>
          <w:lang w:val="sr-Cyrl-RS"/>
          <w14:ligatures w14:val="none"/>
        </w:rPr>
        <w:t xml:space="preserve">јавних расправа о нацртима локалних буџета, израду грађанских водича кроз буџет, уграђивање родне перспективе у буџет, проактивно објављивање информација о извршењу буџета и реализованим инвестицијама, о кредитној способности и задужености, извештаја о ревизији завршног рачуна буџета ЛС, итд. Збирно посматрано међутим, помаци у погледу буџетске транспарентности и партиципације одвијају се споро или стагнирају у појединим сегментима, а резултати из различитих извора, индекса и истраживања готово једнозначно указују да су узроци таквих трендова у недовољним административним капацитетима значајног броја ЛС. Стога се и у наредном програмском периоду пажња посвећује квалитету и примени </w:t>
      </w:r>
      <w:r w:rsidRPr="00226F9D">
        <w:rPr>
          <w:rFonts w:ascii="Times New Roman" w:eastAsia="Times New Roman" w:hAnsi="Times New Roman" w:cs="Times New Roman"/>
          <w:kern w:val="0"/>
          <w:lang w:val="sr-Cyrl-RS"/>
          <w14:ligatures w14:val="none"/>
        </w:rPr>
        <w:t>буџетске транспарентности и партиципације</w:t>
      </w:r>
      <w:r w:rsidRPr="00226F9D">
        <w:rPr>
          <w:rFonts w:ascii="Times New Roman" w:eastAsia="Arial" w:hAnsi="Times New Roman" w:cs="Times New Roman"/>
          <w:kern w:val="0"/>
          <w:lang w:val="sr-Cyrl-RS"/>
          <w14:ligatures w14:val="none"/>
        </w:rPr>
        <w:t xml:space="preserve"> и изградњи капацитета </w:t>
      </w:r>
      <w:r w:rsidRPr="00226F9D">
        <w:rPr>
          <w:rFonts w:ascii="Times New Roman" w:eastAsia="Times New Roman" w:hAnsi="Times New Roman" w:cs="Times New Roman"/>
          <w:kern w:val="0"/>
          <w:lang w:val="sr-Cyrl-RS"/>
          <w14:ligatures w14:val="none"/>
        </w:rPr>
        <w:t>носилаца ових процеса у ЛС.</w:t>
      </w:r>
    </w:p>
    <w:p w14:paraId="41171999" w14:textId="77777777" w:rsidR="0012465E" w:rsidRPr="00226F9D" w:rsidRDefault="0012465E" w:rsidP="00090884">
      <w:pPr>
        <w:spacing w:after="0" w:line="240" w:lineRule="auto"/>
        <w:jc w:val="both"/>
        <w:rPr>
          <w:rFonts w:ascii="Times New Roman" w:eastAsia="Times New Roman" w:hAnsi="Times New Roman" w:cs="Times New Roman"/>
          <w:kern w:val="0"/>
          <w:lang w:val="sr-Cyrl-RS"/>
          <w14:ligatures w14:val="none"/>
        </w:rPr>
      </w:pPr>
    </w:p>
    <w:p w14:paraId="6506A643" w14:textId="36E38543"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Имајући у виду да критичну тачку и битан структурни недостатак финансија ЛС и даље чини мањак јавних инвестиција из локалног буџета, у обухвату ове мере планирано је даље деловање у правцу унапређења управљања локалним капиталним пројектима (а тиме такође и додатно унапређење транспарентности са становишта инвестиционих активности ЛС које су у посебном фокусу јавности). Закључно са 2025. годином, операционализација Уредбе о капиталним пројектима</w:t>
      </w:r>
      <w:r w:rsidR="008A3C7C" w:rsidRPr="00226F9D">
        <w:rPr>
          <w:rStyle w:val="FootnoteReference"/>
          <w:rFonts w:ascii="Times New Roman" w:eastAsia="Times New Roman" w:hAnsi="Times New Roman" w:cs="Times New Roman"/>
          <w:kern w:val="0"/>
          <w:lang w:val="sr-Cyrl-RS"/>
          <w14:ligatures w14:val="none"/>
        </w:rPr>
        <w:footnoteReference w:id="67"/>
      </w:r>
      <w:r w:rsidRPr="00226F9D">
        <w:rPr>
          <w:rFonts w:ascii="Times New Roman" w:eastAsia="Times New Roman" w:hAnsi="Times New Roman" w:cs="Times New Roman"/>
          <w:kern w:val="0"/>
          <w:lang w:val="sr-Cyrl-RS"/>
          <w14:ligatures w14:val="none"/>
        </w:rPr>
        <w:t xml:space="preserve"> заживела је у највећој мери кроз формалне кораке успостављања локалних комисија за капиталне инвестиције, док је нешто детаљнији приступ за ЈЛС разрађен кроз приручник</w:t>
      </w:r>
      <w:r w:rsidR="0073345E" w:rsidRPr="00226F9D">
        <w:rPr>
          <w:rStyle w:val="FootnoteReference"/>
          <w:rFonts w:ascii="Times New Roman" w:eastAsia="Times New Roman" w:hAnsi="Times New Roman" w:cs="Times New Roman"/>
          <w:kern w:val="0"/>
          <w:lang w:val="sr-Cyrl-RS"/>
          <w14:ligatures w14:val="none"/>
        </w:rPr>
        <w:footnoteReference w:id="68"/>
      </w:r>
      <w:r w:rsidRPr="00226F9D">
        <w:rPr>
          <w:rFonts w:ascii="Times New Roman" w:eastAsia="Times New Roman" w:hAnsi="Times New Roman" w:cs="Times New Roman"/>
          <w:kern w:val="0"/>
          <w:lang w:val="sr-Cyrl-RS"/>
          <w14:ligatures w14:val="none"/>
        </w:rPr>
        <w:t xml:space="preserve"> за примену Уредбе који су МФИН и СКГО наменили градовима и општинама. </w:t>
      </w:r>
      <w:r w:rsidR="00DC5070" w:rsidRPr="00226F9D">
        <w:rPr>
          <w:rFonts w:ascii="Times New Roman" w:eastAsia="Times New Roman" w:hAnsi="Times New Roman" w:cs="Times New Roman"/>
          <w:kern w:val="0"/>
          <w:lang w:val="sr-Cyrl-RS"/>
          <w14:ligatures w14:val="none"/>
        </w:rPr>
        <w:t>Међутим, и</w:t>
      </w:r>
      <w:r w:rsidRPr="00226F9D">
        <w:rPr>
          <w:rFonts w:ascii="Times New Roman" w:eastAsia="Times New Roman" w:hAnsi="Times New Roman" w:cs="Times New Roman"/>
          <w:kern w:val="0"/>
          <w:lang w:val="sr-Cyrl-RS"/>
          <w14:ligatures w14:val="none"/>
        </w:rPr>
        <w:t xml:space="preserve">мајући у виду и припрему новог концепта политике у области јавних инвестиција, и извесне даље измене и допуне правног и методолошког оквира, биће потребан систематичан приступ у подршци ЛС за његову примену и ефективно укључивање градова и општина у консолидовани систем управљања капиталним пројектима.  </w:t>
      </w:r>
    </w:p>
    <w:p w14:paraId="4B253A58" w14:textId="77777777" w:rsidR="00CF32C3" w:rsidRPr="00226F9D" w:rsidRDefault="00CF32C3" w:rsidP="006B59F4">
      <w:pPr>
        <w:spacing w:after="0" w:line="240" w:lineRule="auto"/>
        <w:jc w:val="both"/>
        <w:rPr>
          <w:rFonts w:ascii="Times New Roman" w:eastAsia="Times New Roman" w:hAnsi="Times New Roman" w:cs="Times New Roman"/>
          <w:kern w:val="0"/>
          <w:lang w:val="sr-Cyrl-RS"/>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7"/>
        <w:gridCol w:w="1372"/>
        <w:gridCol w:w="1146"/>
        <w:gridCol w:w="1147"/>
        <w:gridCol w:w="1146"/>
        <w:gridCol w:w="1147"/>
        <w:gridCol w:w="1147"/>
      </w:tblGrid>
      <w:tr w:rsidR="0046481F" w:rsidRPr="00226F9D" w14:paraId="7564EB05" w14:textId="77777777" w:rsidTr="00B67DE6">
        <w:trPr>
          <w:trHeight w:val="278"/>
          <w:tblHeader/>
          <w:jc w:val="center"/>
        </w:trPr>
        <w:tc>
          <w:tcPr>
            <w:tcW w:w="2445" w:type="dxa"/>
            <w:shd w:val="clear" w:color="auto" w:fill="83CAEB" w:themeFill="accent1" w:themeFillTint="66"/>
            <w:vAlign w:val="center"/>
            <w:hideMark/>
          </w:tcPr>
          <w:p w14:paraId="6E3C3249" w14:textId="77777777" w:rsidR="00CF32C3" w:rsidRPr="00226F9D" w:rsidRDefault="00CF32C3" w:rsidP="00B67DE6">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Показатељ(и) на нивоу мере (показатељ резултата)</w:t>
            </w:r>
          </w:p>
        </w:tc>
        <w:tc>
          <w:tcPr>
            <w:tcW w:w="1333" w:type="dxa"/>
            <w:shd w:val="clear" w:color="auto" w:fill="83CAEB" w:themeFill="accent1" w:themeFillTint="66"/>
            <w:vAlign w:val="center"/>
            <w:hideMark/>
          </w:tcPr>
          <w:p w14:paraId="1661FF14"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1114" w:type="dxa"/>
            <w:shd w:val="clear" w:color="auto" w:fill="83CAEB" w:themeFill="accent1" w:themeFillTint="66"/>
            <w:vAlign w:val="center"/>
            <w:hideMark/>
          </w:tcPr>
          <w:p w14:paraId="48834CC0"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1115" w:type="dxa"/>
            <w:shd w:val="clear" w:color="auto" w:fill="83CAEB" w:themeFill="accent1" w:themeFillTint="66"/>
            <w:vAlign w:val="center"/>
            <w:hideMark/>
          </w:tcPr>
          <w:p w14:paraId="70243B36"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1114" w:type="dxa"/>
            <w:shd w:val="clear" w:color="auto" w:fill="83CAEB" w:themeFill="accent1" w:themeFillTint="66"/>
            <w:vAlign w:val="center"/>
            <w:hideMark/>
          </w:tcPr>
          <w:p w14:paraId="3900822D"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1115" w:type="dxa"/>
            <w:shd w:val="clear" w:color="auto" w:fill="83CAEB" w:themeFill="accent1" w:themeFillTint="66"/>
            <w:vAlign w:val="center"/>
          </w:tcPr>
          <w:p w14:paraId="638EC00D"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1115" w:type="dxa"/>
            <w:shd w:val="clear" w:color="auto" w:fill="83CAEB" w:themeFill="accent1" w:themeFillTint="66"/>
            <w:vAlign w:val="center"/>
          </w:tcPr>
          <w:p w14:paraId="766AAC67" w14:textId="77777777" w:rsidR="00CF32C3" w:rsidRPr="00226F9D" w:rsidRDefault="00CF32C3" w:rsidP="00090884">
            <w:pPr>
              <w:spacing w:after="0" w:line="240" w:lineRule="auto"/>
              <w:jc w:val="both"/>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CF32C3" w:rsidRPr="00226F9D" w14:paraId="16ACA2D2" w14:textId="77777777" w:rsidTr="00B67DE6">
        <w:trPr>
          <w:trHeight w:val="278"/>
          <w:jc w:val="center"/>
        </w:trPr>
        <w:tc>
          <w:tcPr>
            <w:tcW w:w="2445" w:type="dxa"/>
            <w:vAlign w:val="center"/>
          </w:tcPr>
          <w:p w14:paraId="3B99058B" w14:textId="129A9E58" w:rsidR="00CF32C3" w:rsidRPr="00226F9D" w:rsidRDefault="002F5A0F" w:rsidP="00B67DE6">
            <w:pPr>
              <w:spacing w:after="0" w:line="240" w:lineRule="auto"/>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Проценат</w:t>
            </w:r>
            <w:r w:rsidR="00CF32C3" w:rsidRPr="00226F9D">
              <w:rPr>
                <w:rFonts w:ascii="Times New Roman" w:eastAsia="Times New Roman" w:hAnsi="Times New Roman" w:cs="Times New Roman"/>
                <w:color w:val="000000" w:themeColor="text1"/>
                <w:kern w:val="0"/>
                <w:sz w:val="20"/>
                <w:szCs w:val="20"/>
                <w:lang w:val="sr-Cyrl-RS"/>
                <w14:ligatures w14:val="none"/>
              </w:rPr>
              <w:t xml:space="preserve"> ЛС чије Одлуке о буџету су (у потпуности) усклађене са смерницама </w:t>
            </w:r>
            <w:r w:rsidR="00CF32C3" w:rsidRPr="00226F9D">
              <w:rPr>
                <w:rFonts w:ascii="Times New Roman" w:eastAsia="Times New Roman" w:hAnsi="Times New Roman" w:cs="Times New Roman"/>
                <w:color w:val="000000" w:themeColor="text1"/>
                <w:kern w:val="0"/>
                <w:sz w:val="20"/>
                <w:szCs w:val="20"/>
                <w:lang w:val="sr-Cyrl-RS"/>
                <w14:ligatures w14:val="none"/>
              </w:rPr>
              <w:lastRenderedPageBreak/>
              <w:t xml:space="preserve">из годишњег Упутства за израду Одлуке о буџету локалних власти   </w:t>
            </w:r>
          </w:p>
        </w:tc>
        <w:tc>
          <w:tcPr>
            <w:tcW w:w="1333" w:type="dxa"/>
            <w:vAlign w:val="center"/>
          </w:tcPr>
          <w:p w14:paraId="78768088" w14:textId="4B8565F9" w:rsidR="00CF32C3" w:rsidRPr="00226F9D" w:rsidRDefault="00762864" w:rsidP="00090884">
            <w:pPr>
              <w:spacing w:after="0" w:line="240" w:lineRule="auto"/>
              <w:jc w:val="both"/>
              <w:rPr>
                <w:rFonts w:ascii="Times New Roman" w:eastAsia="Times New Roman" w:hAnsi="Times New Roman" w:cs="Times New Roman"/>
                <w:color w:val="000000" w:themeColor="text1"/>
                <w:kern w:val="0"/>
                <w:sz w:val="20"/>
                <w:szCs w:val="20"/>
                <w14:ligatures w14:val="none"/>
              </w:rPr>
            </w:pPr>
            <w:r w:rsidRPr="00226F9D">
              <w:rPr>
                <w:rFonts w:ascii="Times New Roman" w:eastAsia="Times New Roman" w:hAnsi="Times New Roman" w:cs="Times New Roman"/>
                <w:color w:val="000000" w:themeColor="text1"/>
                <w:kern w:val="0"/>
                <w:sz w:val="20"/>
                <w:szCs w:val="20"/>
                <w:lang w:val="sr-Cyrl-RS"/>
                <w14:ligatures w14:val="none"/>
              </w:rPr>
              <w:lastRenderedPageBreak/>
              <w:t>60%</w:t>
            </w:r>
            <w:r w:rsidR="008734F5" w:rsidRPr="00226F9D">
              <w:rPr>
                <w:rFonts w:ascii="Times New Roman" w:eastAsia="Times New Roman" w:hAnsi="Times New Roman" w:cs="Times New Roman"/>
                <w:color w:val="000000" w:themeColor="text1"/>
                <w:kern w:val="0"/>
                <w:sz w:val="20"/>
                <w:szCs w:val="20"/>
                <w:lang w:val="sr-Cyrl-RS"/>
                <w14:ligatures w14:val="none"/>
              </w:rPr>
              <w:t xml:space="preserve"> </w:t>
            </w:r>
            <w:r w:rsidR="00F32809" w:rsidRPr="00226F9D">
              <w:rPr>
                <w:rFonts w:ascii="Times New Roman" w:eastAsia="Times New Roman" w:hAnsi="Times New Roman" w:cs="Times New Roman"/>
                <w:color w:val="000000" w:themeColor="text1"/>
                <w:kern w:val="0"/>
                <w:sz w:val="20"/>
                <w:szCs w:val="20"/>
                <w14:ligatures w14:val="none"/>
              </w:rPr>
              <w:t>(2024)</w:t>
            </w:r>
          </w:p>
        </w:tc>
        <w:tc>
          <w:tcPr>
            <w:tcW w:w="1114" w:type="dxa"/>
            <w:vAlign w:val="center"/>
          </w:tcPr>
          <w:p w14:paraId="752DD5D8" w14:textId="486DE6AC" w:rsidR="00CF32C3" w:rsidRPr="00226F9D" w:rsidRDefault="00762864"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70%</w:t>
            </w:r>
          </w:p>
        </w:tc>
        <w:tc>
          <w:tcPr>
            <w:tcW w:w="1115" w:type="dxa"/>
            <w:vAlign w:val="center"/>
          </w:tcPr>
          <w:p w14:paraId="7A71A3CB" w14:textId="7475EDA9" w:rsidR="00CF32C3" w:rsidRPr="00226F9D" w:rsidRDefault="00762864"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78%</w:t>
            </w:r>
          </w:p>
        </w:tc>
        <w:tc>
          <w:tcPr>
            <w:tcW w:w="1114" w:type="dxa"/>
            <w:vAlign w:val="center"/>
          </w:tcPr>
          <w:p w14:paraId="74A5AB56" w14:textId="0AC2BF82" w:rsidR="00CF32C3" w:rsidRPr="00226F9D" w:rsidRDefault="00762864"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85%</w:t>
            </w:r>
          </w:p>
        </w:tc>
        <w:tc>
          <w:tcPr>
            <w:tcW w:w="1115" w:type="dxa"/>
            <w:vAlign w:val="center"/>
          </w:tcPr>
          <w:p w14:paraId="12AB078B" w14:textId="4F8E0A0C" w:rsidR="00CF32C3" w:rsidRPr="00226F9D" w:rsidRDefault="00762864"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90%</w:t>
            </w:r>
          </w:p>
        </w:tc>
        <w:tc>
          <w:tcPr>
            <w:tcW w:w="1115" w:type="dxa"/>
            <w:vAlign w:val="center"/>
          </w:tcPr>
          <w:p w14:paraId="464D185E" w14:textId="3618D6C9" w:rsidR="00CF32C3" w:rsidRPr="00226F9D" w:rsidRDefault="00762864"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93%</w:t>
            </w:r>
          </w:p>
        </w:tc>
      </w:tr>
      <w:tr w:rsidR="00CF32C3" w:rsidRPr="00226F9D" w14:paraId="5748F27C" w14:textId="77777777" w:rsidTr="00B67DE6">
        <w:trPr>
          <w:trHeight w:val="278"/>
          <w:jc w:val="center"/>
        </w:trPr>
        <w:tc>
          <w:tcPr>
            <w:tcW w:w="2445" w:type="dxa"/>
            <w:vAlign w:val="center"/>
          </w:tcPr>
          <w:p w14:paraId="77EF0F81" w14:textId="4AD581A5" w:rsidR="00CF32C3" w:rsidRPr="00226F9D" w:rsidRDefault="00CF32C3" w:rsidP="00B67DE6">
            <w:pPr>
              <w:spacing w:after="0" w:line="240" w:lineRule="auto"/>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Проценат ЛС за које су јавно доступни актуелни подаци о стању и кретањима локалних јавних финансија (кроз електронски портал за приказивање и праћење стања локалних буџета)</w:t>
            </w:r>
          </w:p>
        </w:tc>
        <w:tc>
          <w:tcPr>
            <w:tcW w:w="1333" w:type="dxa"/>
            <w:vAlign w:val="center"/>
          </w:tcPr>
          <w:p w14:paraId="2932B110" w14:textId="1EED89C8" w:rsidR="00CF32C3" w:rsidRPr="00226F9D" w:rsidRDefault="00CF32C3"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0 (2025)</w:t>
            </w:r>
          </w:p>
        </w:tc>
        <w:tc>
          <w:tcPr>
            <w:tcW w:w="1114" w:type="dxa"/>
            <w:vAlign w:val="center"/>
          </w:tcPr>
          <w:p w14:paraId="18BF8D8E" w14:textId="493CBAE8"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0</w:t>
            </w:r>
          </w:p>
        </w:tc>
        <w:tc>
          <w:tcPr>
            <w:tcW w:w="1115" w:type="dxa"/>
            <w:vAlign w:val="center"/>
          </w:tcPr>
          <w:p w14:paraId="07A632CB"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100%</w:t>
            </w:r>
          </w:p>
        </w:tc>
        <w:tc>
          <w:tcPr>
            <w:tcW w:w="1114" w:type="dxa"/>
            <w:vAlign w:val="center"/>
          </w:tcPr>
          <w:p w14:paraId="0DF73DB0"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100%</w:t>
            </w:r>
          </w:p>
        </w:tc>
        <w:tc>
          <w:tcPr>
            <w:tcW w:w="1115" w:type="dxa"/>
            <w:vAlign w:val="center"/>
          </w:tcPr>
          <w:p w14:paraId="6106354B"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100%</w:t>
            </w:r>
          </w:p>
        </w:tc>
        <w:tc>
          <w:tcPr>
            <w:tcW w:w="1115" w:type="dxa"/>
            <w:vAlign w:val="center"/>
          </w:tcPr>
          <w:p w14:paraId="46376C77"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100%</w:t>
            </w:r>
          </w:p>
        </w:tc>
      </w:tr>
      <w:tr w:rsidR="00CF32C3" w:rsidRPr="00226F9D" w14:paraId="2C6CA8BC" w14:textId="77777777" w:rsidTr="00B67DE6">
        <w:trPr>
          <w:trHeight w:val="278"/>
          <w:jc w:val="center"/>
        </w:trPr>
        <w:tc>
          <w:tcPr>
            <w:tcW w:w="2445" w:type="dxa"/>
            <w:vAlign w:val="center"/>
          </w:tcPr>
          <w:p w14:paraId="248B7669" w14:textId="77777777" w:rsidR="00CF32C3" w:rsidRPr="00226F9D" w:rsidRDefault="00CF32C3" w:rsidP="00B67DE6">
            <w:pPr>
              <w:spacing w:after="0" w:line="240" w:lineRule="auto"/>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Транспарентност јединица локалне самоуправе у области буџета</w:t>
            </w:r>
          </w:p>
        </w:tc>
        <w:tc>
          <w:tcPr>
            <w:tcW w:w="1333" w:type="dxa"/>
            <w:vAlign w:val="center"/>
          </w:tcPr>
          <w:p w14:paraId="154A5B2F" w14:textId="49A98645" w:rsidR="00CF32C3" w:rsidRPr="00226F9D" w:rsidRDefault="00671FF8"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Arial" w:hAnsi="Times New Roman" w:cs="Times New Roman"/>
                <w:kern w:val="0"/>
                <w:sz w:val="20"/>
                <w:szCs w:val="20"/>
                <w:lang w:val="sr-Cyrl-RS"/>
                <w14:ligatures w14:val="none"/>
              </w:rPr>
              <w:t>6</w:t>
            </w:r>
            <w:r w:rsidR="00B1317C" w:rsidRPr="00226F9D">
              <w:rPr>
                <w:rFonts w:ascii="Times New Roman" w:eastAsia="Arial" w:hAnsi="Times New Roman" w:cs="Times New Roman"/>
                <w:kern w:val="0"/>
                <w:sz w:val="20"/>
                <w:szCs w:val="20"/>
                <w:lang w:val="sr-Latn-RS"/>
                <w14:ligatures w14:val="none"/>
              </w:rPr>
              <w:t>3</w:t>
            </w:r>
            <w:r w:rsidRPr="00226F9D">
              <w:rPr>
                <w:rFonts w:ascii="Times New Roman" w:eastAsia="Arial" w:hAnsi="Times New Roman" w:cs="Times New Roman"/>
                <w:kern w:val="0"/>
                <w:sz w:val="20"/>
                <w:szCs w:val="20"/>
                <w:lang w:val="sr-Cyrl-RS"/>
                <w14:ligatures w14:val="none"/>
              </w:rPr>
              <w:t>,5%</w:t>
            </w:r>
            <w:r w:rsidR="001A1B84" w:rsidRPr="00226F9D">
              <w:rPr>
                <w:rFonts w:ascii="Times New Roman" w:eastAsia="Arial" w:hAnsi="Times New Roman" w:cs="Times New Roman"/>
                <w:kern w:val="0"/>
                <w:sz w:val="20"/>
                <w:szCs w:val="20"/>
                <w:lang w:val="sr-Cyrl-RS"/>
                <w14:ligatures w14:val="none"/>
              </w:rPr>
              <w:t xml:space="preserve"> </w:t>
            </w:r>
            <w:r w:rsidRPr="00226F9D">
              <w:rPr>
                <w:rFonts w:ascii="Times New Roman" w:eastAsia="Arial" w:hAnsi="Times New Roman" w:cs="Times New Roman"/>
                <w:kern w:val="0"/>
                <w:sz w:val="20"/>
                <w:szCs w:val="20"/>
                <w:lang w:val="sr-Cyrl-RS"/>
                <w14:ligatures w14:val="none"/>
              </w:rPr>
              <w:t>(2025)</w:t>
            </w:r>
            <w:r w:rsidR="00CF32C3" w:rsidRPr="00226F9D">
              <w:rPr>
                <w:rFonts w:ascii="Times New Roman" w:eastAsia="Times New Roman" w:hAnsi="Times New Roman" w:cs="Times New Roman"/>
                <w:kern w:val="0"/>
                <w:sz w:val="20"/>
                <w:szCs w:val="20"/>
                <w:lang w:val="sr-Cyrl-RS"/>
                <w14:ligatures w14:val="none"/>
              </w:rPr>
              <w:t xml:space="preserve"> </w:t>
            </w:r>
          </w:p>
        </w:tc>
        <w:tc>
          <w:tcPr>
            <w:tcW w:w="1114" w:type="dxa"/>
            <w:vAlign w:val="center"/>
          </w:tcPr>
          <w:p w14:paraId="6098E706" w14:textId="43134565" w:rsidR="00CF32C3" w:rsidRPr="00226F9D" w:rsidRDefault="0033399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w:t>
            </w:r>
          </w:p>
        </w:tc>
        <w:tc>
          <w:tcPr>
            <w:tcW w:w="1115" w:type="dxa"/>
            <w:vAlign w:val="center"/>
          </w:tcPr>
          <w:p w14:paraId="64E3BFEC" w14:textId="555A012B" w:rsidR="00CF32C3" w:rsidRPr="00226F9D" w:rsidRDefault="0033399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w:t>
            </w:r>
          </w:p>
        </w:tc>
        <w:tc>
          <w:tcPr>
            <w:tcW w:w="1114" w:type="dxa"/>
            <w:vAlign w:val="center"/>
          </w:tcPr>
          <w:p w14:paraId="1046AC69" w14:textId="029C54B3"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6</w:t>
            </w:r>
            <w:r w:rsidR="0033399F" w:rsidRPr="00226F9D">
              <w:rPr>
                <w:rFonts w:ascii="Times New Roman" w:eastAsia="Times New Roman" w:hAnsi="Times New Roman" w:cs="Times New Roman"/>
                <w:kern w:val="0"/>
                <w:sz w:val="20"/>
                <w:szCs w:val="20"/>
                <w:lang w:val="sr-Cyrl-RS"/>
                <w14:ligatures w14:val="none"/>
              </w:rPr>
              <w:t>7</w:t>
            </w:r>
            <w:r w:rsidRPr="00226F9D">
              <w:rPr>
                <w:rFonts w:ascii="Times New Roman" w:eastAsia="Times New Roman" w:hAnsi="Times New Roman" w:cs="Times New Roman"/>
                <w:kern w:val="0"/>
                <w:sz w:val="20"/>
                <w:szCs w:val="20"/>
                <w:lang w:val="sr-Cyrl-RS"/>
                <w14:ligatures w14:val="none"/>
              </w:rPr>
              <w:t>%</w:t>
            </w:r>
          </w:p>
        </w:tc>
        <w:tc>
          <w:tcPr>
            <w:tcW w:w="1115" w:type="dxa"/>
            <w:vAlign w:val="center"/>
          </w:tcPr>
          <w:p w14:paraId="0250EC4C" w14:textId="426A0DCD" w:rsidR="00CF32C3" w:rsidRPr="00226F9D" w:rsidRDefault="0033399F"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w:t>
            </w:r>
          </w:p>
        </w:tc>
        <w:tc>
          <w:tcPr>
            <w:tcW w:w="1115" w:type="dxa"/>
            <w:vAlign w:val="center"/>
          </w:tcPr>
          <w:p w14:paraId="7585E344"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70%</w:t>
            </w:r>
          </w:p>
        </w:tc>
      </w:tr>
    </w:tbl>
    <w:p w14:paraId="75C46156" w14:textId="77777777" w:rsidR="00A96FF4" w:rsidRPr="00226F9D" w:rsidRDefault="00A96FF4" w:rsidP="006B59F4">
      <w:pPr>
        <w:spacing w:after="0" w:line="240" w:lineRule="auto"/>
        <w:jc w:val="both"/>
        <w:rPr>
          <w:rFonts w:ascii="Times New Roman" w:eastAsia="Times New Roman" w:hAnsi="Times New Roman" w:cs="Times New Roman"/>
          <w:kern w:val="0"/>
          <w:lang w:val="sr-Latn-RS"/>
          <w14:ligatures w14:val="none"/>
        </w:rPr>
      </w:pPr>
    </w:p>
    <w:p w14:paraId="59E5F807" w14:textId="48394F02" w:rsidR="00A96FF4" w:rsidRPr="00226F9D" w:rsidRDefault="00A96FF4" w:rsidP="00090884">
      <w:pPr>
        <w:spacing w:after="0" w:line="240" w:lineRule="auto"/>
        <w:jc w:val="both"/>
        <w:rPr>
          <w:rFonts w:ascii="Times New Roman" w:eastAsia="Times New Roman" w:hAnsi="Times New Roman" w:cs="Times New Roman"/>
          <w:bCs/>
          <w:i/>
          <w:kern w:val="0"/>
          <w:sz w:val="22"/>
          <w:szCs w:val="22"/>
          <w:lang w:val="sr-Latn-RS"/>
          <w14:ligatures w14:val="none"/>
        </w:rPr>
      </w:pPr>
      <w:r w:rsidRPr="00226F9D">
        <w:rPr>
          <w:rFonts w:ascii="Times New Roman" w:eastAsia="Times New Roman" w:hAnsi="Times New Roman" w:cs="Times New Roman"/>
          <w:b/>
          <w:iCs/>
          <w:kern w:val="0"/>
          <w:lang w:val="sr-Cyrl-RS"/>
          <w14:ligatures w14:val="none"/>
        </w:rPr>
        <w:t>Анализа ефеката мера</w:t>
      </w:r>
      <w:r w:rsidR="00C63932" w:rsidRPr="00226F9D">
        <w:rPr>
          <w:rFonts w:ascii="Times New Roman" w:eastAsia="Times New Roman" w:hAnsi="Times New Roman" w:cs="Times New Roman"/>
          <w:b/>
          <w:iCs/>
          <w:kern w:val="0"/>
          <w:lang w:val="sr-Cyrl-RS"/>
          <w14:ligatures w14:val="none"/>
        </w:rPr>
        <w:t xml:space="preserve"> </w:t>
      </w:r>
    </w:p>
    <w:p w14:paraId="7B9C1183" w14:textId="77777777" w:rsidR="00FA6E6E" w:rsidRPr="00226F9D" w:rsidRDefault="00FA6E6E" w:rsidP="00090884">
      <w:pPr>
        <w:spacing w:after="0" w:line="240" w:lineRule="auto"/>
        <w:jc w:val="both"/>
        <w:rPr>
          <w:rFonts w:ascii="Times New Roman" w:eastAsia="Times New Roman" w:hAnsi="Times New Roman" w:cs="Times New Roman"/>
          <w:b/>
          <w:iCs/>
          <w:kern w:val="0"/>
          <w:lang w:val="sr-Latn-RS"/>
          <w14:ligatures w14:val="none"/>
        </w:rPr>
      </w:pPr>
    </w:p>
    <w:p w14:paraId="21D19FC6" w14:textId="6B9B574A" w:rsidR="001102F3" w:rsidRPr="00226F9D" w:rsidRDefault="00A96FF4" w:rsidP="001102F3">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 xml:space="preserve">У погледу економских ефеката, утицај мера </w:t>
      </w:r>
      <w:r w:rsidR="00FA17E4" w:rsidRPr="00226F9D">
        <w:rPr>
          <w:rFonts w:ascii="Times New Roman" w:eastAsia="Times New Roman" w:hAnsi="Times New Roman" w:cs="Times New Roman"/>
          <w:kern w:val="0"/>
          <w:lang w:val="sr-Cyrl-RS"/>
          <w14:ligatures w14:val="none"/>
        </w:rPr>
        <w:t xml:space="preserve">из обухвата ПЦ 2 </w:t>
      </w:r>
      <w:r w:rsidRPr="00226F9D">
        <w:rPr>
          <w:rFonts w:ascii="Times New Roman" w:eastAsia="Times New Roman" w:hAnsi="Times New Roman" w:cs="Times New Roman"/>
          <w:kern w:val="0"/>
          <w:lang w:val="sr-Cyrl-RS"/>
          <w14:ligatures w14:val="none"/>
        </w:rPr>
        <w:t>се може оценити као директан и позитиван,</w:t>
      </w:r>
      <w:r w:rsidR="008F22FD" w:rsidRPr="00226F9D">
        <w:rPr>
          <w:rFonts w:ascii="Times New Roman" w:eastAsia="Times New Roman" w:hAnsi="Times New Roman" w:cs="Times New Roman"/>
          <w:kern w:val="0"/>
          <w:lang w:val="sr-Cyrl-RS"/>
          <w14:ligatures w14:val="none"/>
        </w:rPr>
        <w:t xml:space="preserve"> непосредније кроз очекивани</w:t>
      </w:r>
      <w:r w:rsidR="008C14A5" w:rsidRPr="00226F9D">
        <w:rPr>
          <w:rFonts w:ascii="Times New Roman" w:eastAsia="Times New Roman" w:hAnsi="Times New Roman" w:cs="Times New Roman"/>
          <w:kern w:val="0"/>
          <w:lang w:val="sr-Cyrl-RS"/>
          <w14:ligatures w14:val="none"/>
        </w:rPr>
        <w:t xml:space="preserve"> раст и </w:t>
      </w:r>
      <w:r w:rsidR="00077E35" w:rsidRPr="00226F9D">
        <w:rPr>
          <w:rFonts w:ascii="Times New Roman" w:eastAsia="Times New Roman" w:hAnsi="Times New Roman" w:cs="Times New Roman"/>
          <w:kern w:val="0"/>
          <w:lang w:val="sr-Cyrl-RS"/>
          <w14:ligatures w14:val="none"/>
        </w:rPr>
        <w:t xml:space="preserve">бољу </w:t>
      </w:r>
      <w:r w:rsidR="008C14A5" w:rsidRPr="00226F9D">
        <w:rPr>
          <w:rFonts w:ascii="Times New Roman" w:eastAsia="Times New Roman" w:hAnsi="Times New Roman" w:cs="Times New Roman"/>
          <w:kern w:val="0"/>
          <w:lang w:val="sr-Cyrl-RS"/>
          <w14:ligatures w14:val="none"/>
        </w:rPr>
        <w:t>предвидивост јавних прихода</w:t>
      </w:r>
      <w:r w:rsidR="00054151" w:rsidRPr="00226F9D">
        <w:rPr>
          <w:rFonts w:ascii="Times New Roman" w:eastAsia="Times New Roman" w:hAnsi="Times New Roman" w:cs="Times New Roman"/>
          <w:kern w:val="0"/>
          <w:lang w:val="sr-Cyrl-RS"/>
          <w14:ligatures w14:val="none"/>
        </w:rPr>
        <w:t xml:space="preserve">, укључујући </w:t>
      </w:r>
      <w:r w:rsidR="008C14A5" w:rsidRPr="00226F9D">
        <w:rPr>
          <w:rFonts w:ascii="Times New Roman" w:eastAsia="Times New Roman" w:hAnsi="Times New Roman" w:cs="Times New Roman"/>
          <w:kern w:val="0"/>
          <w:lang w:val="sr-Cyrl-RS"/>
          <w14:ligatures w14:val="none"/>
        </w:rPr>
        <w:t>квалитетније, транспарентније и партиципативно планирање јавних финансија и везу са средњорочним и развојним планирањем</w:t>
      </w:r>
      <w:r w:rsidR="003D3E6D" w:rsidRPr="00226F9D">
        <w:rPr>
          <w:rFonts w:ascii="Times New Roman" w:eastAsia="Times New Roman" w:hAnsi="Times New Roman" w:cs="Times New Roman"/>
          <w:kern w:val="0"/>
          <w:lang w:val="sr-Cyrl-RS"/>
          <w14:ligatures w14:val="none"/>
        </w:rPr>
        <w:t xml:space="preserve">, а у </w:t>
      </w:r>
      <w:r w:rsidR="00345A38" w:rsidRPr="00226F9D">
        <w:rPr>
          <w:rFonts w:ascii="Times New Roman" w:eastAsia="Times New Roman" w:hAnsi="Times New Roman" w:cs="Times New Roman"/>
          <w:kern w:val="0"/>
          <w:lang w:val="sr-Cyrl-RS"/>
          <w14:ligatures w14:val="none"/>
        </w:rPr>
        <w:t>шире</w:t>
      </w:r>
      <w:r w:rsidR="00333A88" w:rsidRPr="00226F9D">
        <w:rPr>
          <w:rFonts w:ascii="Times New Roman" w:eastAsia="Times New Roman" w:hAnsi="Times New Roman" w:cs="Times New Roman"/>
          <w:kern w:val="0"/>
          <w:lang w:val="sr-Cyrl-RS"/>
          <w14:ligatures w14:val="none"/>
        </w:rPr>
        <w:t xml:space="preserve">м смислу и кроз укупно унапређење </w:t>
      </w:r>
      <w:r w:rsidR="008C14A5" w:rsidRPr="00226F9D">
        <w:rPr>
          <w:rFonts w:ascii="Times New Roman" w:eastAsia="Times New Roman" w:hAnsi="Times New Roman" w:cs="Times New Roman"/>
          <w:kern w:val="0"/>
          <w:lang w:val="sr-Cyrl-RS"/>
          <w14:ligatures w14:val="none"/>
        </w:rPr>
        <w:t>инвестицион</w:t>
      </w:r>
      <w:r w:rsidR="00333A88" w:rsidRPr="00226F9D">
        <w:rPr>
          <w:rFonts w:ascii="Times New Roman" w:eastAsia="Times New Roman" w:hAnsi="Times New Roman" w:cs="Times New Roman"/>
          <w:kern w:val="0"/>
          <w:lang w:val="sr-Cyrl-RS"/>
          <w14:ligatures w14:val="none"/>
        </w:rPr>
        <w:t>е</w:t>
      </w:r>
      <w:r w:rsidR="008C14A5" w:rsidRPr="00226F9D">
        <w:rPr>
          <w:rFonts w:ascii="Times New Roman" w:eastAsia="Times New Roman" w:hAnsi="Times New Roman" w:cs="Times New Roman"/>
          <w:kern w:val="0"/>
          <w:lang w:val="sr-Cyrl-RS"/>
          <w14:ligatures w14:val="none"/>
        </w:rPr>
        <w:t xml:space="preserve"> политик</w:t>
      </w:r>
      <w:r w:rsidR="00333A88" w:rsidRPr="00226F9D">
        <w:rPr>
          <w:rFonts w:ascii="Times New Roman" w:eastAsia="Times New Roman" w:hAnsi="Times New Roman" w:cs="Times New Roman"/>
          <w:kern w:val="0"/>
          <w:lang w:val="sr-Cyrl-RS"/>
          <w14:ligatures w14:val="none"/>
        </w:rPr>
        <w:t>е</w:t>
      </w:r>
      <w:r w:rsidR="008C14A5" w:rsidRPr="00226F9D">
        <w:rPr>
          <w:rFonts w:ascii="Times New Roman" w:eastAsia="Times New Roman" w:hAnsi="Times New Roman" w:cs="Times New Roman"/>
          <w:kern w:val="0"/>
          <w:lang w:val="sr-Cyrl-RS"/>
          <w14:ligatures w14:val="none"/>
        </w:rPr>
        <w:t xml:space="preserve"> и </w:t>
      </w:r>
      <w:r w:rsidR="007E16A6" w:rsidRPr="00226F9D">
        <w:rPr>
          <w:rFonts w:ascii="Times New Roman" w:eastAsia="Times New Roman" w:hAnsi="Times New Roman" w:cs="Times New Roman"/>
          <w:kern w:val="0"/>
          <w:lang w:val="sr-Cyrl-RS"/>
          <w14:ligatures w14:val="none"/>
        </w:rPr>
        <w:t xml:space="preserve">допринос </w:t>
      </w:r>
      <w:r w:rsidR="008C14A5" w:rsidRPr="00226F9D">
        <w:rPr>
          <w:rFonts w:ascii="Times New Roman" w:eastAsia="Times New Roman" w:hAnsi="Times New Roman" w:cs="Times New Roman"/>
          <w:kern w:val="0"/>
          <w:lang w:val="sr-Cyrl-RS"/>
          <w14:ligatures w14:val="none"/>
        </w:rPr>
        <w:t>генерисањ</w:t>
      </w:r>
      <w:r w:rsidR="007E16A6" w:rsidRPr="00226F9D">
        <w:rPr>
          <w:rFonts w:ascii="Times New Roman" w:eastAsia="Times New Roman" w:hAnsi="Times New Roman" w:cs="Times New Roman"/>
          <w:kern w:val="0"/>
          <w:lang w:val="sr-Cyrl-RS"/>
          <w14:ligatures w14:val="none"/>
        </w:rPr>
        <w:t>у</w:t>
      </w:r>
      <w:r w:rsidR="008C14A5" w:rsidRPr="00226F9D">
        <w:rPr>
          <w:rFonts w:ascii="Times New Roman" w:eastAsia="Times New Roman" w:hAnsi="Times New Roman" w:cs="Times New Roman"/>
          <w:kern w:val="0"/>
          <w:lang w:val="sr-Cyrl-RS"/>
          <w14:ligatures w14:val="none"/>
        </w:rPr>
        <w:t xml:space="preserve"> радних места.</w:t>
      </w:r>
      <w:r w:rsidR="005B4BEE" w:rsidRPr="00226F9D">
        <w:rPr>
          <w:rFonts w:ascii="Times New Roman" w:hAnsi="Times New Roman" w:cs="Times New Roman"/>
          <w:lang w:val="sr-Cyrl-RS"/>
        </w:rPr>
        <w:t xml:space="preserve"> </w:t>
      </w:r>
      <w:r w:rsidR="005B4BEE" w:rsidRPr="00226F9D">
        <w:rPr>
          <w:rFonts w:ascii="Times New Roman" w:eastAsia="Times New Roman" w:hAnsi="Times New Roman" w:cs="Times New Roman"/>
          <w:kern w:val="0"/>
          <w:lang w:val="sr-Cyrl-RS"/>
          <w14:ligatures w14:val="none"/>
        </w:rPr>
        <w:t>Такође, директан утицај на друштво, као и управљачки ефекти могу се оценити као позитивни</w:t>
      </w:r>
      <w:r w:rsidR="006224C2" w:rsidRPr="00226F9D">
        <w:rPr>
          <w:rFonts w:ascii="Times New Roman" w:eastAsia="Times New Roman" w:hAnsi="Times New Roman" w:cs="Times New Roman"/>
          <w:kern w:val="0"/>
          <w:lang w:val="sr-Cyrl-RS"/>
          <w14:ligatures w14:val="none"/>
        </w:rPr>
        <w:t>,</w:t>
      </w:r>
      <w:r w:rsidR="005B4BEE" w:rsidRPr="00226F9D">
        <w:rPr>
          <w:rFonts w:ascii="Times New Roman" w:eastAsia="Times New Roman" w:hAnsi="Times New Roman" w:cs="Times New Roman"/>
          <w:kern w:val="0"/>
          <w:lang w:val="sr-Cyrl-RS"/>
          <w14:ligatures w14:val="none"/>
        </w:rPr>
        <w:t xml:space="preserve"> јер </w:t>
      </w:r>
      <w:r w:rsidR="006224C2" w:rsidRPr="00226F9D">
        <w:rPr>
          <w:rFonts w:ascii="Times New Roman" w:eastAsia="Times New Roman" w:hAnsi="Times New Roman" w:cs="Times New Roman"/>
          <w:kern w:val="0"/>
          <w:lang w:val="sr-Cyrl-RS"/>
          <w14:ligatures w14:val="none"/>
        </w:rPr>
        <w:t xml:space="preserve">су мере оријентисане на </w:t>
      </w:r>
      <w:r w:rsidR="005B4BEE" w:rsidRPr="00226F9D">
        <w:rPr>
          <w:rFonts w:ascii="Times New Roman" w:eastAsia="Times New Roman" w:hAnsi="Times New Roman" w:cs="Times New Roman"/>
          <w:kern w:val="0"/>
          <w:lang w:val="sr-Cyrl-RS"/>
          <w14:ligatures w14:val="none"/>
        </w:rPr>
        <w:t>јачањ</w:t>
      </w:r>
      <w:r w:rsidR="006224C2" w:rsidRPr="00226F9D">
        <w:rPr>
          <w:rFonts w:ascii="Times New Roman" w:eastAsia="Times New Roman" w:hAnsi="Times New Roman" w:cs="Times New Roman"/>
          <w:kern w:val="0"/>
          <w:lang w:val="sr-Cyrl-RS"/>
          <w14:ligatures w14:val="none"/>
        </w:rPr>
        <w:t>е</w:t>
      </w:r>
      <w:r w:rsidR="005B4BEE" w:rsidRPr="00226F9D">
        <w:rPr>
          <w:rFonts w:ascii="Times New Roman" w:eastAsia="Times New Roman" w:hAnsi="Times New Roman" w:cs="Times New Roman"/>
          <w:kern w:val="0"/>
          <w:lang w:val="sr-Cyrl-RS"/>
          <w14:ligatures w14:val="none"/>
        </w:rPr>
        <w:t xml:space="preserve"> одговорности</w:t>
      </w:r>
      <w:r w:rsidR="00AF5E5E" w:rsidRPr="00226F9D">
        <w:rPr>
          <w:rFonts w:ascii="Times New Roman" w:eastAsia="Times New Roman" w:hAnsi="Times New Roman" w:cs="Times New Roman"/>
          <w:kern w:val="0"/>
          <w:lang w:val="sr-Cyrl-RS"/>
          <w14:ligatures w14:val="none"/>
        </w:rPr>
        <w:t>,</w:t>
      </w:r>
      <w:r w:rsidR="005B4BEE" w:rsidRPr="00226F9D">
        <w:rPr>
          <w:rFonts w:ascii="Times New Roman" w:eastAsia="Times New Roman" w:hAnsi="Times New Roman" w:cs="Times New Roman"/>
          <w:kern w:val="0"/>
          <w:lang w:val="sr-Cyrl-RS"/>
          <w14:ligatures w14:val="none"/>
        </w:rPr>
        <w:t xml:space="preserve"> транспарентности</w:t>
      </w:r>
      <w:r w:rsidR="00AF5E5E" w:rsidRPr="00226F9D">
        <w:rPr>
          <w:rFonts w:ascii="Times New Roman" w:eastAsia="Times New Roman" w:hAnsi="Times New Roman" w:cs="Times New Roman"/>
          <w:kern w:val="0"/>
          <w:lang w:val="sr-Cyrl-RS"/>
          <w14:ligatures w14:val="none"/>
        </w:rPr>
        <w:t xml:space="preserve"> и </w:t>
      </w:r>
      <w:r w:rsidR="005B4BEE" w:rsidRPr="00226F9D">
        <w:rPr>
          <w:rFonts w:ascii="Times New Roman" w:eastAsia="Times New Roman" w:hAnsi="Times New Roman" w:cs="Times New Roman"/>
          <w:kern w:val="0"/>
          <w:lang w:val="sr-Cyrl-RS"/>
          <w14:ligatures w14:val="none"/>
        </w:rPr>
        <w:t xml:space="preserve">равноправности. Позитивни индиректни ефекти, нарочито у погледу </w:t>
      </w:r>
      <w:r w:rsidR="00123849" w:rsidRPr="00226F9D">
        <w:rPr>
          <w:rFonts w:ascii="Times New Roman" w:eastAsia="Times New Roman" w:hAnsi="Times New Roman" w:cs="Times New Roman"/>
          <w:kern w:val="0"/>
          <w:lang w:val="sr-Cyrl-RS"/>
          <w14:ligatures w14:val="none"/>
        </w:rPr>
        <w:t xml:space="preserve">смањења </w:t>
      </w:r>
      <w:r w:rsidR="006E49FE" w:rsidRPr="00226F9D">
        <w:rPr>
          <w:rFonts w:ascii="Times New Roman" w:eastAsia="Times New Roman" w:hAnsi="Times New Roman" w:cs="Times New Roman"/>
          <w:kern w:val="0"/>
          <w:lang w:val="sr-Cyrl-RS"/>
          <w14:ligatures w14:val="none"/>
        </w:rPr>
        <w:t>територијалних</w:t>
      </w:r>
      <w:r w:rsidR="005B4BEE" w:rsidRPr="00226F9D">
        <w:rPr>
          <w:rFonts w:ascii="Times New Roman" w:eastAsia="Times New Roman" w:hAnsi="Times New Roman" w:cs="Times New Roman"/>
          <w:kern w:val="0"/>
          <w:lang w:val="sr-Cyrl-RS"/>
          <w14:ligatures w14:val="none"/>
        </w:rPr>
        <w:t xml:space="preserve"> диспаритета, очекују се </w:t>
      </w:r>
      <w:r w:rsidR="00171003" w:rsidRPr="00226F9D">
        <w:rPr>
          <w:rFonts w:ascii="Times New Roman" w:eastAsia="Times New Roman" w:hAnsi="Times New Roman" w:cs="Times New Roman"/>
          <w:kern w:val="0"/>
          <w:lang w:val="sr-Cyrl-RS"/>
          <w14:ligatures w14:val="none"/>
        </w:rPr>
        <w:t xml:space="preserve">као резултати планираног </w:t>
      </w:r>
      <w:r w:rsidR="001F7E11" w:rsidRPr="00226F9D">
        <w:rPr>
          <w:rFonts w:ascii="Times New Roman" w:eastAsia="Times New Roman" w:hAnsi="Times New Roman" w:cs="Times New Roman"/>
          <w:kern w:val="0"/>
          <w:lang w:val="sr-Cyrl-RS"/>
          <w14:ligatures w14:val="none"/>
        </w:rPr>
        <w:t>рад</w:t>
      </w:r>
      <w:r w:rsidR="00171003" w:rsidRPr="00226F9D">
        <w:rPr>
          <w:rFonts w:ascii="Times New Roman" w:eastAsia="Times New Roman" w:hAnsi="Times New Roman" w:cs="Times New Roman"/>
          <w:kern w:val="0"/>
          <w:lang w:val="sr-Cyrl-RS"/>
          <w14:ligatures w14:val="none"/>
        </w:rPr>
        <w:t xml:space="preserve">а </w:t>
      </w:r>
      <w:r w:rsidR="001F7E11" w:rsidRPr="00226F9D">
        <w:rPr>
          <w:rFonts w:ascii="Times New Roman" w:eastAsia="Times New Roman" w:hAnsi="Times New Roman" w:cs="Times New Roman"/>
          <w:kern w:val="0"/>
          <w:lang w:val="sr-Cyrl-RS"/>
          <w14:ligatures w14:val="none"/>
        </w:rPr>
        <w:t>на унапређивању методологије за категоризацију развијености ЛС</w:t>
      </w:r>
      <w:r w:rsidR="008A1528" w:rsidRPr="00226F9D">
        <w:rPr>
          <w:rFonts w:ascii="Times New Roman" w:eastAsia="Times New Roman" w:hAnsi="Times New Roman" w:cs="Times New Roman"/>
          <w:kern w:val="0"/>
          <w:lang w:val="sr-Cyrl-RS"/>
          <w14:ligatures w14:val="none"/>
        </w:rPr>
        <w:t xml:space="preserve"> и усмерењу ка остваривању </w:t>
      </w:r>
      <w:r w:rsidR="007F1456" w:rsidRPr="00226F9D">
        <w:rPr>
          <w:rFonts w:ascii="Times New Roman" w:eastAsia="Times New Roman" w:hAnsi="Times New Roman" w:cs="Times New Roman"/>
          <w:kern w:val="0"/>
          <w:lang w:val="sr-Cyrl-RS"/>
          <w14:ligatures w14:val="none"/>
        </w:rPr>
        <w:t>хоризонталног финансијског баланса</w:t>
      </w:r>
      <w:r w:rsidR="005B4BEE" w:rsidRPr="00226F9D">
        <w:rPr>
          <w:rFonts w:ascii="Times New Roman" w:eastAsia="Times New Roman" w:hAnsi="Times New Roman" w:cs="Times New Roman"/>
          <w:kern w:val="0"/>
          <w:lang w:val="sr-Cyrl-RS"/>
          <w14:ligatures w14:val="none"/>
        </w:rPr>
        <w:t>. У погледу утицаја на животну средину, позитивне ефекте треба очекивати кроз стратешко планирање и реализацију инвестиција у зелену инфраструктуру.</w:t>
      </w:r>
    </w:p>
    <w:p w14:paraId="383D9C98" w14:textId="77777777" w:rsidR="00406DD4" w:rsidRPr="00226F9D" w:rsidRDefault="00406DD4" w:rsidP="001102F3">
      <w:pPr>
        <w:spacing w:after="0" w:line="240" w:lineRule="auto"/>
        <w:jc w:val="both"/>
        <w:rPr>
          <w:rFonts w:ascii="Times New Roman" w:eastAsia="Times New Roman" w:hAnsi="Times New Roman" w:cs="Times New Roman"/>
          <w:kern w:val="0"/>
          <w:lang w:val="sr-Cyrl-RS"/>
          <w14:ligatures w14:val="none"/>
        </w:rPr>
      </w:pPr>
    </w:p>
    <w:p w14:paraId="66DCA447" w14:textId="1439C817" w:rsidR="00CF32C3" w:rsidRPr="00226F9D" w:rsidRDefault="002D570F" w:rsidP="005B0999">
      <w:pPr>
        <w:pStyle w:val="TOCHeading"/>
        <w:rPr>
          <w:rFonts w:ascii="Times New Roman" w:hAnsi="Times New Roman" w:cs="Times New Roman"/>
        </w:rPr>
      </w:pPr>
      <w:bookmarkStart w:id="32" w:name="_Toc77068880"/>
      <w:r w:rsidRPr="00226F9D">
        <w:rPr>
          <w:rFonts w:ascii="Times New Roman" w:hAnsi="Times New Roman" w:cs="Times New Roman"/>
        </w:rPr>
        <w:t xml:space="preserve">Посебни циљ 3: Унапређена организација и капацитети локалне </w:t>
      </w:r>
      <w:bookmarkEnd w:id="32"/>
      <w:r w:rsidRPr="00226F9D">
        <w:rPr>
          <w:rFonts w:ascii="Times New Roman" w:hAnsi="Times New Roman" w:cs="Times New Roman"/>
        </w:rPr>
        <w:t>управе</w:t>
      </w:r>
    </w:p>
    <w:p w14:paraId="749A795D" w14:textId="77777777" w:rsidR="00CF32C3" w:rsidRPr="00226F9D" w:rsidRDefault="00CF32C3" w:rsidP="00090884">
      <w:pPr>
        <w:spacing w:after="0" w:line="240" w:lineRule="auto"/>
        <w:jc w:val="both"/>
        <w:rPr>
          <w:rFonts w:ascii="Times New Roman" w:eastAsia="Arial" w:hAnsi="Times New Roman" w:cs="Times New Roman"/>
          <w:lang w:val="sr-Cyrl-RS"/>
        </w:rPr>
      </w:pPr>
    </w:p>
    <w:p w14:paraId="24F21B10" w14:textId="6A403B43" w:rsidR="004260B4" w:rsidRPr="00226F9D" w:rsidRDefault="004260B4" w:rsidP="00090884">
      <w:pPr>
        <w:spacing w:after="0" w:line="240" w:lineRule="auto"/>
        <w:jc w:val="both"/>
        <w:rPr>
          <w:rFonts w:ascii="Times New Roman" w:eastAsia="Arial" w:hAnsi="Times New Roman" w:cs="Times New Roman"/>
          <w:color w:val="000000" w:themeColor="text1"/>
          <w:kern w:val="0"/>
          <w:lang w:val="sr-Cyrl-RS" w:eastAsia="de-CH"/>
          <w14:ligatures w14:val="none"/>
        </w:rPr>
      </w:pPr>
      <w:r w:rsidRPr="00226F9D">
        <w:rPr>
          <w:rFonts w:ascii="Times New Roman" w:eastAsia="Arial" w:hAnsi="Times New Roman" w:cs="Times New Roman"/>
          <w:color w:val="000000" w:themeColor="text1"/>
          <w:kern w:val="0"/>
          <w:lang w:val="sr-Cyrl-RS" w:eastAsia="de-CH"/>
          <w14:ligatures w14:val="none"/>
        </w:rPr>
        <w:t>У наставку реформе система локалне самоуправе неопходно је свеобухватно јачање институционалних и кадровских капацитета локалних самоуправа, као предуслова за њихово ефикасно функционисање и активно учешће у процесима националног развоја и европских интеграција. Кључни приоритети обухватају даљи развој система управљања људским ресурсима заснованог на компетенцијама, унапређење стручног усавршавања запослених и изградњу одрживог и транспарентног система плата. На овај начин постављају се темељи професионализације и модернизације локалних управа, чиме се обезбеђује да оне буду стабилни, поуздани и ефикасни носиоци јавних послова.</w:t>
      </w:r>
    </w:p>
    <w:p w14:paraId="39DFE7D8" w14:textId="77777777" w:rsidR="004260B4" w:rsidRPr="00226F9D" w:rsidRDefault="004260B4" w:rsidP="00090884">
      <w:pPr>
        <w:spacing w:after="0" w:line="240" w:lineRule="auto"/>
        <w:jc w:val="both"/>
        <w:rPr>
          <w:rFonts w:ascii="Times New Roman" w:eastAsia="Arial" w:hAnsi="Times New Roman" w:cs="Times New Roman"/>
          <w:color w:val="000000" w:themeColor="text1"/>
          <w:kern w:val="0"/>
          <w:lang w:val="sr-Cyrl-RS" w:eastAsia="de-CH"/>
          <w14:ligatures w14:val="none"/>
        </w:rPr>
      </w:pPr>
    </w:p>
    <w:p w14:paraId="7704F7F2" w14:textId="5A09DE65" w:rsidR="004260B4" w:rsidRPr="00226F9D" w:rsidRDefault="004260B4" w:rsidP="00090884">
      <w:pPr>
        <w:spacing w:after="0" w:line="240" w:lineRule="auto"/>
        <w:jc w:val="both"/>
        <w:rPr>
          <w:rFonts w:ascii="Times New Roman" w:eastAsia="Arial" w:hAnsi="Times New Roman" w:cs="Times New Roman"/>
          <w:color w:val="000000" w:themeColor="text1"/>
          <w:kern w:val="0"/>
          <w:lang w:val="sr-Cyrl-RS" w:eastAsia="de-CH"/>
          <w14:ligatures w14:val="none"/>
        </w:rPr>
      </w:pPr>
      <w:r w:rsidRPr="00226F9D">
        <w:rPr>
          <w:rFonts w:ascii="Times New Roman" w:eastAsia="Arial" w:hAnsi="Times New Roman" w:cs="Times New Roman"/>
          <w:color w:val="000000" w:themeColor="text1"/>
          <w:kern w:val="0"/>
          <w:lang w:val="sr-Cyrl-RS" w:eastAsia="de-CH"/>
          <w14:ligatures w14:val="none"/>
        </w:rPr>
        <w:t>Поред тога, значајан део реформе треба да буде усмерен на унапређење система локалног развојног планирања, спровођење планских докумената и интеграцију циљева одрживог развоја, како би локалне самоуправе биле у стању да систематски управљају својим развојем и доприносе спровођењу националних и глобалних агенди. Истовремено, развој капацитета за примену европског правног оквира и кохезионе политике постављен је као приоритет, са циљем да се градови и општине оспособе за коришћење европских фондова и примену интегрисаних територијалних приступа.</w:t>
      </w:r>
    </w:p>
    <w:p w14:paraId="387AFE6D" w14:textId="77777777" w:rsidR="00B6539D" w:rsidRPr="00226F9D" w:rsidRDefault="00B6539D" w:rsidP="00090884">
      <w:pPr>
        <w:spacing w:after="0" w:line="240" w:lineRule="auto"/>
        <w:jc w:val="both"/>
        <w:rPr>
          <w:rFonts w:ascii="Times New Roman" w:eastAsia="Arial" w:hAnsi="Times New Roman" w:cs="Times New Roman"/>
          <w:color w:val="000000" w:themeColor="text1"/>
          <w:kern w:val="0"/>
          <w:lang w:val="sr-Cyrl-RS" w:eastAsia="de-CH"/>
          <w14:ligatures w14:val="none"/>
        </w:rPr>
      </w:pPr>
    </w:p>
    <w:p w14:paraId="14A8F587" w14:textId="3EF2495E" w:rsidR="004260B4" w:rsidRPr="00226F9D" w:rsidRDefault="007B65B8" w:rsidP="00090884">
      <w:pPr>
        <w:spacing w:after="0" w:line="240" w:lineRule="auto"/>
        <w:jc w:val="both"/>
        <w:rPr>
          <w:rFonts w:ascii="Times New Roman" w:eastAsia="Arial" w:hAnsi="Times New Roman" w:cs="Times New Roman"/>
          <w:color w:val="000000" w:themeColor="text1"/>
          <w:kern w:val="0"/>
          <w:lang w:val="sr-Cyrl-RS" w:eastAsia="de-CH"/>
          <w14:ligatures w14:val="none"/>
        </w:rPr>
      </w:pPr>
      <w:r w:rsidRPr="00226F9D">
        <w:rPr>
          <w:rFonts w:ascii="Times New Roman" w:eastAsia="Arial" w:hAnsi="Times New Roman" w:cs="Times New Roman"/>
          <w:color w:val="000000" w:themeColor="text1"/>
          <w:kern w:val="0"/>
          <w:lang w:val="sr-Cyrl-RS" w:eastAsia="de-CH"/>
          <w14:ligatures w14:val="none"/>
        </w:rPr>
        <w:t>Основн</w:t>
      </w:r>
      <w:r w:rsidR="00B72B84" w:rsidRPr="00226F9D">
        <w:rPr>
          <w:rFonts w:ascii="Times New Roman" w:eastAsia="Arial" w:hAnsi="Times New Roman" w:cs="Times New Roman"/>
          <w:color w:val="000000" w:themeColor="text1"/>
          <w:kern w:val="0"/>
          <w:lang w:val="sr-Cyrl-RS" w:eastAsia="de-CH"/>
          <w14:ligatures w14:val="none"/>
        </w:rPr>
        <w:t>а намера</w:t>
      </w:r>
      <w:r w:rsidRPr="00226F9D">
        <w:rPr>
          <w:rFonts w:ascii="Times New Roman" w:eastAsia="Arial" w:hAnsi="Times New Roman" w:cs="Times New Roman"/>
          <w:color w:val="000000" w:themeColor="text1"/>
          <w:kern w:val="0"/>
          <w:lang w:val="sr-Cyrl-RS" w:eastAsia="de-CH"/>
          <w14:ligatures w14:val="none"/>
        </w:rPr>
        <w:t xml:space="preserve"> јесте </w:t>
      </w:r>
      <w:r w:rsidR="004260B4" w:rsidRPr="00226F9D">
        <w:rPr>
          <w:rFonts w:ascii="Times New Roman" w:eastAsia="Arial" w:hAnsi="Times New Roman" w:cs="Times New Roman"/>
          <w:color w:val="000000" w:themeColor="text1"/>
          <w:kern w:val="0"/>
          <w:lang w:val="sr-Cyrl-RS" w:eastAsia="de-CH"/>
          <w14:ligatures w14:val="none"/>
        </w:rPr>
        <w:t xml:space="preserve">да </w:t>
      </w:r>
      <w:r w:rsidR="00150DD8" w:rsidRPr="00226F9D">
        <w:rPr>
          <w:rFonts w:ascii="Times New Roman" w:eastAsia="Arial" w:hAnsi="Times New Roman" w:cs="Times New Roman"/>
          <w:color w:val="000000" w:themeColor="text1"/>
          <w:kern w:val="0"/>
          <w:lang w:val="sr-Cyrl-RS" w:eastAsia="de-CH"/>
          <w14:ligatures w14:val="none"/>
        </w:rPr>
        <w:t xml:space="preserve">се </w:t>
      </w:r>
      <w:r w:rsidR="00D00E04" w:rsidRPr="00226F9D">
        <w:rPr>
          <w:rFonts w:ascii="Times New Roman" w:eastAsia="Arial" w:hAnsi="Times New Roman" w:cs="Times New Roman"/>
          <w:color w:val="000000" w:themeColor="text1"/>
          <w:kern w:val="0"/>
          <w:lang w:val="sr-Cyrl-RS" w:eastAsia="de-CH"/>
          <w14:ligatures w14:val="none"/>
        </w:rPr>
        <w:t>настави изградња</w:t>
      </w:r>
      <w:r w:rsidR="004260B4" w:rsidRPr="00226F9D">
        <w:rPr>
          <w:rFonts w:ascii="Times New Roman" w:eastAsia="Arial" w:hAnsi="Times New Roman" w:cs="Times New Roman"/>
          <w:color w:val="000000" w:themeColor="text1"/>
          <w:kern w:val="0"/>
          <w:lang w:val="sr-Cyrl-RS" w:eastAsia="de-CH"/>
          <w14:ligatures w14:val="none"/>
        </w:rPr>
        <w:t xml:space="preserve"> локалн</w:t>
      </w:r>
      <w:r w:rsidR="00D00E04" w:rsidRPr="00226F9D">
        <w:rPr>
          <w:rFonts w:ascii="Times New Roman" w:eastAsia="Arial" w:hAnsi="Times New Roman" w:cs="Times New Roman"/>
          <w:color w:val="000000" w:themeColor="text1"/>
          <w:kern w:val="0"/>
          <w:lang w:val="sr-Cyrl-RS" w:eastAsia="de-CH"/>
          <w14:ligatures w14:val="none"/>
        </w:rPr>
        <w:t>е</w:t>
      </w:r>
      <w:r w:rsidR="004260B4" w:rsidRPr="00226F9D">
        <w:rPr>
          <w:rFonts w:ascii="Times New Roman" w:eastAsia="Arial" w:hAnsi="Times New Roman" w:cs="Times New Roman"/>
          <w:color w:val="000000" w:themeColor="text1"/>
          <w:kern w:val="0"/>
          <w:lang w:val="sr-Cyrl-RS" w:eastAsia="de-CH"/>
          <w14:ligatures w14:val="none"/>
        </w:rPr>
        <w:t xml:space="preserve"> управ</w:t>
      </w:r>
      <w:r w:rsidR="00D00E04" w:rsidRPr="00226F9D">
        <w:rPr>
          <w:rFonts w:ascii="Times New Roman" w:eastAsia="Arial" w:hAnsi="Times New Roman" w:cs="Times New Roman"/>
          <w:color w:val="000000" w:themeColor="text1"/>
          <w:kern w:val="0"/>
          <w:lang w:val="sr-Cyrl-RS" w:eastAsia="de-CH"/>
          <w14:ligatures w14:val="none"/>
        </w:rPr>
        <w:t>е</w:t>
      </w:r>
      <w:r w:rsidR="004260B4" w:rsidRPr="00226F9D">
        <w:rPr>
          <w:rFonts w:ascii="Times New Roman" w:eastAsia="Arial" w:hAnsi="Times New Roman" w:cs="Times New Roman"/>
          <w:color w:val="000000" w:themeColor="text1"/>
          <w:kern w:val="0"/>
          <w:lang w:val="sr-Cyrl-RS" w:eastAsia="de-CH"/>
          <w14:ligatures w14:val="none"/>
        </w:rPr>
        <w:t xml:space="preserve"> која је професионална, компетентна и мотивисана, способна да планира и реализује сложене развојне политике, пружа услуге високог квалитета грађанима и активно учествује у обликовању националних и европских процеса. На тај начин, локални ниво постаје носилац модернизације јавне управе и гарант одрживог и равномерног развоја</w:t>
      </w:r>
    </w:p>
    <w:p w14:paraId="04261D77" w14:textId="77777777" w:rsidR="004260B4" w:rsidRPr="00226F9D" w:rsidRDefault="004260B4" w:rsidP="00090884">
      <w:pPr>
        <w:spacing w:after="0" w:line="240" w:lineRule="auto"/>
        <w:jc w:val="both"/>
        <w:rPr>
          <w:rFonts w:ascii="Times New Roman" w:eastAsia="Times New Roman" w:hAnsi="Times New Roman" w:cs="Times New Roman"/>
          <w:color w:val="000000" w:themeColor="text1"/>
          <w:kern w:val="0"/>
          <w:lang w:val="sr-Cyrl-RS" w:eastAsia="de-CH"/>
          <w14:ligatures w14:val="none"/>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956"/>
        <w:gridCol w:w="1519"/>
        <w:gridCol w:w="1210"/>
        <w:gridCol w:w="1210"/>
        <w:gridCol w:w="1210"/>
        <w:gridCol w:w="1210"/>
        <w:gridCol w:w="1307"/>
      </w:tblGrid>
      <w:tr w:rsidR="00705031" w:rsidRPr="00226F9D" w14:paraId="329CD57E" w14:textId="77777777" w:rsidTr="00B67DE6">
        <w:trPr>
          <w:tblHeader/>
        </w:trPr>
        <w:tc>
          <w:tcPr>
            <w:tcW w:w="1016" w:type="pct"/>
            <w:shd w:val="clear" w:color="auto" w:fill="FFFF00"/>
            <w:vAlign w:val="center"/>
          </w:tcPr>
          <w:p w14:paraId="652EE0CA" w14:textId="77777777" w:rsidR="00CF32C3" w:rsidRPr="00226F9D" w:rsidRDefault="00CF32C3" w:rsidP="00B67DE6">
            <w:pPr>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Показатељ исхода</w:t>
            </w:r>
          </w:p>
        </w:tc>
        <w:tc>
          <w:tcPr>
            <w:tcW w:w="789" w:type="pct"/>
            <w:shd w:val="clear" w:color="auto" w:fill="FFFF00"/>
            <w:vAlign w:val="center"/>
          </w:tcPr>
          <w:p w14:paraId="527296E6"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Полазна вредност</w:t>
            </w:r>
          </w:p>
        </w:tc>
        <w:tc>
          <w:tcPr>
            <w:tcW w:w="629" w:type="pct"/>
            <w:shd w:val="clear" w:color="auto" w:fill="FFFF00"/>
            <w:vAlign w:val="center"/>
          </w:tcPr>
          <w:p w14:paraId="1113D684"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6</w:t>
            </w:r>
            <w:r w:rsidRPr="00226F9D">
              <w:rPr>
                <w:rFonts w:ascii="Times New Roman" w:eastAsia="Times New Roman" w:hAnsi="Times New Roman" w:cs="Times New Roman"/>
                <w:b/>
                <w:bCs/>
                <w:sz w:val="20"/>
                <w:szCs w:val="20"/>
                <w:lang w:val="sr-Cyrl-RS" w:eastAsia="en-GB"/>
              </w:rPr>
              <w:t>.</w:t>
            </w:r>
          </w:p>
        </w:tc>
        <w:tc>
          <w:tcPr>
            <w:tcW w:w="629" w:type="pct"/>
            <w:shd w:val="clear" w:color="auto" w:fill="FFFF00"/>
            <w:vAlign w:val="center"/>
          </w:tcPr>
          <w:p w14:paraId="41193B14"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7</w:t>
            </w:r>
            <w:r w:rsidRPr="00226F9D">
              <w:rPr>
                <w:rFonts w:ascii="Times New Roman" w:eastAsia="Times New Roman" w:hAnsi="Times New Roman" w:cs="Times New Roman"/>
                <w:b/>
                <w:bCs/>
                <w:sz w:val="20"/>
                <w:szCs w:val="20"/>
                <w:lang w:val="sr-Cyrl-RS" w:eastAsia="en-GB"/>
              </w:rPr>
              <w:t>.</w:t>
            </w:r>
          </w:p>
        </w:tc>
        <w:tc>
          <w:tcPr>
            <w:tcW w:w="629" w:type="pct"/>
            <w:shd w:val="clear" w:color="auto" w:fill="FFFF00"/>
            <w:vAlign w:val="center"/>
          </w:tcPr>
          <w:p w14:paraId="7FFC3FC9"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8</w:t>
            </w:r>
            <w:r w:rsidRPr="00226F9D">
              <w:rPr>
                <w:rFonts w:ascii="Times New Roman" w:eastAsia="Times New Roman" w:hAnsi="Times New Roman" w:cs="Times New Roman"/>
                <w:b/>
                <w:bCs/>
                <w:sz w:val="20"/>
                <w:szCs w:val="20"/>
                <w:lang w:val="sr-Cyrl-RS" w:eastAsia="en-GB"/>
              </w:rPr>
              <w:t>.</w:t>
            </w:r>
          </w:p>
        </w:tc>
        <w:tc>
          <w:tcPr>
            <w:tcW w:w="629" w:type="pct"/>
            <w:shd w:val="clear" w:color="auto" w:fill="FFFF00"/>
            <w:vAlign w:val="center"/>
          </w:tcPr>
          <w:p w14:paraId="0B27F3D7"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9</w:t>
            </w:r>
            <w:r w:rsidRPr="00226F9D">
              <w:rPr>
                <w:rFonts w:ascii="Times New Roman" w:eastAsia="Times New Roman" w:hAnsi="Times New Roman" w:cs="Times New Roman"/>
                <w:b/>
                <w:bCs/>
                <w:sz w:val="20"/>
                <w:szCs w:val="20"/>
                <w:lang w:val="sr-Cyrl-RS" w:eastAsia="en-GB"/>
              </w:rPr>
              <w:t>.</w:t>
            </w:r>
          </w:p>
        </w:tc>
        <w:tc>
          <w:tcPr>
            <w:tcW w:w="679" w:type="pct"/>
            <w:shd w:val="clear" w:color="auto" w:fill="FFFF00"/>
            <w:vAlign w:val="center"/>
          </w:tcPr>
          <w:p w14:paraId="16C22F4A"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w:t>
            </w:r>
            <w:r w:rsidRPr="00226F9D">
              <w:rPr>
                <w:rFonts w:ascii="Times New Roman" w:eastAsia="Times New Roman" w:hAnsi="Times New Roman" w:cs="Times New Roman"/>
                <w:b/>
                <w:sz w:val="20"/>
                <w:szCs w:val="20"/>
                <w:lang w:val="sr-Cyrl-RS" w:eastAsia="en-GB"/>
              </w:rPr>
              <w:t>30</w:t>
            </w:r>
            <w:r w:rsidRPr="00226F9D">
              <w:rPr>
                <w:rFonts w:ascii="Times New Roman" w:eastAsia="Times New Roman" w:hAnsi="Times New Roman" w:cs="Times New Roman"/>
                <w:b/>
                <w:bCs/>
                <w:sz w:val="20"/>
                <w:szCs w:val="20"/>
                <w:lang w:val="sr-Cyrl-RS" w:eastAsia="en-GB"/>
              </w:rPr>
              <w:t>.</w:t>
            </w:r>
          </w:p>
        </w:tc>
      </w:tr>
      <w:tr w:rsidR="00CF32C3" w:rsidRPr="00226F9D" w14:paraId="38595A83" w14:textId="77777777" w:rsidTr="00B67DE6">
        <w:tc>
          <w:tcPr>
            <w:tcW w:w="1016" w:type="pct"/>
            <w:vAlign w:val="center"/>
          </w:tcPr>
          <w:p w14:paraId="45B711AC" w14:textId="77777777" w:rsidR="00CF32C3" w:rsidRPr="00226F9D" w:rsidRDefault="00CF32C3" w:rsidP="00B67DE6">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color w:val="000000"/>
                <w:sz w:val="20"/>
                <w:szCs w:val="20"/>
                <w:lang w:val="sr-Cyrl-RS" w:eastAsia="en-GB"/>
              </w:rPr>
              <w:t>Капацитет ЈЛС за управљање људским ресурсима у локалној управи</w:t>
            </w:r>
          </w:p>
        </w:tc>
        <w:tc>
          <w:tcPr>
            <w:tcW w:w="789" w:type="pct"/>
            <w:vAlign w:val="center"/>
          </w:tcPr>
          <w:p w14:paraId="3DFA8CA3" w14:textId="64CB69DC" w:rsidR="00CF32C3" w:rsidRPr="00226F9D" w:rsidRDefault="00265319"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 xml:space="preserve">56,7% </w:t>
            </w:r>
            <w:r w:rsidR="00CF32C3" w:rsidRPr="00226F9D">
              <w:rPr>
                <w:rFonts w:ascii="Times New Roman" w:eastAsia="Times New Roman" w:hAnsi="Times New Roman" w:cs="Times New Roman"/>
                <w:sz w:val="20"/>
                <w:szCs w:val="20"/>
                <w:lang w:val="sr-Cyrl-RS" w:eastAsia="en-GB"/>
              </w:rPr>
              <w:t>(2025)</w:t>
            </w:r>
          </w:p>
          <w:p w14:paraId="1B2DD797" w14:textId="6AA8FCAE" w:rsidR="00CF32C3" w:rsidRPr="00226F9D" w:rsidRDefault="00CF32C3" w:rsidP="00090884">
            <w:pPr>
              <w:jc w:val="both"/>
              <w:rPr>
                <w:rFonts w:ascii="Times New Roman" w:eastAsia="Times New Roman" w:hAnsi="Times New Roman" w:cs="Times New Roman"/>
                <w:i/>
                <w:color w:val="EE0000"/>
                <w:sz w:val="20"/>
                <w:szCs w:val="20"/>
                <w:lang w:val="sr-Cyrl-RS" w:eastAsia="en-GB"/>
              </w:rPr>
            </w:pPr>
          </w:p>
        </w:tc>
        <w:tc>
          <w:tcPr>
            <w:tcW w:w="629" w:type="pct"/>
            <w:vAlign w:val="center"/>
          </w:tcPr>
          <w:p w14:paraId="48B4891B" w14:textId="53F91218" w:rsidR="00CF32C3" w:rsidRPr="00226F9D" w:rsidRDefault="00D871EE" w:rsidP="00090884">
            <w:pPr>
              <w:jc w:val="both"/>
              <w:rPr>
                <w:rFonts w:ascii="Times New Roman" w:eastAsia="Times New Roman" w:hAnsi="Times New Roman" w:cs="Times New Roman"/>
                <w:color w:val="000000" w:themeColor="text1"/>
                <w:kern w:val="24"/>
                <w:sz w:val="20"/>
                <w:szCs w:val="20"/>
                <w:lang w:val="sr-Latn-RS" w:eastAsia="en-GB"/>
              </w:rPr>
            </w:pPr>
            <w:r w:rsidRPr="00226F9D">
              <w:rPr>
                <w:rFonts w:ascii="Times New Roman" w:eastAsia="Times New Roman" w:hAnsi="Times New Roman" w:cs="Times New Roman"/>
                <w:bCs/>
                <w:color w:val="000000" w:themeColor="text1"/>
                <w:kern w:val="24"/>
                <w:sz w:val="20"/>
                <w:szCs w:val="20"/>
                <w:lang w:val="sr-Latn-RS" w:eastAsia="en-GB"/>
              </w:rPr>
              <w:t>/</w:t>
            </w:r>
          </w:p>
        </w:tc>
        <w:tc>
          <w:tcPr>
            <w:tcW w:w="629" w:type="pct"/>
            <w:vAlign w:val="center"/>
          </w:tcPr>
          <w:p w14:paraId="50FCB510" w14:textId="2D55D36C" w:rsidR="00CF32C3" w:rsidRPr="00226F9D" w:rsidRDefault="00D600BB" w:rsidP="00090884">
            <w:pPr>
              <w:jc w:val="both"/>
              <w:rPr>
                <w:rFonts w:ascii="Times New Roman" w:eastAsia="Times New Roman" w:hAnsi="Times New Roman" w:cs="Times New Roman"/>
                <w:sz w:val="20"/>
                <w:szCs w:val="20"/>
                <w:lang w:val="sr-Latn-RS" w:eastAsia="en-GB"/>
              </w:rPr>
            </w:pPr>
            <w:r w:rsidRPr="00226F9D">
              <w:rPr>
                <w:rFonts w:ascii="Times New Roman" w:eastAsia="Times New Roman" w:hAnsi="Times New Roman" w:cs="Times New Roman"/>
                <w:sz w:val="20"/>
                <w:szCs w:val="20"/>
                <w:lang w:val="sr-Latn-RS" w:eastAsia="en-GB"/>
              </w:rPr>
              <w:t>6</w:t>
            </w:r>
            <w:r w:rsidR="00EC3222" w:rsidRPr="00226F9D">
              <w:rPr>
                <w:rFonts w:ascii="Times New Roman" w:eastAsia="Times New Roman" w:hAnsi="Times New Roman" w:cs="Times New Roman"/>
                <w:sz w:val="20"/>
                <w:szCs w:val="20"/>
                <w:lang w:val="sr-Latn-RS" w:eastAsia="en-GB"/>
              </w:rPr>
              <w:t>2,4</w:t>
            </w:r>
            <w:r w:rsidRPr="00226F9D">
              <w:rPr>
                <w:rFonts w:ascii="Times New Roman" w:eastAsia="Times New Roman" w:hAnsi="Times New Roman" w:cs="Times New Roman"/>
                <w:sz w:val="20"/>
                <w:szCs w:val="20"/>
                <w:lang w:val="sr-Latn-RS" w:eastAsia="en-GB"/>
              </w:rPr>
              <w:t>%</w:t>
            </w:r>
          </w:p>
        </w:tc>
        <w:tc>
          <w:tcPr>
            <w:tcW w:w="629" w:type="pct"/>
            <w:vAlign w:val="center"/>
          </w:tcPr>
          <w:p w14:paraId="09BB0201" w14:textId="041D70B9" w:rsidR="00CF32C3" w:rsidRPr="00226F9D" w:rsidRDefault="00D871EE"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Latn-RS" w:eastAsia="en-GB"/>
              </w:rPr>
              <w:t>6</w:t>
            </w:r>
            <w:r w:rsidR="00EC3222" w:rsidRPr="00226F9D">
              <w:rPr>
                <w:rFonts w:ascii="Times New Roman" w:eastAsia="Times New Roman" w:hAnsi="Times New Roman" w:cs="Times New Roman"/>
                <w:sz w:val="20"/>
                <w:szCs w:val="20"/>
                <w:lang w:val="sr-Latn-RS" w:eastAsia="en-GB"/>
              </w:rPr>
              <w:t>5,2</w:t>
            </w:r>
            <w:r w:rsidR="00FB53DC" w:rsidRPr="00226F9D">
              <w:rPr>
                <w:rFonts w:ascii="Times New Roman" w:eastAsia="Times New Roman" w:hAnsi="Times New Roman" w:cs="Times New Roman"/>
                <w:sz w:val="20"/>
                <w:szCs w:val="20"/>
                <w:lang w:val="sr-Cyrl-RS" w:eastAsia="en-GB"/>
              </w:rPr>
              <w:t>%</w:t>
            </w:r>
          </w:p>
        </w:tc>
        <w:tc>
          <w:tcPr>
            <w:tcW w:w="629" w:type="pct"/>
            <w:vAlign w:val="center"/>
          </w:tcPr>
          <w:p w14:paraId="66489603" w14:textId="2FCD4D7D" w:rsidR="00CF32C3" w:rsidRPr="00226F9D" w:rsidRDefault="00D871EE" w:rsidP="00090884">
            <w:pPr>
              <w:jc w:val="both"/>
              <w:rPr>
                <w:rFonts w:ascii="Times New Roman" w:eastAsia="Times New Roman" w:hAnsi="Times New Roman" w:cs="Times New Roman"/>
                <w:color w:val="000000" w:themeColor="text1"/>
                <w:kern w:val="24"/>
                <w:sz w:val="20"/>
                <w:szCs w:val="20"/>
                <w:lang w:val="sr-Latn-RS" w:eastAsia="en-GB"/>
              </w:rPr>
            </w:pPr>
            <w:r w:rsidRPr="00226F9D">
              <w:rPr>
                <w:rFonts w:ascii="Times New Roman" w:eastAsia="Times New Roman" w:hAnsi="Times New Roman" w:cs="Times New Roman"/>
                <w:bCs/>
                <w:color w:val="000000" w:themeColor="text1"/>
                <w:kern w:val="24"/>
                <w:sz w:val="20"/>
                <w:szCs w:val="20"/>
                <w:lang w:val="sr-Latn-RS" w:eastAsia="en-GB"/>
              </w:rPr>
              <w:t>/</w:t>
            </w:r>
          </w:p>
        </w:tc>
        <w:tc>
          <w:tcPr>
            <w:tcW w:w="679" w:type="pct"/>
            <w:vAlign w:val="center"/>
          </w:tcPr>
          <w:p w14:paraId="09AFCD08" w14:textId="49A700E6" w:rsidR="00CF32C3" w:rsidRPr="00226F9D" w:rsidRDefault="00740B73" w:rsidP="00090884">
            <w:pPr>
              <w:jc w:val="both"/>
              <w:rPr>
                <w:rFonts w:ascii="Times New Roman" w:eastAsia="Times New Roman" w:hAnsi="Times New Roman" w:cs="Times New Roman"/>
                <w:color w:val="000000" w:themeColor="text1"/>
                <w:sz w:val="20"/>
                <w:szCs w:val="20"/>
                <w:lang w:val="sr-Latn-RS" w:eastAsia="en-GB"/>
              </w:rPr>
            </w:pPr>
            <w:r w:rsidRPr="00226F9D">
              <w:rPr>
                <w:rFonts w:ascii="Times New Roman" w:eastAsia="Times New Roman" w:hAnsi="Times New Roman" w:cs="Times New Roman"/>
                <w:color w:val="000000" w:themeColor="text1"/>
                <w:sz w:val="20"/>
                <w:szCs w:val="20"/>
                <w:lang w:val="sr-Latn-RS" w:eastAsia="en-GB"/>
              </w:rPr>
              <w:t>68%</w:t>
            </w:r>
          </w:p>
        </w:tc>
      </w:tr>
      <w:tr w:rsidR="00370FC1" w:rsidRPr="00226F9D" w14:paraId="1B5D8420" w14:textId="77777777" w:rsidTr="00B67DE6">
        <w:tc>
          <w:tcPr>
            <w:tcW w:w="1016" w:type="pct"/>
            <w:vAlign w:val="center"/>
          </w:tcPr>
          <w:p w14:paraId="0AD74875" w14:textId="32F5EF53" w:rsidR="00370FC1" w:rsidRPr="00226F9D" w:rsidRDefault="00370FC1" w:rsidP="00B67DE6">
            <w:pPr>
              <w:rPr>
                <w:rFonts w:ascii="Times New Roman" w:eastAsia="Times New Roman" w:hAnsi="Times New Roman" w:cs="Times New Roman"/>
                <w:color w:val="000000"/>
                <w:sz w:val="20"/>
                <w:szCs w:val="20"/>
                <w:lang w:val="sr-Cyrl-RS" w:eastAsia="en-GB"/>
              </w:rPr>
            </w:pPr>
            <w:r w:rsidRPr="00226F9D">
              <w:rPr>
                <w:rFonts w:ascii="Times New Roman" w:eastAsia="Times New Roman" w:hAnsi="Times New Roman" w:cs="Times New Roman"/>
                <w:color w:val="000000"/>
                <w:sz w:val="20"/>
                <w:szCs w:val="20"/>
                <w:lang w:val="sr-Cyrl-RS" w:eastAsia="en-GB"/>
              </w:rPr>
              <w:t>Степен обучености локалних управа за примену нових правних и процесних решења у области управљања људским ресурсима и стручног усавршавања</w:t>
            </w:r>
          </w:p>
        </w:tc>
        <w:tc>
          <w:tcPr>
            <w:tcW w:w="789" w:type="pct"/>
            <w:vAlign w:val="center"/>
          </w:tcPr>
          <w:p w14:paraId="000359DE" w14:textId="1F582360" w:rsidR="00370FC1" w:rsidRPr="00226F9D" w:rsidRDefault="00370FC1" w:rsidP="00090884">
            <w:pPr>
              <w:jc w:val="both"/>
              <w:rPr>
                <w:rFonts w:ascii="Times New Roman" w:eastAsia="Times New Roman" w:hAnsi="Times New Roman" w:cs="Times New Roman"/>
                <w:sz w:val="20"/>
                <w:szCs w:val="20"/>
                <w:lang w:val="sr-Latn-RS" w:eastAsia="en-GB"/>
              </w:rPr>
            </w:pPr>
            <w:r w:rsidRPr="00226F9D">
              <w:rPr>
                <w:rFonts w:ascii="Times New Roman" w:eastAsia="Times New Roman" w:hAnsi="Times New Roman" w:cs="Times New Roman"/>
                <w:sz w:val="20"/>
                <w:szCs w:val="20"/>
                <w:lang w:val="sr-Latn-RS" w:eastAsia="en-GB"/>
              </w:rPr>
              <w:t>0</w:t>
            </w:r>
            <w:r w:rsidR="00D37480" w:rsidRPr="00226F9D">
              <w:rPr>
                <w:rFonts w:ascii="Times New Roman" w:eastAsia="Times New Roman" w:hAnsi="Times New Roman" w:cs="Times New Roman"/>
                <w:sz w:val="20"/>
                <w:szCs w:val="20"/>
                <w:lang w:val="sr-Cyrl-RS" w:eastAsia="en-GB"/>
              </w:rPr>
              <w:t xml:space="preserve"> </w:t>
            </w:r>
            <w:r w:rsidRPr="00226F9D">
              <w:rPr>
                <w:rFonts w:ascii="Times New Roman" w:eastAsia="Times New Roman" w:hAnsi="Times New Roman" w:cs="Times New Roman"/>
                <w:sz w:val="20"/>
                <w:szCs w:val="20"/>
                <w:lang w:val="sr-Latn-RS" w:eastAsia="en-GB"/>
              </w:rPr>
              <w:t>(2025)</w:t>
            </w:r>
          </w:p>
        </w:tc>
        <w:tc>
          <w:tcPr>
            <w:tcW w:w="629" w:type="pct"/>
            <w:vAlign w:val="center"/>
          </w:tcPr>
          <w:p w14:paraId="1B9B5751" w14:textId="1F0D1C3B" w:rsidR="00370FC1" w:rsidRPr="00226F9D" w:rsidRDefault="00370FC1" w:rsidP="00090884">
            <w:pPr>
              <w:jc w:val="both"/>
              <w:rPr>
                <w:rFonts w:ascii="Times New Roman" w:eastAsia="Times New Roman" w:hAnsi="Times New Roman" w:cs="Times New Roman"/>
                <w:bCs/>
                <w:color w:val="000000" w:themeColor="text1"/>
                <w:kern w:val="24"/>
                <w:sz w:val="20"/>
                <w:szCs w:val="20"/>
                <w:lang w:val="sr-Latn-RS" w:eastAsia="en-GB"/>
              </w:rPr>
            </w:pPr>
            <w:r w:rsidRPr="00226F9D">
              <w:rPr>
                <w:rFonts w:ascii="Times New Roman" w:eastAsia="Times New Roman" w:hAnsi="Times New Roman" w:cs="Times New Roman"/>
                <w:bCs/>
                <w:color w:val="000000" w:themeColor="text1"/>
                <w:kern w:val="24"/>
                <w:sz w:val="20"/>
                <w:szCs w:val="20"/>
                <w:lang w:val="sr-Latn-RS" w:eastAsia="en-GB"/>
              </w:rPr>
              <w:t>1</w:t>
            </w:r>
          </w:p>
        </w:tc>
        <w:tc>
          <w:tcPr>
            <w:tcW w:w="629" w:type="pct"/>
            <w:vAlign w:val="center"/>
          </w:tcPr>
          <w:p w14:paraId="317184B6" w14:textId="432FF5CD" w:rsidR="00370FC1" w:rsidRPr="00226F9D" w:rsidRDefault="00370FC1" w:rsidP="00090884">
            <w:pPr>
              <w:jc w:val="both"/>
              <w:rPr>
                <w:rFonts w:ascii="Times New Roman" w:eastAsia="Times New Roman" w:hAnsi="Times New Roman" w:cs="Times New Roman"/>
                <w:sz w:val="20"/>
                <w:szCs w:val="20"/>
                <w:lang w:val="sr-Latn-RS" w:eastAsia="en-GB"/>
              </w:rPr>
            </w:pPr>
            <w:r w:rsidRPr="00226F9D">
              <w:rPr>
                <w:rFonts w:ascii="Times New Roman" w:eastAsia="Times New Roman" w:hAnsi="Times New Roman" w:cs="Times New Roman"/>
                <w:sz w:val="20"/>
                <w:szCs w:val="20"/>
                <w:lang w:val="sr-Latn-RS" w:eastAsia="en-GB"/>
              </w:rPr>
              <w:t>2</w:t>
            </w:r>
          </w:p>
        </w:tc>
        <w:tc>
          <w:tcPr>
            <w:tcW w:w="629" w:type="pct"/>
            <w:vAlign w:val="center"/>
          </w:tcPr>
          <w:p w14:paraId="6AFD09F3" w14:textId="21F5A466" w:rsidR="00370FC1" w:rsidRPr="00226F9D" w:rsidRDefault="00370FC1" w:rsidP="00090884">
            <w:pPr>
              <w:jc w:val="both"/>
              <w:rPr>
                <w:rFonts w:ascii="Times New Roman" w:eastAsia="Times New Roman" w:hAnsi="Times New Roman" w:cs="Times New Roman"/>
                <w:bCs/>
                <w:color w:val="000000" w:themeColor="text1"/>
                <w:kern w:val="24"/>
                <w:sz w:val="20"/>
                <w:szCs w:val="20"/>
                <w:lang w:val="sr-Latn-RS" w:eastAsia="en-GB"/>
              </w:rPr>
            </w:pPr>
            <w:r w:rsidRPr="00226F9D">
              <w:rPr>
                <w:rFonts w:ascii="Times New Roman" w:eastAsia="Times New Roman" w:hAnsi="Times New Roman" w:cs="Times New Roman"/>
                <w:bCs/>
                <w:color w:val="000000" w:themeColor="text1"/>
                <w:kern w:val="24"/>
                <w:sz w:val="20"/>
                <w:szCs w:val="20"/>
                <w:lang w:val="sr-Latn-RS" w:eastAsia="en-GB"/>
              </w:rPr>
              <w:t>3</w:t>
            </w:r>
          </w:p>
        </w:tc>
        <w:tc>
          <w:tcPr>
            <w:tcW w:w="629" w:type="pct"/>
            <w:vAlign w:val="center"/>
          </w:tcPr>
          <w:p w14:paraId="0873B0F2" w14:textId="67B0983F" w:rsidR="00370FC1" w:rsidRPr="00226F9D" w:rsidRDefault="00370FC1" w:rsidP="00090884">
            <w:pPr>
              <w:jc w:val="both"/>
              <w:rPr>
                <w:rFonts w:ascii="Times New Roman" w:eastAsia="Times New Roman" w:hAnsi="Times New Roman" w:cs="Times New Roman"/>
                <w:bCs/>
                <w:color w:val="000000" w:themeColor="text1"/>
                <w:kern w:val="24"/>
                <w:sz w:val="20"/>
                <w:szCs w:val="20"/>
                <w:lang w:val="sr-Latn-RS" w:eastAsia="en-GB"/>
              </w:rPr>
            </w:pPr>
            <w:r w:rsidRPr="00226F9D">
              <w:rPr>
                <w:rFonts w:ascii="Times New Roman" w:eastAsia="Times New Roman" w:hAnsi="Times New Roman" w:cs="Times New Roman"/>
                <w:bCs/>
                <w:color w:val="000000" w:themeColor="text1"/>
                <w:kern w:val="24"/>
                <w:sz w:val="20"/>
                <w:szCs w:val="20"/>
                <w:lang w:val="sr-Latn-RS" w:eastAsia="en-GB"/>
              </w:rPr>
              <w:t>4</w:t>
            </w:r>
          </w:p>
        </w:tc>
        <w:tc>
          <w:tcPr>
            <w:tcW w:w="679" w:type="pct"/>
            <w:vAlign w:val="center"/>
          </w:tcPr>
          <w:p w14:paraId="5957E0F2" w14:textId="7CCD95C1" w:rsidR="00370FC1" w:rsidRPr="00226F9D" w:rsidRDefault="00370FC1" w:rsidP="00090884">
            <w:pPr>
              <w:jc w:val="both"/>
              <w:rPr>
                <w:rFonts w:ascii="Times New Roman" w:eastAsia="Times New Roman" w:hAnsi="Times New Roman" w:cs="Times New Roman"/>
                <w:color w:val="000000" w:themeColor="text1"/>
                <w:sz w:val="20"/>
                <w:szCs w:val="20"/>
                <w:lang w:val="sr-Latn-RS" w:eastAsia="en-GB"/>
              </w:rPr>
            </w:pPr>
            <w:r w:rsidRPr="00226F9D">
              <w:rPr>
                <w:rFonts w:ascii="Times New Roman" w:eastAsia="Times New Roman" w:hAnsi="Times New Roman" w:cs="Times New Roman"/>
                <w:color w:val="000000" w:themeColor="text1"/>
                <w:sz w:val="20"/>
                <w:szCs w:val="20"/>
                <w:lang w:val="sr-Latn-RS" w:eastAsia="en-GB"/>
              </w:rPr>
              <w:t>5</w:t>
            </w:r>
          </w:p>
        </w:tc>
      </w:tr>
    </w:tbl>
    <w:p w14:paraId="56F22CAE" w14:textId="77777777" w:rsidR="00CF32C3" w:rsidRPr="00226F9D" w:rsidRDefault="00CF32C3" w:rsidP="006B59F4">
      <w:pPr>
        <w:spacing w:after="0" w:line="240" w:lineRule="auto"/>
        <w:jc w:val="both"/>
        <w:rPr>
          <w:rFonts w:ascii="Times New Roman" w:eastAsia="Times New Roman" w:hAnsi="Times New Roman" w:cs="Times New Roman"/>
          <w:b/>
          <w:bCs/>
          <w:color w:val="000000"/>
          <w:kern w:val="0"/>
          <w:lang w:val="sr-Cyrl-RS" w:eastAsia="sr-Latn-RS"/>
          <w14:ligatures w14:val="none"/>
        </w:rPr>
      </w:pPr>
    </w:p>
    <w:p w14:paraId="3659F69A" w14:textId="1458CB2E" w:rsidR="00D707A0" w:rsidRPr="00226F9D" w:rsidRDefault="00D707A0"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noProof/>
          <w:u w:val="single"/>
        </w:rPr>
        <w:drawing>
          <wp:anchor distT="0" distB="0" distL="114300" distR="114300" simplePos="0" relativeHeight="251658254" behindDoc="0" locked="0" layoutInCell="1" allowOverlap="1" wp14:anchorId="72F42564" wp14:editId="1B4B5FE5">
            <wp:simplePos x="0" y="0"/>
            <wp:positionH relativeFrom="column">
              <wp:posOffset>0</wp:posOffset>
            </wp:positionH>
            <wp:positionV relativeFrom="paragraph">
              <wp:posOffset>-2540</wp:posOffset>
            </wp:positionV>
            <wp:extent cx="801370" cy="611505"/>
            <wp:effectExtent l="0" t="0" r="0" b="0"/>
            <wp:wrapThrough wrapText="bothSides">
              <wp:wrapPolygon edited="0">
                <wp:start x="0" y="0"/>
                <wp:lineTo x="0" y="20860"/>
                <wp:lineTo x="21052" y="20860"/>
                <wp:lineTo x="21052" y="0"/>
                <wp:lineTo x="0" y="0"/>
              </wp:wrapPolygon>
            </wp:wrapThrough>
            <wp:docPr id="1046528629" name="Picture 1" descr="A colorful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33888" name="Picture 1" descr="A colorful circle with text&#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1370" cy="611505"/>
                    </a:xfrm>
                    <a:prstGeom prst="rect">
                      <a:avLst/>
                    </a:prstGeom>
                  </pic:spPr>
                </pic:pic>
              </a:graphicData>
            </a:graphic>
          </wp:anchor>
        </w:drawing>
      </w:r>
      <w:r w:rsidRPr="00226F9D">
        <w:rPr>
          <w:rFonts w:ascii="Times New Roman" w:eastAsia="Calibri" w:hAnsi="Times New Roman" w:cs="Times New Roman"/>
          <w:lang w:val="sr-Cyrl-RS"/>
        </w:rPr>
        <w:t xml:space="preserve">Када је реч о доприносу Агенди 2030, на нивоу </w:t>
      </w:r>
      <w:r w:rsidRPr="00226F9D">
        <w:rPr>
          <w:rFonts w:ascii="Times New Roman" w:eastAsia="Calibri" w:hAnsi="Times New Roman" w:cs="Times New Roman"/>
          <w:b/>
          <w:bCs/>
          <w:lang w:val="sr-Cyrl-RS"/>
        </w:rPr>
        <w:t>трећег посебног циља</w:t>
      </w:r>
      <w:r w:rsidRPr="00226F9D">
        <w:rPr>
          <w:rFonts w:ascii="Times New Roman" w:eastAsia="Calibri" w:hAnsi="Times New Roman" w:cs="Times New Roman"/>
          <w:lang w:val="sr-Cyrl-RS"/>
        </w:rPr>
        <w:t xml:space="preserve"> ПРСЛС 2026-2030 - релевантан је посебно показатељ који прати </w:t>
      </w:r>
      <w:r w:rsidR="00794566" w:rsidRPr="00226F9D">
        <w:rPr>
          <w:rFonts w:ascii="Times New Roman" w:eastAsia="Calibri" w:hAnsi="Times New Roman" w:cs="Times New Roman"/>
          <w:lang w:val="sr-Cyrl-RS"/>
        </w:rPr>
        <w:t>напредак у погледу управљања људским ресурсима у локалној управи</w:t>
      </w:r>
      <w:r w:rsidRPr="00226F9D">
        <w:rPr>
          <w:rFonts w:ascii="Times New Roman" w:eastAsia="Calibri" w:hAnsi="Times New Roman" w:cs="Times New Roman"/>
          <w:lang w:val="sr-Cyrl-RS"/>
        </w:rPr>
        <w:t>, тако да је основни приказ ових веза како следи:</w:t>
      </w:r>
    </w:p>
    <w:p w14:paraId="69FFF9B8" w14:textId="77777777" w:rsidR="00D707A0" w:rsidRPr="00226F9D" w:rsidRDefault="00D707A0" w:rsidP="006B59F4">
      <w:pPr>
        <w:spacing w:after="0" w:line="240" w:lineRule="auto"/>
        <w:jc w:val="both"/>
        <w:rPr>
          <w:rFonts w:ascii="Times New Roman" w:eastAsia="Calibri" w:hAnsi="Times New Roman" w:cs="Times New Roman"/>
          <w:lang w:val="sr-Cyrl-RS"/>
        </w:rPr>
      </w:pPr>
    </w:p>
    <w:tbl>
      <w:tblPr>
        <w:tblW w:w="5000" w:type="pct"/>
        <w:tblInd w:w="-5" w:type="dxa"/>
        <w:tblCellMar>
          <w:top w:w="57" w:type="dxa"/>
          <w:bottom w:w="57" w:type="dxa"/>
        </w:tblCellMar>
        <w:tblLook w:val="04A0" w:firstRow="1" w:lastRow="0" w:firstColumn="1" w:lastColumn="0" w:noHBand="0" w:noVBand="1"/>
      </w:tblPr>
      <w:tblGrid>
        <w:gridCol w:w="1896"/>
        <w:gridCol w:w="1895"/>
        <w:gridCol w:w="2130"/>
        <w:gridCol w:w="3701"/>
      </w:tblGrid>
      <w:tr w:rsidR="00FB1C71" w:rsidRPr="00226F9D" w14:paraId="2FEE8C6B" w14:textId="77777777" w:rsidTr="00B67DE6">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1C1C043A" w14:textId="77777777" w:rsidR="00D707A0" w:rsidRPr="00226F9D" w:rsidRDefault="00D707A0" w:rsidP="00B67DE6">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ПОСЕБНИ ЦИЉ ПРСЛС 2026-2030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79DAECA0" w14:textId="77777777" w:rsidR="00D707A0" w:rsidRPr="00226F9D" w:rsidRDefault="00D707A0" w:rsidP="00B67DE6">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Показатељ циља у ПРСЛС</w:t>
            </w:r>
          </w:p>
        </w:tc>
        <w:tc>
          <w:tcPr>
            <w:tcW w:w="2071" w:type="dxa"/>
            <w:tcBorders>
              <w:top w:val="single" w:sz="4" w:space="0" w:color="auto"/>
              <w:left w:val="single" w:sz="4" w:space="0" w:color="auto"/>
              <w:bottom w:val="single" w:sz="4" w:space="0" w:color="auto"/>
              <w:right w:val="single" w:sz="4" w:space="0" w:color="auto"/>
            </w:tcBorders>
            <w:shd w:val="clear" w:color="auto" w:fill="FFFFFF"/>
            <w:hideMark/>
          </w:tcPr>
          <w:p w14:paraId="5EB4A1DF" w14:textId="77777777" w:rsidR="00D707A0" w:rsidRPr="00226F9D" w:rsidRDefault="00D707A0" w:rsidP="00B67DE6">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 xml:space="preserve">Веза са потциљем одрживог развоја </w:t>
            </w:r>
          </w:p>
        </w:tc>
        <w:tc>
          <w:tcPr>
            <w:tcW w:w="3599" w:type="dxa"/>
            <w:tcBorders>
              <w:top w:val="single" w:sz="4" w:space="0" w:color="auto"/>
              <w:left w:val="single" w:sz="4" w:space="0" w:color="auto"/>
              <w:bottom w:val="single" w:sz="4" w:space="0" w:color="auto"/>
              <w:right w:val="single" w:sz="4" w:space="0" w:color="auto"/>
            </w:tcBorders>
            <w:shd w:val="clear" w:color="auto" w:fill="FFFFFF"/>
            <w:hideMark/>
          </w:tcPr>
          <w:p w14:paraId="52B2C9A4" w14:textId="0950DBA5" w:rsidR="00D707A0" w:rsidRPr="00226F9D" w:rsidRDefault="00D707A0" w:rsidP="00B67DE6">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Веза са показатељем ЦОР</w:t>
            </w:r>
          </w:p>
        </w:tc>
      </w:tr>
      <w:tr w:rsidR="00E80D7D" w:rsidRPr="00226F9D" w14:paraId="376D30C1" w14:textId="77777777" w:rsidTr="00B67DE6">
        <w:trPr>
          <w:trHeight w:val="1975"/>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5174D06D" w14:textId="77777777" w:rsidR="00EE2034" w:rsidRPr="00226F9D" w:rsidRDefault="00EE2034"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6B7C0677" w14:textId="34872DA2" w:rsidR="00D707A0" w:rsidRPr="00226F9D" w:rsidRDefault="00EE2034"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3</w:t>
            </w:r>
            <w:r w:rsidR="00D707A0" w:rsidRPr="00226F9D">
              <w:rPr>
                <w:rFonts w:ascii="Times New Roman" w:eastAsia="Times New Roman" w:hAnsi="Times New Roman" w:cs="Times New Roman"/>
                <w:i/>
                <w:iCs/>
                <w:color w:val="000000"/>
                <w:kern w:val="0"/>
                <w:sz w:val="20"/>
                <w:szCs w:val="20"/>
                <w:lang w:val="sr-Cyrl-RS" w:eastAsia="en-GB"/>
                <w14:ligatures w14:val="none"/>
              </w:rPr>
              <w:t>: Унапређе</w:t>
            </w:r>
            <w:r w:rsidR="00D747B4" w:rsidRPr="00226F9D">
              <w:rPr>
                <w:rFonts w:ascii="Times New Roman" w:eastAsia="Times New Roman" w:hAnsi="Times New Roman" w:cs="Times New Roman"/>
                <w:i/>
                <w:iCs/>
                <w:color w:val="000000"/>
                <w:kern w:val="0"/>
                <w:sz w:val="20"/>
                <w:szCs w:val="20"/>
                <w:lang w:val="sr-Cyrl-RS" w:eastAsia="en-GB"/>
                <w14:ligatures w14:val="none"/>
              </w:rPr>
              <w:t>н</w:t>
            </w:r>
            <w:r w:rsidR="00E42CF7" w:rsidRPr="00226F9D">
              <w:rPr>
                <w:rFonts w:ascii="Times New Roman" w:eastAsia="Times New Roman" w:hAnsi="Times New Roman" w:cs="Times New Roman"/>
                <w:i/>
                <w:iCs/>
                <w:color w:val="000000"/>
                <w:kern w:val="0"/>
                <w:sz w:val="20"/>
                <w:szCs w:val="20"/>
                <w:lang w:val="sr-Cyrl-RS" w:eastAsia="en-GB"/>
                <w14:ligatures w14:val="none"/>
              </w:rPr>
              <w:t xml:space="preserve">а организација и капацитети </w:t>
            </w:r>
            <w:r w:rsidR="005F5FC5" w:rsidRPr="00226F9D">
              <w:rPr>
                <w:rFonts w:ascii="Times New Roman" w:eastAsia="Times New Roman" w:hAnsi="Times New Roman" w:cs="Times New Roman"/>
                <w:i/>
                <w:iCs/>
                <w:color w:val="000000"/>
                <w:kern w:val="0"/>
                <w:sz w:val="20"/>
                <w:szCs w:val="20"/>
                <w:lang w:val="sr-Cyrl-RS" w:eastAsia="en-GB"/>
                <w14:ligatures w14:val="none"/>
              </w:rPr>
              <w:t>локалне управе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7DA49C6" w14:textId="77777777" w:rsidR="00D707A0" w:rsidRPr="00226F9D" w:rsidRDefault="00D707A0"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p>
          <w:p w14:paraId="08EF90B1" w14:textId="47249855" w:rsidR="00D707A0" w:rsidRPr="00226F9D" w:rsidRDefault="00EE2034"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r w:rsidRPr="00226F9D">
              <w:rPr>
                <w:rFonts w:ascii="Times New Roman" w:eastAsia="Calibri" w:hAnsi="Times New Roman" w:cs="Times New Roman"/>
                <w:i/>
                <w:iCs/>
                <w:color w:val="000000"/>
                <w:kern w:val="0"/>
                <w:sz w:val="20"/>
                <w:szCs w:val="20"/>
                <w:lang w:val="sr-Cyrl-RS"/>
                <w14:ligatures w14:val="none"/>
              </w:rPr>
              <w:t>Капацитет ЈЛС за управљање људским ресурсима у локалној управи</w:t>
            </w:r>
          </w:p>
        </w:tc>
        <w:tc>
          <w:tcPr>
            <w:tcW w:w="2071" w:type="dxa"/>
            <w:tcBorders>
              <w:top w:val="single" w:sz="4" w:space="0" w:color="auto"/>
              <w:left w:val="single" w:sz="4" w:space="0" w:color="auto"/>
              <w:bottom w:val="single" w:sz="4" w:space="0" w:color="auto"/>
              <w:right w:val="single" w:sz="4" w:space="0" w:color="auto"/>
            </w:tcBorders>
            <w:shd w:val="clear" w:color="auto" w:fill="FFFFFF"/>
          </w:tcPr>
          <w:p w14:paraId="698E7F36" w14:textId="77777777" w:rsidR="00D707A0" w:rsidRPr="00226F9D" w:rsidRDefault="00D707A0"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5B2B6AB4" w14:textId="77777777" w:rsidR="00A66487" w:rsidRPr="00226F9D" w:rsidRDefault="00A66487"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22918185" w14:textId="77777777" w:rsidR="00A66487" w:rsidRPr="00226F9D" w:rsidRDefault="00A66487"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5BC7CFFA" w14:textId="77777777" w:rsidR="00A66487" w:rsidRPr="00226F9D" w:rsidRDefault="00A66487"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 xml:space="preserve">17.14 </w:t>
            </w:r>
          </w:p>
          <w:p w14:paraId="71D93DE3" w14:textId="45AB049F" w:rsidR="00A66487" w:rsidRPr="00226F9D" w:rsidRDefault="00A66487"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tc>
        <w:tc>
          <w:tcPr>
            <w:tcW w:w="3599" w:type="dxa"/>
            <w:tcBorders>
              <w:top w:val="single" w:sz="4" w:space="0" w:color="auto"/>
              <w:left w:val="single" w:sz="4" w:space="0" w:color="auto"/>
              <w:bottom w:val="single" w:sz="4" w:space="0" w:color="auto"/>
              <w:right w:val="single" w:sz="4" w:space="0" w:color="auto"/>
            </w:tcBorders>
            <w:shd w:val="clear" w:color="auto" w:fill="FFFFFF"/>
          </w:tcPr>
          <w:p w14:paraId="76AE3AFC" w14:textId="77777777" w:rsidR="00D707A0" w:rsidRPr="00226F9D" w:rsidRDefault="00D707A0"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9099B8B" w14:textId="77777777" w:rsidR="00FE28F6" w:rsidRPr="00226F9D" w:rsidRDefault="00FE28F6"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328BC765" w14:textId="53C35E68" w:rsidR="00FE28F6" w:rsidRPr="00226F9D" w:rsidRDefault="00FE28F6"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17.14.1 Број земаља које имају механизме за унапређење кохерентности мера политике за одрживи развој</w:t>
            </w:r>
          </w:p>
        </w:tc>
      </w:tr>
    </w:tbl>
    <w:p w14:paraId="3269848B" w14:textId="77777777" w:rsidR="00B472C5" w:rsidRPr="00226F9D" w:rsidRDefault="00B472C5" w:rsidP="00090884">
      <w:pPr>
        <w:spacing w:after="0" w:line="240" w:lineRule="auto"/>
        <w:jc w:val="both"/>
        <w:rPr>
          <w:rFonts w:ascii="Times New Roman" w:eastAsia="Times New Roman" w:hAnsi="Times New Roman" w:cs="Times New Roman"/>
          <w:b/>
          <w:i/>
          <w:color w:val="000000" w:themeColor="text1"/>
          <w:kern w:val="0"/>
          <w:lang w:val="sr-Cyrl-RS"/>
          <w14:ligatures w14:val="none"/>
        </w:rPr>
      </w:pPr>
    </w:p>
    <w:p w14:paraId="7DDFDA7C" w14:textId="0C6E9032" w:rsidR="003704A9" w:rsidRPr="00226F9D" w:rsidRDefault="003704A9" w:rsidP="003704A9">
      <w:pPr>
        <w:spacing w:after="0" w:line="240" w:lineRule="auto"/>
        <w:jc w:val="both"/>
        <w:rPr>
          <w:rFonts w:ascii="Times New Roman" w:eastAsia="Times New Roman" w:hAnsi="Times New Roman" w:cs="Times New Roman"/>
          <w:lang w:val="sr-Cyrl-RS" w:eastAsia="de-CH"/>
        </w:rPr>
      </w:pPr>
      <w:r w:rsidRPr="00226F9D">
        <w:rPr>
          <w:rFonts w:ascii="Times New Roman" w:eastAsia="Times New Roman" w:hAnsi="Times New Roman" w:cs="Times New Roman"/>
          <w:u w:val="single"/>
          <w:lang w:val="sr-Cyrl-RS" w:eastAsia="de-CH"/>
        </w:rPr>
        <w:t>Опције за достизање Посебног циља 3 – приказ адаптације у односу на претходни програмски период и одговор прилагођеног сета мера на препознате ризике</w:t>
      </w:r>
      <w:r w:rsidRPr="00226F9D">
        <w:rPr>
          <w:rFonts w:ascii="Times New Roman" w:eastAsia="Times New Roman" w:hAnsi="Times New Roman" w:cs="Times New Roman"/>
          <w:lang w:val="sr-Cyrl-RS" w:eastAsia="de-CH"/>
        </w:rPr>
        <w:t>:</w:t>
      </w:r>
    </w:p>
    <w:p w14:paraId="0FCDB69E" w14:textId="77777777" w:rsidR="003704A9" w:rsidRPr="00226F9D" w:rsidRDefault="003704A9" w:rsidP="003704A9">
      <w:pPr>
        <w:spacing w:after="0" w:line="240" w:lineRule="auto"/>
        <w:jc w:val="both"/>
        <w:rPr>
          <w:rFonts w:ascii="Times New Roman" w:eastAsia="Times New Roman" w:hAnsi="Times New Roman" w:cs="Times New Roman"/>
          <w:kern w:val="0"/>
          <w:lang w:val="sr-Cyrl-RS" w:eastAsia="de-CH"/>
          <w14:ligatures w14:val="none"/>
        </w:rPr>
      </w:pPr>
    </w:p>
    <w:p w14:paraId="61E390B5" w14:textId="5266CFC3" w:rsidR="003704A9" w:rsidRPr="00226F9D" w:rsidRDefault="003704A9" w:rsidP="003704A9">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У детаљном разматрању опција и анализи ефеката на нивоу овог циља у оквиру ПРСЛС 2021-2025, аргументован је и опредељен избор опције </w:t>
      </w:r>
      <w:r w:rsidR="001B5145" w:rsidRPr="00226F9D">
        <w:rPr>
          <w:rFonts w:ascii="Times New Roman" w:eastAsia="Times New Roman" w:hAnsi="Times New Roman" w:cs="Times New Roman"/>
          <w:kern w:val="0"/>
          <w:lang w:val="sr-Cyrl-RS" w:eastAsia="de-CH"/>
          <w14:ligatures w14:val="none"/>
        </w:rPr>
        <w:t>усмерене н</w:t>
      </w:r>
      <w:r w:rsidR="00D251D7" w:rsidRPr="00226F9D">
        <w:rPr>
          <w:rFonts w:ascii="Times New Roman" w:eastAsia="Times New Roman" w:hAnsi="Times New Roman" w:cs="Times New Roman"/>
          <w:kern w:val="0"/>
          <w:lang w:val="sr-Cyrl-RS" w:eastAsia="de-CH"/>
          <w14:ligatures w14:val="none"/>
        </w:rPr>
        <w:t>а</w:t>
      </w:r>
      <w:r w:rsidR="00D251D7" w:rsidRPr="00226F9D">
        <w:rPr>
          <w:rFonts w:ascii="Times New Roman" w:eastAsia="Times New Roman" w:hAnsi="Times New Roman" w:cs="Times New Roman"/>
          <w:i/>
          <w:iCs/>
          <w:kern w:val="0"/>
          <w:lang w:val="sr-Cyrl-RS" w:eastAsia="de-CH"/>
          <w14:ligatures w14:val="none"/>
        </w:rPr>
        <w:t xml:space="preserve"> и</w:t>
      </w:r>
      <w:r w:rsidR="00F53D16" w:rsidRPr="00226F9D">
        <w:rPr>
          <w:rFonts w:ascii="Times New Roman" w:eastAsia="Times New Roman" w:hAnsi="Times New Roman" w:cs="Times New Roman"/>
          <w:i/>
          <w:iCs/>
          <w:kern w:val="0"/>
          <w:lang w:val="sr-Cyrl-RS" w:eastAsia="de-CH"/>
          <w14:ligatures w14:val="none"/>
        </w:rPr>
        <w:t xml:space="preserve">змене законског оквира који </w:t>
      </w:r>
      <w:r w:rsidR="00D251D7" w:rsidRPr="00226F9D">
        <w:rPr>
          <w:rFonts w:ascii="Times New Roman" w:eastAsia="Times New Roman" w:hAnsi="Times New Roman" w:cs="Times New Roman"/>
          <w:i/>
          <w:iCs/>
          <w:kern w:val="0"/>
          <w:lang w:val="sr-Cyrl-RS" w:eastAsia="de-CH"/>
          <w14:ligatures w14:val="none"/>
        </w:rPr>
        <w:t>уређује</w:t>
      </w:r>
      <w:r w:rsidR="00F53D16" w:rsidRPr="00226F9D">
        <w:rPr>
          <w:rFonts w:ascii="Times New Roman" w:eastAsia="Times New Roman" w:hAnsi="Times New Roman" w:cs="Times New Roman"/>
          <w:i/>
          <w:iCs/>
          <w:kern w:val="0"/>
          <w:lang w:val="sr-Cyrl-RS" w:eastAsia="de-CH"/>
          <w14:ligatures w14:val="none"/>
        </w:rPr>
        <w:t xml:space="preserve"> организацију ЛС, унапређење </w:t>
      </w:r>
      <w:r w:rsidR="00FF44CD" w:rsidRPr="00226F9D">
        <w:rPr>
          <w:rFonts w:ascii="Times New Roman" w:eastAsia="Times New Roman" w:hAnsi="Times New Roman" w:cs="Times New Roman"/>
          <w:i/>
          <w:iCs/>
          <w:kern w:val="0"/>
          <w:lang w:val="sr-Cyrl-RS" w:eastAsia="de-CH"/>
          <w14:ligatures w14:val="none"/>
        </w:rPr>
        <w:t xml:space="preserve">примене планског система на локалном нивоу </w:t>
      </w:r>
      <w:r w:rsidR="00F53D16" w:rsidRPr="00226F9D">
        <w:rPr>
          <w:rFonts w:ascii="Times New Roman" w:eastAsia="Times New Roman" w:hAnsi="Times New Roman" w:cs="Times New Roman"/>
          <w:i/>
          <w:iCs/>
          <w:kern w:val="0"/>
          <w:lang w:val="sr-Cyrl-RS" w:eastAsia="de-CH"/>
          <w14:ligatures w14:val="none"/>
        </w:rPr>
        <w:t>и ефективниј</w:t>
      </w:r>
      <w:r w:rsidR="00FF44CD" w:rsidRPr="00226F9D">
        <w:rPr>
          <w:rFonts w:ascii="Times New Roman" w:eastAsia="Times New Roman" w:hAnsi="Times New Roman" w:cs="Times New Roman"/>
          <w:i/>
          <w:iCs/>
          <w:kern w:val="0"/>
          <w:lang w:val="sr-Cyrl-RS" w:eastAsia="de-CH"/>
          <w14:ligatures w14:val="none"/>
        </w:rPr>
        <w:t>у</w:t>
      </w:r>
      <w:r w:rsidR="00F53D16" w:rsidRPr="00226F9D">
        <w:rPr>
          <w:rFonts w:ascii="Times New Roman" w:eastAsia="Times New Roman" w:hAnsi="Times New Roman" w:cs="Times New Roman"/>
          <w:i/>
          <w:iCs/>
          <w:kern w:val="0"/>
          <w:lang w:val="sr-Cyrl-RS" w:eastAsia="de-CH"/>
          <w14:ligatures w14:val="none"/>
        </w:rPr>
        <w:t xml:space="preserve"> примен</w:t>
      </w:r>
      <w:r w:rsidR="00FF44CD" w:rsidRPr="00226F9D">
        <w:rPr>
          <w:rFonts w:ascii="Times New Roman" w:eastAsia="Times New Roman" w:hAnsi="Times New Roman" w:cs="Times New Roman"/>
          <w:i/>
          <w:iCs/>
          <w:kern w:val="0"/>
          <w:lang w:val="sr-Cyrl-RS" w:eastAsia="de-CH"/>
          <w14:ligatures w14:val="none"/>
        </w:rPr>
        <w:t>у</w:t>
      </w:r>
      <w:r w:rsidR="00F53D16" w:rsidRPr="00226F9D">
        <w:rPr>
          <w:rFonts w:ascii="Times New Roman" w:eastAsia="Times New Roman" w:hAnsi="Times New Roman" w:cs="Times New Roman"/>
          <w:i/>
          <w:iCs/>
          <w:kern w:val="0"/>
          <w:lang w:val="sr-Cyrl-RS" w:eastAsia="de-CH"/>
          <w14:ligatures w14:val="none"/>
        </w:rPr>
        <w:t xml:space="preserve"> постојећих институционалних механизама</w:t>
      </w:r>
      <w:r w:rsidR="006F2E05"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kern w:val="0"/>
          <w:lang w:val="sr-Cyrl-RS" w:eastAsia="de-CH"/>
          <w14:ligatures w14:val="none"/>
        </w:rPr>
        <w:t xml:space="preserve">Ова опција остаје валидна за нови програмски период, уз </w:t>
      </w:r>
      <w:r w:rsidR="00815BD6" w:rsidRPr="00226F9D">
        <w:rPr>
          <w:rFonts w:ascii="Times New Roman" w:eastAsia="Times New Roman" w:hAnsi="Times New Roman" w:cs="Times New Roman"/>
          <w:kern w:val="0"/>
          <w:lang w:val="sr-Cyrl-RS" w:eastAsia="de-CH"/>
          <w14:ligatures w14:val="none"/>
        </w:rPr>
        <w:t xml:space="preserve">адаптације и одређено иновирање </w:t>
      </w:r>
      <w:r w:rsidRPr="00226F9D">
        <w:rPr>
          <w:rFonts w:ascii="Times New Roman" w:eastAsia="Times New Roman" w:hAnsi="Times New Roman" w:cs="Times New Roman"/>
          <w:kern w:val="0"/>
          <w:lang w:val="sr-Cyrl-RS" w:eastAsia="de-CH"/>
          <w14:ligatures w14:val="none"/>
        </w:rPr>
        <w:t>сета мера руковођено:</w:t>
      </w:r>
      <w:r w:rsidR="00013214" w:rsidRPr="00226F9D">
        <w:rPr>
          <w:rFonts w:ascii="Times New Roman" w:eastAsia="Times New Roman" w:hAnsi="Times New Roman" w:cs="Times New Roman"/>
          <w:kern w:val="0"/>
          <w:lang w:val="sr-Cyrl-RS" w:eastAsia="de-CH"/>
          <w14:ligatures w14:val="none"/>
        </w:rPr>
        <w:t xml:space="preserve"> </w:t>
      </w:r>
      <w:r w:rsidR="00650C50" w:rsidRPr="00226F9D">
        <w:rPr>
          <w:rFonts w:ascii="Times New Roman" w:eastAsia="Times New Roman" w:hAnsi="Times New Roman" w:cs="Times New Roman"/>
          <w:kern w:val="0"/>
          <w:lang w:val="sr-Cyrl-RS" w:eastAsia="de-CH"/>
          <w14:ligatures w14:val="none"/>
        </w:rPr>
        <w:t>1)</w:t>
      </w:r>
      <w:r w:rsidR="00013214" w:rsidRPr="00226F9D">
        <w:rPr>
          <w:rFonts w:ascii="Times New Roman" w:eastAsia="Times New Roman" w:hAnsi="Times New Roman" w:cs="Times New Roman"/>
          <w:kern w:val="0"/>
          <w:lang w:val="sr-Cyrl-RS" w:eastAsia="de-CH"/>
          <w14:ligatures w14:val="none"/>
        </w:rPr>
        <w:t xml:space="preserve"> искуствима стеченим у спровођењу претходног Програма и</w:t>
      </w:r>
      <w:r w:rsidR="00E76AC4" w:rsidRPr="00226F9D">
        <w:rPr>
          <w:rFonts w:ascii="Times New Roman" w:eastAsia="Times New Roman" w:hAnsi="Times New Roman" w:cs="Times New Roman"/>
          <w:kern w:val="0"/>
          <w:lang w:val="sr-Cyrl-RS" w:eastAsia="de-CH"/>
          <w14:ligatures w14:val="none"/>
        </w:rPr>
        <w:t xml:space="preserve"> </w:t>
      </w:r>
      <w:r w:rsidR="00BC52A0" w:rsidRPr="00226F9D">
        <w:rPr>
          <w:rFonts w:ascii="Times New Roman" w:eastAsia="Times New Roman" w:hAnsi="Times New Roman" w:cs="Times New Roman"/>
          <w:kern w:val="0"/>
          <w:lang w:val="sr-Cyrl-RS" w:eastAsia="de-CH"/>
          <w14:ligatures w14:val="none"/>
        </w:rPr>
        <w:t>инкорпорирањем</w:t>
      </w:r>
      <w:r w:rsidR="00485506" w:rsidRPr="00226F9D">
        <w:rPr>
          <w:rFonts w:ascii="Times New Roman" w:eastAsia="Times New Roman" w:hAnsi="Times New Roman" w:cs="Times New Roman"/>
          <w:kern w:val="0"/>
          <w:lang w:val="sr-Cyrl-RS" w:eastAsia="de-CH"/>
          <w14:ligatures w14:val="none"/>
        </w:rPr>
        <w:t xml:space="preserve"> циљаних м</w:t>
      </w:r>
      <w:r w:rsidR="00196011" w:rsidRPr="00226F9D">
        <w:rPr>
          <w:rFonts w:ascii="Times New Roman" w:eastAsia="Times New Roman" w:hAnsi="Times New Roman" w:cs="Times New Roman"/>
          <w:kern w:val="0"/>
          <w:lang w:val="sr-Cyrl-RS" w:eastAsia="de-CH"/>
          <w14:ligatures w14:val="none"/>
        </w:rPr>
        <w:t xml:space="preserve">ера у домену </w:t>
      </w:r>
      <w:r w:rsidR="00E60EB2" w:rsidRPr="00226F9D">
        <w:rPr>
          <w:rFonts w:ascii="Times New Roman" w:eastAsia="Times New Roman" w:hAnsi="Times New Roman" w:cs="Times New Roman"/>
          <w:kern w:val="0"/>
          <w:lang w:val="sr-Cyrl-RS" w:eastAsia="de-CH"/>
          <w14:ligatures w14:val="none"/>
        </w:rPr>
        <w:t xml:space="preserve">развоја и </w:t>
      </w:r>
      <w:r w:rsidR="00196011" w:rsidRPr="00226F9D">
        <w:rPr>
          <w:rFonts w:ascii="Times New Roman" w:eastAsia="Times New Roman" w:hAnsi="Times New Roman" w:cs="Times New Roman"/>
          <w:kern w:val="0"/>
          <w:lang w:val="sr-Cyrl-RS" w:eastAsia="de-CH"/>
          <w14:ligatures w14:val="none"/>
        </w:rPr>
        <w:t>управљања људски</w:t>
      </w:r>
      <w:r w:rsidR="00E60EB2" w:rsidRPr="00226F9D">
        <w:rPr>
          <w:rFonts w:ascii="Times New Roman" w:eastAsia="Times New Roman" w:hAnsi="Times New Roman" w:cs="Times New Roman"/>
          <w:kern w:val="0"/>
          <w:lang w:val="sr-Cyrl-RS" w:eastAsia="de-CH"/>
          <w14:ligatures w14:val="none"/>
        </w:rPr>
        <w:t>м</w:t>
      </w:r>
      <w:r w:rsidR="008B0310" w:rsidRPr="00226F9D">
        <w:rPr>
          <w:rFonts w:ascii="Times New Roman" w:eastAsia="Times New Roman" w:hAnsi="Times New Roman" w:cs="Times New Roman"/>
          <w:kern w:val="0"/>
          <w:lang w:val="sr-Cyrl-RS" w:eastAsia="de-CH"/>
          <w14:ligatures w14:val="none"/>
        </w:rPr>
        <w:t xml:space="preserve"> ресурс</w:t>
      </w:r>
      <w:r w:rsidR="00E60EB2" w:rsidRPr="00226F9D">
        <w:rPr>
          <w:rFonts w:ascii="Times New Roman" w:eastAsia="Times New Roman" w:hAnsi="Times New Roman" w:cs="Times New Roman"/>
          <w:kern w:val="0"/>
          <w:lang w:val="sr-Cyrl-RS" w:eastAsia="de-CH"/>
          <w14:ligatures w14:val="none"/>
        </w:rPr>
        <w:t>има</w:t>
      </w:r>
      <w:r w:rsidR="00435AF9" w:rsidRPr="00226F9D">
        <w:rPr>
          <w:rFonts w:ascii="Times New Roman" w:eastAsia="Times New Roman" w:hAnsi="Times New Roman" w:cs="Times New Roman"/>
          <w:kern w:val="0"/>
          <w:lang w:val="sr-Cyrl-RS" w:eastAsia="de-CH"/>
          <w14:ligatures w14:val="none"/>
        </w:rPr>
        <w:t xml:space="preserve"> (УЉР)</w:t>
      </w:r>
      <w:r w:rsidR="00BC52A0" w:rsidRPr="00226F9D">
        <w:rPr>
          <w:rFonts w:ascii="Times New Roman" w:eastAsia="Times New Roman" w:hAnsi="Times New Roman" w:cs="Times New Roman"/>
          <w:kern w:val="0"/>
          <w:lang w:val="sr-Cyrl-RS" w:eastAsia="de-CH"/>
          <w14:ligatures w14:val="none"/>
        </w:rPr>
        <w:t xml:space="preserve"> у</w:t>
      </w:r>
      <w:r w:rsidR="008B0310" w:rsidRPr="00226F9D">
        <w:rPr>
          <w:rFonts w:ascii="Times New Roman" w:eastAsia="Times New Roman" w:hAnsi="Times New Roman" w:cs="Times New Roman"/>
          <w:kern w:val="0"/>
          <w:lang w:val="sr-Cyrl-RS" w:eastAsia="de-CH"/>
          <w14:ligatures w14:val="none"/>
        </w:rPr>
        <w:t xml:space="preserve"> обухват новог Пр</w:t>
      </w:r>
      <w:r w:rsidR="00BC52A0" w:rsidRPr="00226F9D">
        <w:rPr>
          <w:rFonts w:ascii="Times New Roman" w:eastAsia="Times New Roman" w:hAnsi="Times New Roman" w:cs="Times New Roman"/>
          <w:kern w:val="0"/>
          <w:lang w:val="sr-Cyrl-RS" w:eastAsia="de-CH"/>
          <w14:ligatures w14:val="none"/>
        </w:rPr>
        <w:t>ограма</w:t>
      </w:r>
      <w:r w:rsidRPr="00226F9D">
        <w:rPr>
          <w:rFonts w:ascii="Times New Roman" w:eastAsia="Times New Roman" w:hAnsi="Times New Roman" w:cs="Times New Roman"/>
          <w:kern w:val="0"/>
          <w:lang w:val="sr-Cyrl-RS" w:eastAsia="de-CH"/>
          <w14:ligatures w14:val="none"/>
        </w:rPr>
        <w:t>;</w:t>
      </w:r>
      <w:r w:rsidR="00105972" w:rsidRPr="00226F9D">
        <w:rPr>
          <w:rFonts w:ascii="Times New Roman" w:eastAsia="Times New Roman" w:hAnsi="Times New Roman" w:cs="Times New Roman"/>
          <w:kern w:val="0"/>
          <w:lang w:val="sr-Cyrl-RS" w:eastAsia="de-CH"/>
          <w14:ligatures w14:val="none"/>
        </w:rPr>
        <w:t xml:space="preserve"> </w:t>
      </w:r>
      <w:r w:rsidR="00650C50" w:rsidRPr="00226F9D">
        <w:rPr>
          <w:rFonts w:ascii="Times New Roman" w:eastAsia="Times New Roman" w:hAnsi="Times New Roman" w:cs="Times New Roman"/>
          <w:kern w:val="0"/>
          <w:lang w:val="sr-Cyrl-RS" w:eastAsia="de-CH"/>
          <w14:ligatures w14:val="none"/>
        </w:rPr>
        <w:t xml:space="preserve">2) </w:t>
      </w:r>
      <w:r w:rsidR="00105972" w:rsidRPr="00226F9D">
        <w:rPr>
          <w:rFonts w:ascii="Times New Roman" w:eastAsia="Times New Roman" w:hAnsi="Times New Roman" w:cs="Times New Roman"/>
          <w:kern w:val="0"/>
          <w:lang w:val="sr-Cyrl-RS" w:eastAsia="de-CH"/>
          <w14:ligatures w14:val="none"/>
        </w:rPr>
        <w:t>нужно</w:t>
      </w:r>
      <w:r w:rsidR="006455AC" w:rsidRPr="00226F9D">
        <w:rPr>
          <w:rFonts w:ascii="Times New Roman" w:eastAsia="Times New Roman" w:hAnsi="Times New Roman" w:cs="Times New Roman"/>
          <w:kern w:val="0"/>
          <w:lang w:val="sr-Cyrl-RS" w:eastAsia="de-CH"/>
          <w14:ligatures w14:val="none"/>
        </w:rPr>
        <w:t xml:space="preserve">шћу </w:t>
      </w:r>
      <w:r w:rsidR="00AD441A" w:rsidRPr="00226F9D">
        <w:rPr>
          <w:rFonts w:ascii="Times New Roman" w:eastAsia="Times New Roman" w:hAnsi="Times New Roman" w:cs="Times New Roman"/>
          <w:kern w:val="0"/>
          <w:lang w:val="sr-Cyrl-RS" w:eastAsia="de-CH"/>
          <w14:ligatures w14:val="none"/>
        </w:rPr>
        <w:t>реформисања система плата</w:t>
      </w:r>
      <w:r w:rsidR="001174DB" w:rsidRPr="00226F9D">
        <w:rPr>
          <w:rFonts w:ascii="Times New Roman" w:eastAsia="Times New Roman" w:hAnsi="Times New Roman" w:cs="Times New Roman"/>
          <w:kern w:val="0"/>
          <w:lang w:val="sr-Cyrl-RS" w:eastAsia="de-CH"/>
          <w14:ligatures w14:val="none"/>
        </w:rPr>
        <w:t xml:space="preserve"> и ефектив</w:t>
      </w:r>
      <w:r w:rsidR="001E6077" w:rsidRPr="00226F9D">
        <w:rPr>
          <w:rFonts w:ascii="Times New Roman" w:eastAsia="Times New Roman" w:hAnsi="Times New Roman" w:cs="Times New Roman"/>
          <w:kern w:val="0"/>
          <w:lang w:val="sr-Cyrl-RS" w:eastAsia="de-CH"/>
          <w14:ligatures w14:val="none"/>
        </w:rPr>
        <w:t>није примене прописа</w:t>
      </w:r>
      <w:r w:rsidR="00435AF9" w:rsidRPr="00226F9D">
        <w:rPr>
          <w:rFonts w:ascii="Times New Roman" w:eastAsia="Times New Roman" w:hAnsi="Times New Roman" w:cs="Times New Roman"/>
          <w:kern w:val="0"/>
          <w:lang w:val="sr-Cyrl-RS" w:eastAsia="de-CH"/>
          <w14:ligatures w14:val="none"/>
        </w:rPr>
        <w:t xml:space="preserve"> који уређују УЉР </w:t>
      </w:r>
      <w:r w:rsidR="00F2688C" w:rsidRPr="00226F9D">
        <w:rPr>
          <w:rFonts w:ascii="Times New Roman" w:eastAsia="Times New Roman" w:hAnsi="Times New Roman" w:cs="Times New Roman"/>
          <w:kern w:val="0"/>
          <w:lang w:val="sr-Cyrl-RS" w:eastAsia="de-CH"/>
          <w14:ligatures w14:val="none"/>
        </w:rPr>
        <w:t>у складу са налазима ЕК;</w:t>
      </w:r>
      <w:r w:rsidR="001E6077" w:rsidRPr="00226F9D">
        <w:rPr>
          <w:rFonts w:ascii="Times New Roman" w:eastAsia="Times New Roman" w:hAnsi="Times New Roman" w:cs="Times New Roman"/>
          <w:kern w:val="0"/>
          <w:lang w:val="sr-Cyrl-RS" w:eastAsia="de-CH"/>
          <w14:ligatures w14:val="none"/>
        </w:rPr>
        <w:t xml:space="preserve"> </w:t>
      </w:r>
      <w:r w:rsidR="00650C50" w:rsidRPr="00226F9D">
        <w:rPr>
          <w:rFonts w:ascii="Times New Roman" w:eastAsia="Times New Roman" w:hAnsi="Times New Roman" w:cs="Times New Roman"/>
          <w:kern w:val="0"/>
          <w:lang w:val="sr-Cyrl-RS" w:eastAsia="de-CH"/>
          <w14:ligatures w14:val="none"/>
        </w:rPr>
        <w:t>3)</w:t>
      </w:r>
      <w:r w:rsidR="001E6077"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kern w:val="0"/>
          <w:lang w:val="sr-Cyrl-RS" w:eastAsia="de-CH"/>
          <w14:ligatures w14:val="none"/>
        </w:rPr>
        <w:t>бољим фокусирањем планова и ресурса</w:t>
      </w:r>
      <w:r w:rsidR="00F2688C" w:rsidRPr="00226F9D">
        <w:rPr>
          <w:rFonts w:ascii="Times New Roman" w:eastAsia="Times New Roman" w:hAnsi="Times New Roman" w:cs="Times New Roman"/>
          <w:kern w:val="0"/>
          <w:lang w:val="sr-Cyrl-RS" w:eastAsia="de-CH"/>
          <w14:ligatures w14:val="none"/>
        </w:rPr>
        <w:t>, у</w:t>
      </w:r>
      <w:r w:rsidR="005F13B5" w:rsidRPr="00226F9D">
        <w:rPr>
          <w:rFonts w:ascii="Times New Roman" w:eastAsia="Times New Roman" w:hAnsi="Times New Roman" w:cs="Times New Roman"/>
          <w:kern w:val="0"/>
          <w:lang w:val="sr-Cyrl-RS" w:eastAsia="de-CH"/>
          <w14:ligatures w14:val="none"/>
        </w:rPr>
        <w:t xml:space="preserve">кључујући </w:t>
      </w:r>
      <w:r w:rsidR="00046F3D" w:rsidRPr="00226F9D">
        <w:rPr>
          <w:rFonts w:ascii="Times New Roman" w:eastAsia="Times New Roman" w:hAnsi="Times New Roman" w:cs="Times New Roman"/>
          <w:kern w:val="0"/>
          <w:lang w:val="sr-Cyrl-RS" w:eastAsia="de-CH"/>
          <w14:ligatures w14:val="none"/>
        </w:rPr>
        <w:t xml:space="preserve">и </w:t>
      </w:r>
      <w:r w:rsidR="00981E89" w:rsidRPr="00226F9D">
        <w:rPr>
          <w:rFonts w:ascii="Times New Roman" w:eastAsia="Times New Roman" w:hAnsi="Times New Roman" w:cs="Times New Roman"/>
          <w:kern w:val="0"/>
          <w:lang w:val="sr-Cyrl-RS" w:eastAsia="de-CH"/>
          <w14:ligatures w14:val="none"/>
        </w:rPr>
        <w:t xml:space="preserve">измештање међуопштинске сарадње </w:t>
      </w:r>
      <w:r w:rsidR="00D946AD" w:rsidRPr="00226F9D">
        <w:rPr>
          <w:rFonts w:ascii="Times New Roman" w:eastAsia="Times New Roman" w:hAnsi="Times New Roman" w:cs="Times New Roman"/>
          <w:kern w:val="0"/>
          <w:lang w:val="sr-Cyrl-RS" w:eastAsia="de-CH"/>
          <w14:ligatures w14:val="none"/>
        </w:rPr>
        <w:t xml:space="preserve">(МОС) </w:t>
      </w:r>
      <w:r w:rsidR="00981E89" w:rsidRPr="00226F9D">
        <w:rPr>
          <w:rFonts w:ascii="Times New Roman" w:eastAsia="Times New Roman" w:hAnsi="Times New Roman" w:cs="Times New Roman"/>
          <w:kern w:val="0"/>
          <w:lang w:val="sr-Cyrl-RS" w:eastAsia="de-CH"/>
          <w14:ligatures w14:val="none"/>
        </w:rPr>
        <w:t xml:space="preserve">под посебни циљ 4 </w:t>
      </w:r>
      <w:r w:rsidR="0076404B" w:rsidRPr="00226F9D">
        <w:rPr>
          <w:rFonts w:ascii="Times New Roman" w:eastAsia="Times New Roman" w:hAnsi="Times New Roman" w:cs="Times New Roman"/>
          <w:kern w:val="0"/>
          <w:lang w:val="sr-Cyrl-RS" w:eastAsia="de-CH"/>
          <w14:ligatures w14:val="none"/>
        </w:rPr>
        <w:t xml:space="preserve">како би </w:t>
      </w:r>
      <w:r w:rsidR="00D946AD" w:rsidRPr="00226F9D">
        <w:rPr>
          <w:rFonts w:ascii="Times New Roman" w:eastAsia="Times New Roman" w:hAnsi="Times New Roman" w:cs="Times New Roman"/>
          <w:kern w:val="0"/>
          <w:lang w:val="sr-Cyrl-RS" w:eastAsia="de-CH"/>
          <w14:ligatures w14:val="none"/>
        </w:rPr>
        <w:t xml:space="preserve">МОС </w:t>
      </w:r>
      <w:r w:rsidR="0076404B" w:rsidRPr="00226F9D">
        <w:rPr>
          <w:rFonts w:ascii="Times New Roman" w:eastAsia="Times New Roman" w:hAnsi="Times New Roman" w:cs="Times New Roman"/>
          <w:kern w:val="0"/>
          <w:lang w:val="sr-Cyrl-RS" w:eastAsia="de-CH"/>
          <w14:ligatures w14:val="none"/>
        </w:rPr>
        <w:t xml:space="preserve">била </w:t>
      </w:r>
      <w:r w:rsidR="00D946AD" w:rsidRPr="00226F9D">
        <w:rPr>
          <w:rFonts w:ascii="Times New Roman" w:eastAsia="Times New Roman" w:hAnsi="Times New Roman" w:cs="Times New Roman"/>
          <w:kern w:val="0"/>
          <w:lang w:val="sr-Cyrl-RS" w:eastAsia="de-CH"/>
          <w14:ligatures w14:val="none"/>
        </w:rPr>
        <w:t>у функцији унапређења услуга</w:t>
      </w:r>
      <w:r w:rsidR="00363D7A" w:rsidRPr="00226F9D">
        <w:rPr>
          <w:rFonts w:ascii="Times New Roman" w:eastAsia="Times New Roman" w:hAnsi="Times New Roman" w:cs="Times New Roman"/>
          <w:kern w:val="0"/>
          <w:lang w:val="sr-Cyrl-RS" w:eastAsia="de-CH"/>
          <w14:ligatures w14:val="none"/>
        </w:rPr>
        <w:t>;</w:t>
      </w:r>
      <w:r w:rsidR="0054004F" w:rsidRPr="00226F9D">
        <w:rPr>
          <w:rFonts w:ascii="Times New Roman" w:eastAsia="Times New Roman" w:hAnsi="Times New Roman" w:cs="Times New Roman"/>
          <w:kern w:val="0"/>
          <w:lang w:val="sr-Cyrl-RS" w:eastAsia="de-CH"/>
          <w14:ligatures w14:val="none"/>
        </w:rPr>
        <w:t xml:space="preserve"> </w:t>
      </w:r>
      <w:r w:rsidR="00466AA9" w:rsidRPr="00226F9D">
        <w:rPr>
          <w:rFonts w:ascii="Times New Roman" w:eastAsia="Times New Roman" w:hAnsi="Times New Roman" w:cs="Times New Roman"/>
          <w:kern w:val="0"/>
          <w:lang w:val="sr-Cyrl-RS" w:eastAsia="de-CH"/>
          <w14:ligatures w14:val="none"/>
        </w:rPr>
        <w:t>4)</w:t>
      </w:r>
      <w:r w:rsidR="0054004F" w:rsidRPr="00226F9D">
        <w:rPr>
          <w:rFonts w:ascii="Times New Roman" w:eastAsia="Times New Roman" w:hAnsi="Times New Roman" w:cs="Times New Roman"/>
          <w:kern w:val="0"/>
          <w:lang w:val="sr-Cyrl-RS" w:eastAsia="de-CH"/>
          <w14:ligatures w14:val="none"/>
        </w:rPr>
        <w:t xml:space="preserve"> </w:t>
      </w:r>
      <w:r w:rsidR="00466AA9" w:rsidRPr="00226F9D">
        <w:rPr>
          <w:rFonts w:ascii="Times New Roman" w:eastAsia="Times New Roman" w:hAnsi="Times New Roman" w:cs="Times New Roman"/>
          <w:kern w:val="0"/>
          <w:lang w:val="sr-Cyrl-RS" w:eastAsia="de-CH"/>
          <w14:ligatures w14:val="none"/>
        </w:rPr>
        <w:t>потребом</w:t>
      </w:r>
      <w:r w:rsidR="00F0714C" w:rsidRPr="00226F9D">
        <w:rPr>
          <w:rFonts w:ascii="Times New Roman" w:eastAsia="Times New Roman" w:hAnsi="Times New Roman" w:cs="Times New Roman"/>
          <w:kern w:val="0"/>
          <w:lang w:val="sr-Cyrl-RS" w:eastAsia="de-CH"/>
          <w14:ligatures w14:val="none"/>
        </w:rPr>
        <w:t xml:space="preserve"> </w:t>
      </w:r>
      <w:r w:rsidR="00096D67" w:rsidRPr="00226F9D">
        <w:rPr>
          <w:rFonts w:ascii="Times New Roman" w:eastAsia="Times New Roman" w:hAnsi="Times New Roman" w:cs="Times New Roman"/>
          <w:kern w:val="0"/>
          <w:lang w:val="sr-Cyrl-RS" w:eastAsia="de-CH"/>
          <w14:ligatures w14:val="none"/>
        </w:rPr>
        <w:t>јачањ</w:t>
      </w:r>
      <w:r w:rsidR="00466AA9" w:rsidRPr="00226F9D">
        <w:rPr>
          <w:rFonts w:ascii="Times New Roman" w:eastAsia="Times New Roman" w:hAnsi="Times New Roman" w:cs="Times New Roman"/>
          <w:kern w:val="0"/>
          <w:lang w:val="sr-Cyrl-RS" w:eastAsia="de-CH"/>
          <w14:ligatures w14:val="none"/>
        </w:rPr>
        <w:t xml:space="preserve">а </w:t>
      </w:r>
      <w:r w:rsidR="00F0714C" w:rsidRPr="00226F9D">
        <w:rPr>
          <w:rFonts w:ascii="Times New Roman" w:eastAsia="Times New Roman" w:hAnsi="Times New Roman" w:cs="Times New Roman"/>
          <w:kern w:val="0"/>
          <w:lang w:val="sr-Cyrl-RS" w:eastAsia="de-CH"/>
          <w14:ligatures w14:val="none"/>
        </w:rPr>
        <w:t>капацитет</w:t>
      </w:r>
      <w:r w:rsidR="00096D67" w:rsidRPr="00226F9D">
        <w:rPr>
          <w:rFonts w:ascii="Times New Roman" w:eastAsia="Times New Roman" w:hAnsi="Times New Roman" w:cs="Times New Roman"/>
          <w:kern w:val="0"/>
          <w:lang w:val="sr-Cyrl-RS" w:eastAsia="de-CH"/>
          <w14:ligatures w14:val="none"/>
        </w:rPr>
        <w:t>а</w:t>
      </w:r>
      <w:r w:rsidR="00F0714C" w:rsidRPr="00226F9D">
        <w:rPr>
          <w:rFonts w:ascii="Times New Roman" w:eastAsia="Times New Roman" w:hAnsi="Times New Roman" w:cs="Times New Roman"/>
          <w:kern w:val="0"/>
          <w:lang w:val="sr-Cyrl-RS" w:eastAsia="de-CH"/>
          <w14:ligatures w14:val="none"/>
        </w:rPr>
        <w:t xml:space="preserve"> </w:t>
      </w:r>
      <w:r w:rsidR="0054004F" w:rsidRPr="00226F9D">
        <w:rPr>
          <w:rFonts w:ascii="Times New Roman" w:eastAsia="Times New Roman" w:hAnsi="Times New Roman" w:cs="Times New Roman"/>
          <w:kern w:val="0"/>
          <w:lang w:val="sr-Cyrl-RS" w:eastAsia="de-CH"/>
          <w14:ligatures w14:val="none"/>
        </w:rPr>
        <w:t xml:space="preserve">ЈЛС </w:t>
      </w:r>
      <w:r w:rsidR="008A61FE" w:rsidRPr="00226F9D">
        <w:rPr>
          <w:rFonts w:ascii="Times New Roman" w:eastAsia="Times New Roman" w:hAnsi="Times New Roman" w:cs="Times New Roman"/>
          <w:kern w:val="0"/>
          <w:lang w:val="sr-Cyrl-RS" w:eastAsia="de-CH"/>
          <w14:ligatures w14:val="none"/>
        </w:rPr>
        <w:t>у правцу</w:t>
      </w:r>
      <w:r w:rsidR="00F0714C" w:rsidRPr="00226F9D">
        <w:rPr>
          <w:rFonts w:ascii="Times New Roman" w:eastAsia="Times New Roman" w:hAnsi="Times New Roman" w:cs="Times New Roman"/>
          <w:kern w:val="0"/>
          <w:lang w:val="sr-Cyrl-RS" w:eastAsia="de-CH"/>
          <w14:ligatures w14:val="none"/>
        </w:rPr>
        <w:t xml:space="preserve"> </w:t>
      </w:r>
      <w:r w:rsidR="00096D67" w:rsidRPr="00226F9D">
        <w:rPr>
          <w:rFonts w:ascii="Times New Roman" w:eastAsia="Times New Roman" w:hAnsi="Times New Roman" w:cs="Times New Roman"/>
          <w:kern w:val="0"/>
          <w:lang w:val="sr-Cyrl-RS" w:eastAsia="de-CH"/>
          <w14:ligatures w14:val="none"/>
        </w:rPr>
        <w:t xml:space="preserve">остваривања територијалне кохезије </w:t>
      </w:r>
      <w:r w:rsidR="00DF7CC4" w:rsidRPr="00226F9D">
        <w:rPr>
          <w:rFonts w:ascii="Times New Roman" w:eastAsia="Times New Roman" w:hAnsi="Times New Roman" w:cs="Times New Roman"/>
          <w:kern w:val="0"/>
          <w:lang w:val="sr-Cyrl-RS" w:eastAsia="de-CH"/>
          <w14:ligatures w14:val="none"/>
        </w:rPr>
        <w:t xml:space="preserve">(по </w:t>
      </w:r>
      <w:r w:rsidR="00DF7CC4" w:rsidRPr="00226F9D">
        <w:rPr>
          <w:rFonts w:ascii="Times New Roman" w:eastAsia="Times New Roman" w:hAnsi="Times New Roman" w:cs="Times New Roman"/>
          <w:kern w:val="0"/>
          <w:lang w:val="sr-Cyrl-RS" w:eastAsia="de-CH"/>
          <w14:ligatures w14:val="none"/>
        </w:rPr>
        <w:lastRenderedPageBreak/>
        <w:t xml:space="preserve">моделима структурних инструмената ЕУ) </w:t>
      </w:r>
      <w:r w:rsidR="00466AA9" w:rsidRPr="00226F9D">
        <w:rPr>
          <w:rFonts w:ascii="Times New Roman" w:eastAsia="Times New Roman" w:hAnsi="Times New Roman" w:cs="Times New Roman"/>
          <w:kern w:val="0"/>
          <w:lang w:val="sr-Cyrl-RS" w:eastAsia="de-CH"/>
          <w14:ligatures w14:val="none"/>
        </w:rPr>
        <w:t>кој</w:t>
      </w:r>
      <w:r w:rsidR="003B15A2" w:rsidRPr="00226F9D">
        <w:rPr>
          <w:rFonts w:ascii="Times New Roman" w:eastAsia="Times New Roman" w:hAnsi="Times New Roman" w:cs="Times New Roman"/>
          <w:kern w:val="0"/>
          <w:lang w:val="sr-Cyrl-RS" w:eastAsia="de-CH"/>
          <w14:ligatures w14:val="none"/>
        </w:rPr>
        <w:t>а се</w:t>
      </w:r>
      <w:r w:rsidR="00DF7CC4" w:rsidRPr="00226F9D">
        <w:rPr>
          <w:rFonts w:ascii="Times New Roman" w:eastAsia="Times New Roman" w:hAnsi="Times New Roman" w:cs="Times New Roman"/>
          <w:kern w:val="0"/>
          <w:lang w:val="sr-Cyrl-RS" w:eastAsia="de-CH"/>
          <w14:ligatures w14:val="none"/>
        </w:rPr>
        <w:t xml:space="preserve"> </w:t>
      </w:r>
      <w:r w:rsidR="00736F77" w:rsidRPr="00226F9D">
        <w:rPr>
          <w:rFonts w:ascii="Times New Roman" w:eastAsia="Times New Roman" w:hAnsi="Times New Roman" w:cs="Times New Roman"/>
          <w:kern w:val="0"/>
          <w:lang w:val="sr-Cyrl-RS" w:eastAsia="de-CH"/>
          <w14:ligatures w14:val="none"/>
        </w:rPr>
        <w:t>увод</w:t>
      </w:r>
      <w:r w:rsidR="009635A4" w:rsidRPr="00226F9D">
        <w:rPr>
          <w:rFonts w:ascii="Times New Roman" w:eastAsia="Times New Roman" w:hAnsi="Times New Roman" w:cs="Times New Roman"/>
          <w:kern w:val="0"/>
          <w:lang w:val="sr-Cyrl-RS" w:eastAsia="de-CH"/>
          <w14:ligatures w14:val="none"/>
        </w:rPr>
        <w:t>и</w:t>
      </w:r>
      <w:r w:rsidR="00736F77" w:rsidRPr="00226F9D">
        <w:rPr>
          <w:rFonts w:ascii="Times New Roman" w:eastAsia="Times New Roman" w:hAnsi="Times New Roman" w:cs="Times New Roman"/>
          <w:kern w:val="0"/>
          <w:lang w:val="sr-Cyrl-RS" w:eastAsia="de-CH"/>
          <w14:ligatures w14:val="none"/>
        </w:rPr>
        <w:t xml:space="preserve"> као комплементарни </w:t>
      </w:r>
      <w:r w:rsidR="00274233" w:rsidRPr="00226F9D">
        <w:rPr>
          <w:rFonts w:ascii="Times New Roman" w:eastAsia="Times New Roman" w:hAnsi="Times New Roman" w:cs="Times New Roman"/>
          <w:kern w:val="0"/>
          <w:lang w:val="sr-Cyrl-RS" w:eastAsia="de-CH"/>
          <w14:ligatures w14:val="none"/>
        </w:rPr>
        <w:t xml:space="preserve">потенцијал </w:t>
      </w:r>
      <w:r w:rsidR="007D63D4" w:rsidRPr="00226F9D">
        <w:rPr>
          <w:rFonts w:ascii="Times New Roman" w:eastAsia="Times New Roman" w:hAnsi="Times New Roman" w:cs="Times New Roman"/>
          <w:kern w:val="0"/>
          <w:lang w:val="sr-Cyrl-RS" w:eastAsia="de-CH"/>
          <w14:ligatures w14:val="none"/>
        </w:rPr>
        <w:t xml:space="preserve">уз </w:t>
      </w:r>
      <w:r w:rsidR="00274233" w:rsidRPr="00226F9D">
        <w:rPr>
          <w:rFonts w:ascii="Times New Roman" w:eastAsia="Times New Roman" w:hAnsi="Times New Roman" w:cs="Times New Roman"/>
          <w:kern w:val="0"/>
          <w:lang w:val="sr-Cyrl-RS" w:eastAsia="de-CH"/>
          <w14:ligatures w14:val="none"/>
        </w:rPr>
        <w:t>домаћ</w:t>
      </w:r>
      <w:r w:rsidR="007D63D4" w:rsidRPr="00226F9D">
        <w:rPr>
          <w:rFonts w:ascii="Times New Roman" w:eastAsia="Times New Roman" w:hAnsi="Times New Roman" w:cs="Times New Roman"/>
          <w:kern w:val="0"/>
          <w:lang w:val="sr-Cyrl-RS" w:eastAsia="de-CH"/>
          <w14:ligatures w14:val="none"/>
        </w:rPr>
        <w:t>и</w:t>
      </w:r>
      <w:r w:rsidR="00274233" w:rsidRPr="00226F9D">
        <w:rPr>
          <w:rFonts w:ascii="Times New Roman" w:eastAsia="Times New Roman" w:hAnsi="Times New Roman" w:cs="Times New Roman"/>
          <w:kern w:val="0"/>
          <w:lang w:val="sr-Cyrl-RS" w:eastAsia="de-CH"/>
          <w14:ligatures w14:val="none"/>
        </w:rPr>
        <w:t xml:space="preserve"> планск</w:t>
      </w:r>
      <w:r w:rsidR="007D63D4" w:rsidRPr="00226F9D">
        <w:rPr>
          <w:rFonts w:ascii="Times New Roman" w:eastAsia="Times New Roman" w:hAnsi="Times New Roman" w:cs="Times New Roman"/>
          <w:kern w:val="0"/>
          <w:lang w:val="sr-Cyrl-RS" w:eastAsia="de-CH"/>
          <w14:ligatures w14:val="none"/>
        </w:rPr>
        <w:t>и</w:t>
      </w:r>
      <w:r w:rsidR="00274233" w:rsidRPr="00226F9D">
        <w:rPr>
          <w:rFonts w:ascii="Times New Roman" w:eastAsia="Times New Roman" w:hAnsi="Times New Roman" w:cs="Times New Roman"/>
          <w:kern w:val="0"/>
          <w:lang w:val="sr-Cyrl-RS" w:eastAsia="de-CH"/>
          <w14:ligatures w14:val="none"/>
        </w:rPr>
        <w:t xml:space="preserve"> систем</w:t>
      </w:r>
      <w:r w:rsidRPr="00226F9D">
        <w:rPr>
          <w:rFonts w:ascii="Times New Roman" w:eastAsia="Times New Roman" w:hAnsi="Times New Roman" w:cs="Times New Roman"/>
          <w:kern w:val="0"/>
          <w:lang w:val="sr-Cyrl-RS" w:eastAsia="de-CH"/>
          <w14:ligatures w14:val="none"/>
        </w:rPr>
        <w:t>. Упоредни преглед сетова мера као опција претходног и новог Програма за достизање Посебног циља 3 је како следи:</w:t>
      </w:r>
    </w:p>
    <w:p w14:paraId="72334A44" w14:textId="77777777" w:rsidR="003704A9" w:rsidRPr="00226F9D" w:rsidRDefault="003704A9" w:rsidP="003704A9">
      <w:pPr>
        <w:spacing w:after="0" w:line="240" w:lineRule="auto"/>
        <w:jc w:val="both"/>
        <w:rPr>
          <w:rFonts w:ascii="Times New Roman" w:eastAsia="Times New Roman" w:hAnsi="Times New Roman" w:cs="Times New Roman"/>
          <w:kern w:val="0"/>
          <w:lang w:val="sr-Cyrl-RS" w:eastAsia="de-CH"/>
          <w14:ligatures w14:val="none"/>
        </w:rPr>
      </w:pPr>
    </w:p>
    <w:tbl>
      <w:tblPr>
        <w:tblStyle w:val="TableGrid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15"/>
        <w:gridCol w:w="283"/>
        <w:gridCol w:w="4524"/>
      </w:tblGrid>
      <w:tr w:rsidR="003704A9" w:rsidRPr="00226F9D" w14:paraId="08A61D45" w14:textId="77777777" w:rsidTr="00E132D4">
        <w:trPr>
          <w:tblHeader/>
          <w:jc w:val="center"/>
        </w:trPr>
        <w:tc>
          <w:tcPr>
            <w:tcW w:w="5000" w:type="pct"/>
            <w:gridSpan w:val="3"/>
            <w:shd w:val="clear" w:color="auto" w:fill="FFCE3C"/>
          </w:tcPr>
          <w:p w14:paraId="1E504650" w14:textId="373D3376" w:rsidR="003704A9" w:rsidRPr="00226F9D" w:rsidRDefault="003704A9" w:rsidP="00C026E7">
            <w:pPr>
              <w:jc w:val="center"/>
              <w:rPr>
                <w:rFonts w:ascii="Times New Roman" w:eastAsia="Times New Roman" w:hAnsi="Times New Roman" w:cs="Times New Roman"/>
                <w:i/>
                <w:iCs/>
                <w:sz w:val="20"/>
                <w:szCs w:val="20"/>
                <w:highlight w:val="yellow"/>
                <w:lang w:val="sr-Cyrl-RS" w:eastAsia="en-GB"/>
              </w:rPr>
            </w:pPr>
            <w:r w:rsidRPr="00226F9D">
              <w:rPr>
                <w:rFonts w:ascii="Times New Roman" w:eastAsia="Times New Roman" w:hAnsi="Times New Roman" w:cs="Times New Roman"/>
                <w:i/>
                <w:iCs/>
                <w:sz w:val="20"/>
                <w:szCs w:val="20"/>
                <w:lang w:val="sr-Cyrl-RS" w:eastAsia="en-GB"/>
              </w:rPr>
              <w:t xml:space="preserve">Опција: </w:t>
            </w:r>
            <w:r w:rsidR="00890841" w:rsidRPr="00226F9D">
              <w:rPr>
                <w:rFonts w:ascii="Times New Roman" w:eastAsia="Times New Roman" w:hAnsi="Times New Roman" w:cs="Times New Roman"/>
                <w:i/>
                <w:iCs/>
                <w:sz w:val="20"/>
                <w:szCs w:val="20"/>
                <w:lang w:val="sr-Cyrl-RS" w:eastAsia="en-GB"/>
              </w:rPr>
              <w:t xml:space="preserve">Измене законског оквира </w:t>
            </w:r>
            <w:r w:rsidR="00027BDA" w:rsidRPr="00226F9D">
              <w:rPr>
                <w:rFonts w:ascii="Times New Roman" w:eastAsia="Times New Roman" w:hAnsi="Times New Roman" w:cs="Times New Roman"/>
                <w:i/>
                <w:iCs/>
                <w:sz w:val="20"/>
                <w:szCs w:val="20"/>
                <w:lang w:val="sr-Cyrl-RS" w:eastAsia="en-GB"/>
              </w:rPr>
              <w:t>од значаја за запослене у</w:t>
            </w:r>
            <w:r w:rsidR="00890841" w:rsidRPr="00226F9D">
              <w:rPr>
                <w:rFonts w:ascii="Times New Roman" w:eastAsia="Times New Roman" w:hAnsi="Times New Roman" w:cs="Times New Roman"/>
                <w:i/>
                <w:iCs/>
                <w:sz w:val="20"/>
                <w:szCs w:val="20"/>
                <w:lang w:val="sr-Cyrl-RS" w:eastAsia="en-GB"/>
              </w:rPr>
              <w:t xml:space="preserve"> ЛС, унапређење примене планског система на локалном нивоу и ефективнију примену постојећих институционалних механизама</w:t>
            </w:r>
          </w:p>
        </w:tc>
      </w:tr>
      <w:tr w:rsidR="003704A9" w:rsidRPr="00226F9D" w14:paraId="1BCE762B" w14:textId="77777777" w:rsidTr="00E132D4">
        <w:trPr>
          <w:tblHeader/>
          <w:jc w:val="center"/>
        </w:trPr>
        <w:tc>
          <w:tcPr>
            <w:tcW w:w="2502" w:type="pct"/>
            <w:shd w:val="clear" w:color="auto" w:fill="FFCE3C"/>
          </w:tcPr>
          <w:p w14:paraId="67BD8800" w14:textId="3F75B222" w:rsidR="003704A9" w:rsidRPr="00226F9D" w:rsidRDefault="003704A9"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i/>
                <w:iCs/>
                <w:sz w:val="20"/>
                <w:szCs w:val="20"/>
                <w:lang w:val="sr-Latn-RS" w:eastAsia="en-GB"/>
              </w:rPr>
              <w:t>Status quo</w:t>
            </w:r>
            <w:r w:rsidRPr="00226F9D">
              <w:rPr>
                <w:rFonts w:ascii="Times New Roman" w:eastAsia="Times New Roman" w:hAnsi="Times New Roman" w:cs="Times New Roman"/>
                <w:sz w:val="20"/>
                <w:szCs w:val="20"/>
                <w:lang w:val="sr-Latn-RS" w:eastAsia="en-GB"/>
              </w:rPr>
              <w:t xml:space="preserve"> – </w:t>
            </w:r>
            <w:r w:rsidRPr="00226F9D">
              <w:rPr>
                <w:rFonts w:ascii="Times New Roman" w:eastAsia="Times New Roman" w:hAnsi="Times New Roman" w:cs="Times New Roman"/>
                <w:sz w:val="20"/>
                <w:szCs w:val="20"/>
                <w:lang w:val="sr-Cyrl-RS" w:eastAsia="en-GB"/>
              </w:rPr>
              <w:t xml:space="preserve">сет мера за ПЦ </w:t>
            </w:r>
            <w:r w:rsidR="006B7C7D" w:rsidRPr="00226F9D">
              <w:rPr>
                <w:rFonts w:ascii="Times New Roman" w:eastAsia="Times New Roman" w:hAnsi="Times New Roman" w:cs="Times New Roman"/>
                <w:sz w:val="20"/>
                <w:szCs w:val="20"/>
                <w:lang w:val="sr-Cyrl-RS" w:eastAsia="en-GB"/>
              </w:rPr>
              <w:t>3</w:t>
            </w:r>
            <w:r w:rsidRPr="00226F9D">
              <w:rPr>
                <w:rFonts w:ascii="Times New Roman" w:eastAsia="Times New Roman" w:hAnsi="Times New Roman" w:cs="Times New Roman"/>
                <w:sz w:val="20"/>
                <w:szCs w:val="20"/>
                <w:lang w:val="sr-Cyrl-RS" w:eastAsia="en-GB"/>
              </w:rPr>
              <w:t xml:space="preserve"> ПРСЛС 2021-2025</w:t>
            </w:r>
          </w:p>
        </w:tc>
        <w:tc>
          <w:tcPr>
            <w:tcW w:w="147" w:type="pct"/>
            <w:vMerge w:val="restart"/>
            <w:tcBorders>
              <w:bottom w:val="nil"/>
            </w:tcBorders>
          </w:tcPr>
          <w:p w14:paraId="6D176115" w14:textId="77777777" w:rsidR="003704A9" w:rsidRPr="00226F9D" w:rsidRDefault="003704A9" w:rsidP="00C026E7">
            <w:pPr>
              <w:jc w:val="both"/>
              <w:rPr>
                <w:rFonts w:ascii="Times New Roman" w:eastAsia="Times New Roman" w:hAnsi="Times New Roman" w:cs="Times New Roman"/>
                <w:i/>
                <w:iCs/>
                <w:sz w:val="20"/>
                <w:szCs w:val="20"/>
                <w:lang w:val="sr-Cyrl-RS" w:eastAsia="en-GB"/>
              </w:rPr>
            </w:pPr>
          </w:p>
        </w:tc>
        <w:tc>
          <w:tcPr>
            <w:tcW w:w="2351" w:type="pct"/>
            <w:shd w:val="clear" w:color="auto" w:fill="FFCE3C"/>
          </w:tcPr>
          <w:p w14:paraId="34F450D9" w14:textId="20607516" w:rsidR="003704A9" w:rsidRPr="00226F9D" w:rsidRDefault="003704A9"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i/>
                <w:iCs/>
                <w:sz w:val="20"/>
                <w:szCs w:val="20"/>
                <w:lang w:val="sr-Cyrl-RS" w:eastAsia="en-GB"/>
              </w:rPr>
              <w:t xml:space="preserve">Умерени даљи реформски приступ – </w:t>
            </w:r>
            <w:r w:rsidRPr="00226F9D">
              <w:rPr>
                <w:rFonts w:ascii="Times New Roman" w:eastAsia="Times New Roman" w:hAnsi="Times New Roman" w:cs="Times New Roman"/>
                <w:sz w:val="20"/>
                <w:szCs w:val="20"/>
                <w:lang w:val="sr-Cyrl-RS" w:eastAsia="en-GB"/>
              </w:rPr>
              <w:t xml:space="preserve">сет мера за ПЦ </w:t>
            </w:r>
            <w:r w:rsidR="006B7C7D" w:rsidRPr="00226F9D">
              <w:rPr>
                <w:rFonts w:ascii="Times New Roman" w:eastAsia="Times New Roman" w:hAnsi="Times New Roman" w:cs="Times New Roman"/>
                <w:sz w:val="20"/>
                <w:szCs w:val="20"/>
                <w:lang w:val="sr-Cyrl-RS" w:eastAsia="en-GB"/>
              </w:rPr>
              <w:t>3</w:t>
            </w:r>
            <w:r w:rsidRPr="00226F9D">
              <w:rPr>
                <w:rFonts w:ascii="Times New Roman" w:eastAsia="Times New Roman" w:hAnsi="Times New Roman" w:cs="Times New Roman"/>
                <w:sz w:val="20"/>
                <w:szCs w:val="20"/>
                <w:lang w:val="sr-Cyrl-RS" w:eastAsia="en-GB"/>
              </w:rPr>
              <w:t xml:space="preserve"> ПРСЛС 2026-2030</w:t>
            </w:r>
          </w:p>
        </w:tc>
      </w:tr>
      <w:tr w:rsidR="00D80BAF" w:rsidRPr="00226F9D" w14:paraId="6198DCE2" w14:textId="77777777" w:rsidTr="00E132D4">
        <w:trPr>
          <w:jc w:val="center"/>
        </w:trPr>
        <w:tc>
          <w:tcPr>
            <w:tcW w:w="2502" w:type="pct"/>
          </w:tcPr>
          <w:p w14:paraId="5A980139" w14:textId="1923F160" w:rsidR="00D80BAF" w:rsidRPr="00226F9D" w:rsidRDefault="00D80BA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3.1</w:t>
            </w:r>
            <w:r w:rsidRPr="00226F9D">
              <w:rPr>
                <w:rFonts w:ascii="Times New Roman" w:eastAsia="Times New Roman" w:hAnsi="Times New Roman" w:cs="Times New Roman"/>
                <w:sz w:val="20"/>
                <w:szCs w:val="20"/>
                <w:lang w:val="sr-Cyrl-RS" w:eastAsia="en-GB"/>
              </w:rPr>
              <w:t>: Унапређење функције управљања људским ресурсима у локалној управи</w:t>
            </w:r>
          </w:p>
        </w:tc>
        <w:tc>
          <w:tcPr>
            <w:tcW w:w="147" w:type="pct"/>
            <w:vMerge/>
            <w:tcBorders>
              <w:bottom w:val="nil"/>
            </w:tcBorders>
          </w:tcPr>
          <w:p w14:paraId="1473CAFD" w14:textId="77777777" w:rsidR="00D80BAF" w:rsidRPr="00226F9D" w:rsidRDefault="00D80BAF" w:rsidP="00C026E7">
            <w:pPr>
              <w:jc w:val="both"/>
              <w:rPr>
                <w:rFonts w:ascii="Times New Roman" w:eastAsia="Times New Roman" w:hAnsi="Times New Roman" w:cs="Times New Roman"/>
                <w:sz w:val="20"/>
                <w:szCs w:val="20"/>
                <w:highlight w:val="yellow"/>
                <w:lang w:val="sr-Cyrl-RS" w:eastAsia="en-GB"/>
              </w:rPr>
            </w:pPr>
          </w:p>
        </w:tc>
        <w:tc>
          <w:tcPr>
            <w:tcW w:w="2351" w:type="pct"/>
          </w:tcPr>
          <w:p w14:paraId="44B7FE05" w14:textId="0E81D39A" w:rsidR="00D80BAF" w:rsidRPr="00226F9D" w:rsidRDefault="00D80BAF" w:rsidP="00D80BAF">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3.1:</w:t>
            </w:r>
            <w:r w:rsidRPr="00226F9D">
              <w:rPr>
                <w:rFonts w:ascii="Times New Roman" w:eastAsia="Times New Roman" w:hAnsi="Times New Roman" w:cs="Times New Roman"/>
                <w:sz w:val="20"/>
                <w:szCs w:val="20"/>
                <w:lang w:val="sr-Cyrl-RS" w:eastAsia="en-GB"/>
              </w:rPr>
              <w:t xml:space="preserve"> </w:t>
            </w:r>
            <w:r w:rsidR="007E584C" w:rsidRPr="00226F9D">
              <w:rPr>
                <w:rFonts w:ascii="Times New Roman" w:eastAsia="Times New Roman" w:hAnsi="Times New Roman" w:cs="Times New Roman"/>
                <w:sz w:val="20"/>
                <w:szCs w:val="20"/>
                <w:lang w:val="sr-Cyrl-RS" w:eastAsia="en-GB"/>
              </w:rPr>
              <w:t>Развој и унапређење система УЉР у ЈЛС заснованог на компетенцијама</w:t>
            </w:r>
          </w:p>
        </w:tc>
      </w:tr>
      <w:tr w:rsidR="00D80BAF" w:rsidRPr="00226F9D" w14:paraId="63E05E33" w14:textId="77777777" w:rsidTr="00E132D4">
        <w:trPr>
          <w:jc w:val="center"/>
        </w:trPr>
        <w:tc>
          <w:tcPr>
            <w:tcW w:w="2502" w:type="pct"/>
          </w:tcPr>
          <w:p w14:paraId="405EA67D" w14:textId="10432F63" w:rsidR="00D80BAF" w:rsidRPr="00226F9D" w:rsidRDefault="00D80BA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3.2</w:t>
            </w:r>
            <w:r w:rsidRPr="00226F9D">
              <w:rPr>
                <w:rFonts w:ascii="Times New Roman" w:eastAsia="Times New Roman" w:hAnsi="Times New Roman" w:cs="Times New Roman"/>
                <w:sz w:val="20"/>
                <w:szCs w:val="20"/>
                <w:lang w:val="sr-Cyrl-RS" w:eastAsia="en-GB"/>
              </w:rPr>
              <w:t>: Унапређење процеса стручног усавршавања запослених у органима ЈЛС</w:t>
            </w:r>
          </w:p>
        </w:tc>
        <w:tc>
          <w:tcPr>
            <w:tcW w:w="147" w:type="pct"/>
            <w:vMerge/>
            <w:tcBorders>
              <w:bottom w:val="nil"/>
            </w:tcBorders>
          </w:tcPr>
          <w:p w14:paraId="0A25E1D4" w14:textId="77777777" w:rsidR="00D80BAF" w:rsidRPr="00226F9D" w:rsidRDefault="00D80BAF" w:rsidP="00C026E7">
            <w:pPr>
              <w:jc w:val="both"/>
              <w:rPr>
                <w:rFonts w:ascii="Times New Roman" w:eastAsia="Times New Roman" w:hAnsi="Times New Roman" w:cs="Times New Roman"/>
                <w:sz w:val="20"/>
                <w:szCs w:val="20"/>
                <w:highlight w:val="yellow"/>
                <w:lang w:val="sr-Cyrl-RS" w:eastAsia="en-GB"/>
              </w:rPr>
            </w:pPr>
          </w:p>
        </w:tc>
        <w:tc>
          <w:tcPr>
            <w:tcW w:w="2351" w:type="pct"/>
          </w:tcPr>
          <w:p w14:paraId="6A554260" w14:textId="1E491392" w:rsidR="00D80BAF" w:rsidRPr="00226F9D" w:rsidRDefault="00D80BA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3.2:</w:t>
            </w:r>
            <w:r w:rsidR="002D0537" w:rsidRPr="00226F9D">
              <w:rPr>
                <w:rFonts w:ascii="Times New Roman" w:hAnsi="Times New Roman" w:cs="Times New Roman"/>
                <w:sz w:val="20"/>
                <w:szCs w:val="20"/>
                <w:lang w:val="sr-Cyrl-RS"/>
              </w:rPr>
              <w:t xml:space="preserve"> </w:t>
            </w:r>
            <w:r w:rsidR="002D0537" w:rsidRPr="00226F9D">
              <w:rPr>
                <w:rFonts w:ascii="Times New Roman" w:eastAsia="Times New Roman" w:hAnsi="Times New Roman" w:cs="Times New Roman"/>
                <w:sz w:val="20"/>
                <w:szCs w:val="20"/>
                <w:lang w:val="sr-Cyrl-RS" w:eastAsia="en-GB"/>
              </w:rPr>
              <w:t>Унапређење процеса стручног усавршавања запослених у органима ЈЛС</w:t>
            </w:r>
          </w:p>
        </w:tc>
      </w:tr>
      <w:tr w:rsidR="00D80BAF" w:rsidRPr="00226F9D" w14:paraId="2E02BC45" w14:textId="77777777" w:rsidTr="00E132D4">
        <w:trPr>
          <w:jc w:val="center"/>
        </w:trPr>
        <w:tc>
          <w:tcPr>
            <w:tcW w:w="2502" w:type="pct"/>
          </w:tcPr>
          <w:p w14:paraId="318AB800" w14:textId="15576E3E" w:rsidR="00D80BAF" w:rsidRPr="00226F9D" w:rsidRDefault="00D80BA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3.3</w:t>
            </w:r>
            <w:r w:rsidRPr="00226F9D">
              <w:rPr>
                <w:rFonts w:ascii="Times New Roman" w:eastAsia="Times New Roman" w:hAnsi="Times New Roman" w:cs="Times New Roman"/>
                <w:sz w:val="20"/>
                <w:szCs w:val="20"/>
                <w:lang w:val="sr-Cyrl-RS" w:eastAsia="en-GB"/>
              </w:rPr>
              <w:t>: Подршка организационој и функционалној трансформацији ЛС и уједначавању организационих облика које оснивају ЈЛС за спровођење својих надлежности и пословa</w:t>
            </w:r>
          </w:p>
        </w:tc>
        <w:tc>
          <w:tcPr>
            <w:tcW w:w="147" w:type="pct"/>
            <w:vMerge/>
            <w:tcBorders>
              <w:bottom w:val="nil"/>
            </w:tcBorders>
          </w:tcPr>
          <w:p w14:paraId="31C199F0" w14:textId="77777777" w:rsidR="00D80BAF" w:rsidRPr="00226F9D" w:rsidRDefault="00D80BAF" w:rsidP="00C026E7">
            <w:pPr>
              <w:jc w:val="both"/>
              <w:rPr>
                <w:rFonts w:ascii="Times New Roman" w:eastAsia="Times New Roman" w:hAnsi="Times New Roman" w:cs="Times New Roman"/>
                <w:sz w:val="20"/>
                <w:szCs w:val="20"/>
                <w:highlight w:val="yellow"/>
                <w:lang w:val="sr-Cyrl-RS" w:eastAsia="en-GB"/>
              </w:rPr>
            </w:pPr>
          </w:p>
        </w:tc>
        <w:tc>
          <w:tcPr>
            <w:tcW w:w="2351" w:type="pct"/>
          </w:tcPr>
          <w:p w14:paraId="5FDFF68F" w14:textId="775763C6" w:rsidR="00D80BAF" w:rsidRPr="00226F9D" w:rsidRDefault="00D80BA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3.3:</w:t>
            </w:r>
            <w:r w:rsidR="00012013" w:rsidRPr="00226F9D">
              <w:rPr>
                <w:rFonts w:ascii="Times New Roman" w:hAnsi="Times New Roman" w:cs="Times New Roman"/>
                <w:sz w:val="20"/>
                <w:szCs w:val="20"/>
                <w:lang w:val="sr-Cyrl-RS"/>
              </w:rPr>
              <w:t xml:space="preserve"> </w:t>
            </w:r>
            <w:r w:rsidR="00012013" w:rsidRPr="00226F9D">
              <w:rPr>
                <w:rFonts w:ascii="Times New Roman" w:eastAsia="Times New Roman" w:hAnsi="Times New Roman" w:cs="Times New Roman"/>
                <w:sz w:val="20"/>
                <w:szCs w:val="20"/>
                <w:lang w:val="sr-Cyrl-RS" w:eastAsia="en-GB"/>
              </w:rPr>
              <w:t>Унапређење правног оквира за уређивање система плата запослених у ЈЛС</w:t>
            </w:r>
          </w:p>
        </w:tc>
      </w:tr>
      <w:tr w:rsidR="00D80BAF" w:rsidRPr="00226F9D" w14:paraId="13EE5150" w14:textId="77777777" w:rsidTr="00E132D4">
        <w:trPr>
          <w:jc w:val="center"/>
        </w:trPr>
        <w:tc>
          <w:tcPr>
            <w:tcW w:w="2502" w:type="pct"/>
          </w:tcPr>
          <w:p w14:paraId="39FD6142" w14:textId="60A0DC23" w:rsidR="00D80BAF" w:rsidRPr="00226F9D" w:rsidRDefault="00D80BA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3.4</w:t>
            </w:r>
            <w:r w:rsidRPr="00226F9D">
              <w:rPr>
                <w:rFonts w:ascii="Times New Roman" w:eastAsia="Times New Roman" w:hAnsi="Times New Roman" w:cs="Times New Roman"/>
                <w:sz w:val="20"/>
                <w:szCs w:val="20"/>
                <w:lang w:val="sr-Cyrl-RS" w:eastAsia="en-GB"/>
              </w:rPr>
              <w:t>: Наставак развоја међуопштинске сарадње у спровођењу надлежности локалне самоуправе</w:t>
            </w:r>
          </w:p>
        </w:tc>
        <w:tc>
          <w:tcPr>
            <w:tcW w:w="147" w:type="pct"/>
            <w:vMerge/>
            <w:tcBorders>
              <w:bottom w:val="nil"/>
            </w:tcBorders>
          </w:tcPr>
          <w:p w14:paraId="4888F1AD" w14:textId="77777777" w:rsidR="00D80BAF" w:rsidRPr="00226F9D" w:rsidRDefault="00D80BAF" w:rsidP="00C026E7">
            <w:pPr>
              <w:jc w:val="both"/>
              <w:rPr>
                <w:rFonts w:ascii="Times New Roman" w:eastAsia="Times New Roman" w:hAnsi="Times New Roman" w:cs="Times New Roman"/>
                <w:sz w:val="20"/>
                <w:szCs w:val="20"/>
                <w:highlight w:val="yellow"/>
                <w:lang w:val="sr-Cyrl-RS" w:eastAsia="en-GB"/>
              </w:rPr>
            </w:pPr>
          </w:p>
        </w:tc>
        <w:tc>
          <w:tcPr>
            <w:tcW w:w="2351" w:type="pct"/>
          </w:tcPr>
          <w:p w14:paraId="48AC4560" w14:textId="2278286C" w:rsidR="00D80BAF" w:rsidRPr="00226F9D" w:rsidRDefault="00D80BAF" w:rsidP="00FE7862">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3.4:</w:t>
            </w:r>
            <w:r w:rsidR="00FE7862" w:rsidRPr="00226F9D">
              <w:rPr>
                <w:rFonts w:ascii="Times New Roman" w:hAnsi="Times New Roman" w:cs="Times New Roman"/>
                <w:sz w:val="20"/>
                <w:szCs w:val="20"/>
                <w:lang w:val="sr-Cyrl-RS"/>
              </w:rPr>
              <w:t xml:space="preserve"> </w:t>
            </w:r>
            <w:r w:rsidR="00FE7862" w:rsidRPr="00226F9D">
              <w:rPr>
                <w:rFonts w:ascii="Times New Roman" w:eastAsia="Times New Roman" w:hAnsi="Times New Roman" w:cs="Times New Roman"/>
                <w:sz w:val="20"/>
                <w:szCs w:val="20"/>
                <w:lang w:val="sr-Cyrl-RS" w:eastAsia="en-GB"/>
              </w:rPr>
              <w:t>Унапређење система планирања развоја локалне самоуправе</w:t>
            </w:r>
          </w:p>
        </w:tc>
      </w:tr>
      <w:tr w:rsidR="00D80BAF" w:rsidRPr="00226F9D" w14:paraId="3FAEC3D0" w14:textId="77777777" w:rsidTr="00E132D4">
        <w:trPr>
          <w:jc w:val="center"/>
        </w:trPr>
        <w:tc>
          <w:tcPr>
            <w:tcW w:w="2502" w:type="pct"/>
          </w:tcPr>
          <w:p w14:paraId="38B230F2" w14:textId="3BBB8908" w:rsidR="00D80BAF" w:rsidRPr="00226F9D" w:rsidRDefault="00D80BAF"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3.5</w:t>
            </w:r>
            <w:r w:rsidRPr="00226F9D">
              <w:rPr>
                <w:rFonts w:ascii="Times New Roman" w:eastAsia="Times New Roman" w:hAnsi="Times New Roman" w:cs="Times New Roman"/>
                <w:sz w:val="20"/>
                <w:szCs w:val="20"/>
                <w:lang w:val="sr-Cyrl-RS" w:eastAsia="en-GB"/>
              </w:rPr>
              <w:t>: Унапређење система планирања развоја локалне самоуправе</w:t>
            </w:r>
          </w:p>
        </w:tc>
        <w:tc>
          <w:tcPr>
            <w:tcW w:w="147" w:type="pct"/>
            <w:vMerge/>
            <w:tcBorders>
              <w:bottom w:val="nil"/>
            </w:tcBorders>
          </w:tcPr>
          <w:p w14:paraId="270C8750" w14:textId="77777777" w:rsidR="00D80BAF" w:rsidRPr="00226F9D" w:rsidRDefault="00D80BAF" w:rsidP="00C026E7">
            <w:pPr>
              <w:jc w:val="both"/>
              <w:rPr>
                <w:rFonts w:ascii="Times New Roman" w:eastAsia="Times New Roman" w:hAnsi="Times New Roman" w:cs="Times New Roman"/>
                <w:sz w:val="20"/>
                <w:szCs w:val="20"/>
                <w:highlight w:val="yellow"/>
                <w:lang w:val="sr-Cyrl-RS" w:eastAsia="en-GB"/>
              </w:rPr>
            </w:pPr>
          </w:p>
        </w:tc>
        <w:tc>
          <w:tcPr>
            <w:tcW w:w="2351" w:type="pct"/>
          </w:tcPr>
          <w:p w14:paraId="26AFC1E9" w14:textId="127BF9D4" w:rsidR="00D80BAF" w:rsidRPr="00226F9D" w:rsidRDefault="00D80BAF" w:rsidP="00313696">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3.5:</w:t>
            </w:r>
            <w:r w:rsidR="00313696" w:rsidRPr="00226F9D">
              <w:rPr>
                <w:rFonts w:ascii="Times New Roman" w:hAnsi="Times New Roman" w:cs="Times New Roman"/>
                <w:sz w:val="20"/>
                <w:szCs w:val="20"/>
                <w:lang w:val="sr-Cyrl-RS"/>
              </w:rPr>
              <w:t xml:space="preserve"> </w:t>
            </w:r>
            <w:r w:rsidR="00313696" w:rsidRPr="00226F9D">
              <w:rPr>
                <w:rFonts w:ascii="Times New Roman" w:eastAsia="Times New Roman" w:hAnsi="Times New Roman" w:cs="Times New Roman"/>
                <w:sz w:val="20"/>
                <w:szCs w:val="20"/>
                <w:lang w:val="sr-Cyrl-RS" w:eastAsia="en-GB"/>
              </w:rPr>
              <w:t>Унапређење капацитета локалне самоуправе за примену правног оквира ЕУ и кохезионе политике ЕУ</w:t>
            </w:r>
          </w:p>
        </w:tc>
      </w:tr>
    </w:tbl>
    <w:p w14:paraId="2635C490" w14:textId="77777777" w:rsidR="00B472C5" w:rsidRPr="00226F9D" w:rsidRDefault="00B472C5" w:rsidP="00090884">
      <w:pPr>
        <w:spacing w:after="0" w:line="240" w:lineRule="auto"/>
        <w:jc w:val="both"/>
        <w:rPr>
          <w:rFonts w:ascii="Times New Roman" w:eastAsia="Times New Roman" w:hAnsi="Times New Roman" w:cs="Times New Roman"/>
          <w:b/>
          <w:i/>
          <w:color w:val="000000" w:themeColor="text1"/>
          <w:kern w:val="0"/>
          <w:lang w:val="sr-Cyrl-RS"/>
          <w14:ligatures w14:val="none"/>
        </w:rPr>
      </w:pPr>
    </w:p>
    <w:p w14:paraId="552E2538" w14:textId="449B5FE8" w:rsidR="00FB18CA" w:rsidRPr="00226F9D" w:rsidRDefault="00FB18CA" w:rsidP="00FB18CA">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Поставка мера новог Програма за П</w:t>
      </w:r>
      <w:r w:rsidR="003F4B7C" w:rsidRPr="00226F9D">
        <w:rPr>
          <w:rFonts w:ascii="Times New Roman" w:eastAsia="Times New Roman" w:hAnsi="Times New Roman" w:cs="Times New Roman"/>
          <w:kern w:val="0"/>
          <w:lang w:val="sr-Cyrl-RS" w:eastAsia="de-CH"/>
          <w14:ligatures w14:val="none"/>
        </w:rPr>
        <w:t xml:space="preserve">рограмски циљ </w:t>
      </w:r>
      <w:r w:rsidRPr="00226F9D">
        <w:rPr>
          <w:rFonts w:ascii="Times New Roman" w:eastAsia="Times New Roman" w:hAnsi="Times New Roman" w:cs="Times New Roman"/>
          <w:kern w:val="0"/>
          <w:lang w:val="sr-Cyrl-RS" w:eastAsia="de-CH"/>
          <w14:ligatures w14:val="none"/>
        </w:rPr>
        <w:t>3</w:t>
      </w:r>
      <w:r w:rsidR="001421B9" w:rsidRPr="00226F9D">
        <w:rPr>
          <w:rFonts w:ascii="Times New Roman" w:eastAsia="Times New Roman" w:hAnsi="Times New Roman" w:cs="Times New Roman"/>
          <w:kern w:val="0"/>
          <w:lang w:val="sr-Cyrl-RS" w:eastAsia="de-CH"/>
          <w14:ligatures w14:val="none"/>
        </w:rPr>
        <w:t xml:space="preserve"> је таква да </w:t>
      </w:r>
      <w:r w:rsidR="00280427" w:rsidRPr="00226F9D">
        <w:rPr>
          <w:rFonts w:ascii="Times New Roman" w:eastAsia="Times New Roman" w:hAnsi="Times New Roman" w:cs="Times New Roman"/>
          <w:kern w:val="0"/>
          <w:lang w:val="sr-Cyrl-RS" w:eastAsia="de-CH"/>
          <w14:ligatures w14:val="none"/>
        </w:rPr>
        <w:t>су експл</w:t>
      </w:r>
      <w:r w:rsidR="0094626E" w:rsidRPr="00226F9D">
        <w:rPr>
          <w:rFonts w:ascii="Times New Roman" w:eastAsia="Times New Roman" w:hAnsi="Times New Roman" w:cs="Times New Roman"/>
          <w:kern w:val="0"/>
          <w:lang w:val="sr-Cyrl-RS" w:eastAsia="de-CH"/>
          <w14:ligatures w14:val="none"/>
        </w:rPr>
        <w:t xml:space="preserve">ицитно формулисане три мере </w:t>
      </w:r>
      <w:r w:rsidR="00CF7A44" w:rsidRPr="00226F9D">
        <w:rPr>
          <w:rFonts w:ascii="Times New Roman" w:eastAsia="Times New Roman" w:hAnsi="Times New Roman" w:cs="Times New Roman"/>
          <w:kern w:val="0"/>
          <w:lang w:val="sr-Cyrl-RS" w:eastAsia="de-CH"/>
          <w14:ligatures w14:val="none"/>
        </w:rPr>
        <w:t xml:space="preserve">(3.1-3.3.) </w:t>
      </w:r>
      <w:r w:rsidR="00136837" w:rsidRPr="00226F9D">
        <w:rPr>
          <w:rFonts w:ascii="Times New Roman" w:eastAsia="Times New Roman" w:hAnsi="Times New Roman" w:cs="Times New Roman"/>
          <w:kern w:val="0"/>
          <w:lang w:val="sr-Cyrl-RS" w:eastAsia="de-CH"/>
          <w14:ligatures w14:val="none"/>
        </w:rPr>
        <w:t xml:space="preserve">са комплетним обухватом активности које се односе </w:t>
      </w:r>
      <w:r w:rsidR="00622264">
        <w:rPr>
          <w:rFonts w:ascii="Times New Roman" w:eastAsia="Times New Roman" w:hAnsi="Times New Roman" w:cs="Times New Roman"/>
          <w:kern w:val="0"/>
          <w:lang w:val="sr-Cyrl-RS" w:eastAsia="de-CH"/>
          <w14:ligatures w14:val="none"/>
        </w:rPr>
        <w:t xml:space="preserve">на </w:t>
      </w:r>
      <w:r w:rsidR="00CF7A44" w:rsidRPr="00226F9D">
        <w:rPr>
          <w:rFonts w:ascii="Times New Roman" w:eastAsia="Times New Roman" w:hAnsi="Times New Roman" w:cs="Times New Roman"/>
          <w:kern w:val="0"/>
          <w:lang w:val="sr-Cyrl-RS" w:eastAsia="de-CH"/>
          <w14:ligatures w14:val="none"/>
        </w:rPr>
        <w:t>запослене у ЛС – за разлику од приступа</w:t>
      </w:r>
      <w:r w:rsidR="00705EF4" w:rsidRPr="00226F9D">
        <w:rPr>
          <w:rFonts w:ascii="Times New Roman" w:eastAsia="Times New Roman" w:hAnsi="Times New Roman" w:cs="Times New Roman"/>
          <w:kern w:val="0"/>
          <w:lang w:val="sr-Cyrl-RS" w:eastAsia="de-CH"/>
          <w14:ligatures w14:val="none"/>
        </w:rPr>
        <w:t xml:space="preserve"> у претходном програмском периоду </w:t>
      </w:r>
      <w:r w:rsidR="009E18AC" w:rsidRPr="00226F9D">
        <w:rPr>
          <w:rFonts w:ascii="Times New Roman" w:eastAsia="Times New Roman" w:hAnsi="Times New Roman" w:cs="Times New Roman"/>
          <w:kern w:val="0"/>
          <w:lang w:val="sr-Cyrl-RS" w:eastAsia="de-CH"/>
          <w14:ligatures w14:val="none"/>
        </w:rPr>
        <w:t xml:space="preserve">када је значајан број активности </w:t>
      </w:r>
      <w:r w:rsidR="00C06F71" w:rsidRPr="00226F9D">
        <w:rPr>
          <w:rFonts w:ascii="Times New Roman" w:eastAsia="Times New Roman" w:hAnsi="Times New Roman" w:cs="Times New Roman"/>
          <w:kern w:val="0"/>
          <w:lang w:val="sr-Cyrl-RS" w:eastAsia="de-CH"/>
          <w14:ligatures w14:val="none"/>
        </w:rPr>
        <w:t>за УЉР</w:t>
      </w:r>
      <w:r w:rsidR="00F5398E" w:rsidRPr="00226F9D">
        <w:rPr>
          <w:rFonts w:ascii="Times New Roman" w:eastAsia="Times New Roman" w:hAnsi="Times New Roman" w:cs="Times New Roman"/>
          <w:kern w:val="0"/>
          <w:lang w:val="sr-Cyrl-RS" w:eastAsia="de-CH"/>
          <w14:ligatures w14:val="none"/>
        </w:rPr>
        <w:t>, стручно усавршавање</w:t>
      </w:r>
      <w:r w:rsidR="000871D8" w:rsidRPr="00226F9D">
        <w:rPr>
          <w:rFonts w:ascii="Times New Roman" w:eastAsia="Times New Roman" w:hAnsi="Times New Roman" w:cs="Times New Roman"/>
          <w:kern w:val="0"/>
          <w:lang w:val="sr-Cyrl-RS" w:eastAsia="de-CH"/>
          <w14:ligatures w14:val="none"/>
        </w:rPr>
        <w:t xml:space="preserve"> и </w:t>
      </w:r>
      <w:r w:rsidR="00CB3D42" w:rsidRPr="00226F9D">
        <w:rPr>
          <w:rFonts w:ascii="Times New Roman" w:eastAsia="Times New Roman" w:hAnsi="Times New Roman" w:cs="Times New Roman"/>
          <w:kern w:val="0"/>
          <w:lang w:val="sr-Cyrl-RS" w:eastAsia="de-CH"/>
          <w14:ligatures w14:val="none"/>
        </w:rPr>
        <w:t xml:space="preserve">реформисање система плата </w:t>
      </w:r>
      <w:r w:rsidR="00CD63D1" w:rsidRPr="00226F9D">
        <w:rPr>
          <w:rFonts w:ascii="Times New Roman" w:eastAsia="Times New Roman" w:hAnsi="Times New Roman" w:cs="Times New Roman"/>
          <w:kern w:val="0"/>
          <w:lang w:val="sr-Cyrl-RS" w:eastAsia="de-CH"/>
          <w14:ligatures w14:val="none"/>
        </w:rPr>
        <w:t xml:space="preserve">био примарно инкорпориран у </w:t>
      </w:r>
      <w:r w:rsidR="00527760" w:rsidRPr="00226F9D">
        <w:rPr>
          <w:rFonts w:ascii="Times New Roman" w:eastAsia="Times New Roman" w:hAnsi="Times New Roman" w:cs="Times New Roman"/>
          <w:kern w:val="0"/>
          <w:lang w:val="sr-Cyrl-RS" w:eastAsia="de-CH"/>
          <w14:ligatures w14:val="none"/>
        </w:rPr>
        <w:t>АП уз СРЈУ</w:t>
      </w:r>
      <w:r w:rsidR="00BB2C44" w:rsidRPr="00226F9D">
        <w:rPr>
          <w:rFonts w:ascii="Times New Roman" w:eastAsia="Times New Roman" w:hAnsi="Times New Roman" w:cs="Times New Roman"/>
          <w:kern w:val="0"/>
          <w:lang w:val="sr-Cyrl-RS" w:eastAsia="de-CH"/>
          <w14:ligatures w14:val="none"/>
        </w:rPr>
        <w:t xml:space="preserve">. </w:t>
      </w:r>
      <w:r w:rsidR="00A133D0" w:rsidRPr="00226F9D">
        <w:rPr>
          <w:rFonts w:ascii="Times New Roman" w:eastAsia="Times New Roman" w:hAnsi="Times New Roman" w:cs="Times New Roman"/>
          <w:kern w:val="0"/>
          <w:lang w:val="sr-Cyrl-RS" w:eastAsia="de-CH"/>
          <w14:ligatures w14:val="none"/>
        </w:rPr>
        <w:t>Поред тога, и даље важ</w:t>
      </w:r>
      <w:r w:rsidR="00A51E56" w:rsidRPr="00226F9D">
        <w:rPr>
          <w:rFonts w:ascii="Times New Roman" w:eastAsia="Times New Roman" w:hAnsi="Times New Roman" w:cs="Times New Roman"/>
          <w:kern w:val="0"/>
          <w:lang w:val="sr-Cyrl-RS" w:eastAsia="de-CH"/>
          <w14:ligatures w14:val="none"/>
        </w:rPr>
        <w:t xml:space="preserve">на питања </w:t>
      </w:r>
      <w:r w:rsidR="00C133F8" w:rsidRPr="00226F9D">
        <w:rPr>
          <w:rFonts w:ascii="Times New Roman" w:eastAsia="Times New Roman" w:hAnsi="Times New Roman" w:cs="Times New Roman"/>
          <w:kern w:val="0"/>
          <w:lang w:val="sr-Cyrl-RS" w:eastAsia="de-CH"/>
          <w14:ligatures w14:val="none"/>
        </w:rPr>
        <w:t>могућности и перспективе функционалн</w:t>
      </w:r>
      <w:r w:rsidR="002C29FC" w:rsidRPr="00226F9D">
        <w:rPr>
          <w:rFonts w:ascii="Times New Roman" w:eastAsia="Times New Roman" w:hAnsi="Times New Roman" w:cs="Times New Roman"/>
          <w:kern w:val="0"/>
          <w:lang w:val="sr-Cyrl-RS" w:eastAsia="de-CH"/>
          <w14:ligatures w14:val="none"/>
        </w:rPr>
        <w:t xml:space="preserve">их </w:t>
      </w:r>
      <w:r w:rsidR="00154F97" w:rsidRPr="00226F9D">
        <w:rPr>
          <w:rFonts w:ascii="Times New Roman" w:eastAsia="Times New Roman" w:hAnsi="Times New Roman" w:cs="Times New Roman"/>
          <w:kern w:val="0"/>
          <w:lang w:val="sr-Cyrl-RS" w:eastAsia="de-CH"/>
          <w14:ligatures w14:val="none"/>
        </w:rPr>
        <w:t xml:space="preserve">унапређења </w:t>
      </w:r>
      <w:r w:rsidR="00DB26DC" w:rsidRPr="00226F9D">
        <w:rPr>
          <w:rFonts w:ascii="Times New Roman" w:eastAsia="Times New Roman" w:hAnsi="Times New Roman" w:cs="Times New Roman"/>
          <w:kern w:val="0"/>
          <w:lang w:val="sr-Cyrl-RS" w:eastAsia="de-CH"/>
          <w14:ligatures w14:val="none"/>
        </w:rPr>
        <w:t>у ЛС</w:t>
      </w:r>
      <w:r w:rsidR="0016063F" w:rsidRPr="00226F9D">
        <w:rPr>
          <w:rFonts w:ascii="Times New Roman" w:eastAsia="Times New Roman" w:hAnsi="Times New Roman" w:cs="Times New Roman"/>
          <w:kern w:val="0"/>
          <w:lang w:val="sr-Cyrl-RS" w:eastAsia="de-CH"/>
          <w14:ligatures w14:val="none"/>
        </w:rPr>
        <w:t xml:space="preserve">, измештена су из обухвата овог циља </w:t>
      </w:r>
      <w:r w:rsidR="00F76D9C" w:rsidRPr="00226F9D">
        <w:rPr>
          <w:rFonts w:ascii="Times New Roman" w:eastAsia="Times New Roman" w:hAnsi="Times New Roman" w:cs="Times New Roman"/>
          <w:kern w:val="0"/>
          <w:lang w:val="sr-Cyrl-RS" w:eastAsia="de-CH"/>
          <w14:ligatures w14:val="none"/>
        </w:rPr>
        <w:t xml:space="preserve">у наредни, </w:t>
      </w:r>
      <w:r w:rsidR="000461DC" w:rsidRPr="00226F9D">
        <w:rPr>
          <w:rFonts w:ascii="Times New Roman" w:eastAsia="Times New Roman" w:hAnsi="Times New Roman" w:cs="Times New Roman"/>
          <w:kern w:val="0"/>
          <w:lang w:val="sr-Cyrl-RS" w:eastAsia="de-CH"/>
          <w14:ligatures w14:val="none"/>
        </w:rPr>
        <w:t xml:space="preserve">чиме се постиже директнија и логична </w:t>
      </w:r>
      <w:r w:rsidR="00F76D9C" w:rsidRPr="00226F9D">
        <w:rPr>
          <w:rFonts w:ascii="Times New Roman" w:eastAsia="Times New Roman" w:hAnsi="Times New Roman" w:cs="Times New Roman"/>
          <w:kern w:val="0"/>
          <w:lang w:val="sr-Cyrl-RS" w:eastAsia="de-CH"/>
          <w14:ligatures w14:val="none"/>
        </w:rPr>
        <w:t xml:space="preserve"> </w:t>
      </w:r>
      <w:r w:rsidR="00F917A9" w:rsidRPr="00226F9D">
        <w:rPr>
          <w:rFonts w:ascii="Times New Roman" w:eastAsia="Times New Roman" w:hAnsi="Times New Roman" w:cs="Times New Roman"/>
          <w:kern w:val="0"/>
          <w:lang w:val="sr-Cyrl-RS" w:eastAsia="de-CH"/>
          <w14:ligatures w14:val="none"/>
        </w:rPr>
        <w:t xml:space="preserve">увезаност са аспектима </w:t>
      </w:r>
      <w:r w:rsidR="009603E1" w:rsidRPr="00226F9D">
        <w:rPr>
          <w:rFonts w:ascii="Times New Roman" w:eastAsia="Times New Roman" w:hAnsi="Times New Roman" w:cs="Times New Roman"/>
          <w:kern w:val="0"/>
          <w:lang w:val="sr-Cyrl-RS" w:eastAsia="de-CH"/>
          <w14:ligatures w14:val="none"/>
        </w:rPr>
        <w:t>надлежности и послова градова и општина</w:t>
      </w:r>
      <w:r w:rsidR="004F1AE9" w:rsidRPr="00226F9D">
        <w:rPr>
          <w:rFonts w:ascii="Times New Roman" w:eastAsia="Times New Roman" w:hAnsi="Times New Roman" w:cs="Times New Roman"/>
          <w:kern w:val="0"/>
          <w:lang w:val="sr-Cyrl-RS" w:eastAsia="de-CH"/>
          <w14:ligatures w14:val="none"/>
        </w:rPr>
        <w:t>, тј. услуга које пружају</w:t>
      </w:r>
      <w:r w:rsidR="009603E1" w:rsidRPr="00226F9D">
        <w:rPr>
          <w:rFonts w:ascii="Times New Roman" w:eastAsia="Times New Roman" w:hAnsi="Times New Roman" w:cs="Times New Roman"/>
          <w:kern w:val="0"/>
          <w:lang w:val="sr-Cyrl-RS" w:eastAsia="de-CH"/>
          <w14:ligatures w14:val="none"/>
        </w:rPr>
        <w:t xml:space="preserve">. </w:t>
      </w:r>
      <w:r w:rsidR="00D751D6" w:rsidRPr="00226F9D">
        <w:rPr>
          <w:rFonts w:ascii="Times New Roman" w:eastAsia="Times New Roman" w:hAnsi="Times New Roman" w:cs="Times New Roman"/>
          <w:kern w:val="0"/>
          <w:lang w:val="sr-Cyrl-RS" w:eastAsia="de-CH"/>
          <w14:ligatures w14:val="none"/>
        </w:rPr>
        <w:t xml:space="preserve">Мером 3.4 остварује се континуитет </w:t>
      </w:r>
      <w:r w:rsidR="007A2F99" w:rsidRPr="00226F9D">
        <w:rPr>
          <w:rFonts w:ascii="Times New Roman" w:eastAsia="Times New Roman" w:hAnsi="Times New Roman" w:cs="Times New Roman"/>
          <w:kern w:val="0"/>
          <w:lang w:val="sr-Cyrl-RS" w:eastAsia="de-CH"/>
          <w14:ligatures w14:val="none"/>
        </w:rPr>
        <w:t xml:space="preserve">у домену </w:t>
      </w:r>
      <w:r w:rsidR="005F2E92" w:rsidRPr="00226F9D">
        <w:rPr>
          <w:rFonts w:ascii="Times New Roman" w:eastAsia="Times New Roman" w:hAnsi="Times New Roman" w:cs="Times New Roman"/>
          <w:kern w:val="0"/>
          <w:lang w:val="sr-Cyrl-RS" w:eastAsia="de-CH"/>
          <w14:ligatures w14:val="none"/>
        </w:rPr>
        <w:t xml:space="preserve">примене планског система на локалном нивоу </w:t>
      </w:r>
      <w:r w:rsidR="000029F7" w:rsidRPr="00226F9D">
        <w:rPr>
          <w:rFonts w:ascii="Times New Roman" w:eastAsia="Times New Roman" w:hAnsi="Times New Roman" w:cs="Times New Roman"/>
          <w:kern w:val="0"/>
          <w:lang w:val="sr-Cyrl-RS" w:eastAsia="de-CH"/>
          <w14:ligatures w14:val="none"/>
        </w:rPr>
        <w:t xml:space="preserve">на темељу успешних резултата из </w:t>
      </w:r>
      <w:r w:rsidR="00FB3DDC" w:rsidRPr="00226F9D">
        <w:rPr>
          <w:rFonts w:ascii="Times New Roman" w:eastAsia="Times New Roman" w:hAnsi="Times New Roman" w:cs="Times New Roman"/>
          <w:kern w:val="0"/>
          <w:lang w:val="sr-Cyrl-RS" w:eastAsia="de-CH"/>
          <w14:ligatures w14:val="none"/>
        </w:rPr>
        <w:t>претходног програмског периода</w:t>
      </w:r>
      <w:r w:rsidR="00E662C4" w:rsidRPr="00226F9D">
        <w:rPr>
          <w:rFonts w:ascii="Times New Roman" w:eastAsia="Times New Roman" w:hAnsi="Times New Roman" w:cs="Times New Roman"/>
          <w:kern w:val="0"/>
          <w:lang w:val="sr-Cyrl-RS" w:eastAsia="de-CH"/>
          <w14:ligatures w14:val="none"/>
        </w:rPr>
        <w:t xml:space="preserve">, уз јасну оријентацију ка </w:t>
      </w:r>
      <w:r w:rsidR="00933F44" w:rsidRPr="00226F9D">
        <w:rPr>
          <w:rFonts w:ascii="Times New Roman" w:eastAsia="Times New Roman" w:hAnsi="Times New Roman" w:cs="Times New Roman"/>
          <w:kern w:val="0"/>
          <w:lang w:val="sr-Cyrl-RS" w:eastAsia="de-CH"/>
          <w14:ligatures w14:val="none"/>
        </w:rPr>
        <w:t xml:space="preserve">антиципираним </w:t>
      </w:r>
      <w:r w:rsidR="007A7C0B" w:rsidRPr="00226F9D">
        <w:rPr>
          <w:rFonts w:ascii="Times New Roman" w:eastAsia="Times New Roman" w:hAnsi="Times New Roman" w:cs="Times New Roman"/>
          <w:kern w:val="0"/>
          <w:lang w:val="sr-Cyrl-RS" w:eastAsia="de-CH"/>
          <w14:ligatures w14:val="none"/>
        </w:rPr>
        <w:t xml:space="preserve">потребама </w:t>
      </w:r>
      <w:r w:rsidR="00933F44" w:rsidRPr="00226F9D">
        <w:rPr>
          <w:rFonts w:ascii="Times New Roman" w:eastAsia="Times New Roman" w:hAnsi="Times New Roman" w:cs="Times New Roman"/>
          <w:kern w:val="0"/>
          <w:lang w:val="sr-Cyrl-RS" w:eastAsia="de-CH"/>
          <w14:ligatures w14:val="none"/>
        </w:rPr>
        <w:t xml:space="preserve">ЛС </w:t>
      </w:r>
      <w:r w:rsidR="00941030" w:rsidRPr="00226F9D">
        <w:rPr>
          <w:rFonts w:ascii="Times New Roman" w:eastAsia="Times New Roman" w:hAnsi="Times New Roman" w:cs="Times New Roman"/>
          <w:kern w:val="0"/>
          <w:lang w:val="sr-Cyrl-RS" w:eastAsia="de-CH"/>
          <w14:ligatures w14:val="none"/>
        </w:rPr>
        <w:t xml:space="preserve">сходно </w:t>
      </w:r>
      <w:r w:rsidR="00F50D2F" w:rsidRPr="00226F9D">
        <w:rPr>
          <w:rFonts w:ascii="Times New Roman" w:eastAsia="Times New Roman" w:hAnsi="Times New Roman" w:cs="Times New Roman"/>
          <w:kern w:val="0"/>
          <w:lang w:val="sr-Cyrl-RS" w:eastAsia="de-CH"/>
          <w14:ligatures w14:val="none"/>
        </w:rPr>
        <w:t xml:space="preserve">Закону о планском систему. </w:t>
      </w:r>
      <w:r w:rsidR="0066514B" w:rsidRPr="00226F9D">
        <w:rPr>
          <w:rFonts w:ascii="Times New Roman" w:eastAsia="Times New Roman" w:hAnsi="Times New Roman" w:cs="Times New Roman"/>
          <w:kern w:val="0"/>
          <w:lang w:val="sr-Cyrl-RS" w:eastAsia="de-CH"/>
          <w14:ligatures w14:val="none"/>
        </w:rPr>
        <w:t xml:space="preserve">Коначно, </w:t>
      </w:r>
      <w:r w:rsidR="00DA7871" w:rsidRPr="00226F9D">
        <w:rPr>
          <w:rFonts w:ascii="Times New Roman" w:eastAsia="Times New Roman" w:hAnsi="Times New Roman" w:cs="Times New Roman"/>
          <w:kern w:val="0"/>
          <w:lang w:val="sr-Cyrl-RS" w:eastAsia="de-CH"/>
          <w14:ligatures w14:val="none"/>
        </w:rPr>
        <w:t xml:space="preserve">мером 3.5 се у оквиру ПРСЛС 2026-2030 </w:t>
      </w:r>
      <w:r w:rsidR="00DD6362" w:rsidRPr="00226F9D">
        <w:rPr>
          <w:rFonts w:ascii="Times New Roman" w:eastAsia="Times New Roman" w:hAnsi="Times New Roman" w:cs="Times New Roman"/>
          <w:kern w:val="0"/>
          <w:lang w:val="sr-Cyrl-RS" w:eastAsia="de-CH"/>
          <w14:ligatures w14:val="none"/>
        </w:rPr>
        <w:t xml:space="preserve">препознаје значај </w:t>
      </w:r>
      <w:r w:rsidR="00272856" w:rsidRPr="00226F9D">
        <w:rPr>
          <w:rFonts w:ascii="Times New Roman" w:eastAsia="Times New Roman" w:hAnsi="Times New Roman" w:cs="Times New Roman"/>
          <w:kern w:val="0"/>
          <w:lang w:val="sr-Cyrl-RS" w:eastAsia="de-CH"/>
          <w14:ligatures w14:val="none"/>
        </w:rPr>
        <w:t>п</w:t>
      </w:r>
      <w:r w:rsidR="00E17668" w:rsidRPr="00226F9D">
        <w:rPr>
          <w:rFonts w:ascii="Times New Roman" w:eastAsia="Times New Roman" w:hAnsi="Times New Roman" w:cs="Times New Roman"/>
          <w:kern w:val="0"/>
          <w:lang w:val="sr-Cyrl-RS" w:eastAsia="de-CH"/>
          <w14:ligatures w14:val="none"/>
        </w:rPr>
        <w:t>отенцијала</w:t>
      </w:r>
      <w:r w:rsidR="00272856" w:rsidRPr="00226F9D">
        <w:rPr>
          <w:rFonts w:ascii="Times New Roman" w:eastAsia="Times New Roman" w:hAnsi="Times New Roman" w:cs="Times New Roman"/>
          <w:kern w:val="0"/>
          <w:lang w:val="sr-Cyrl-RS" w:eastAsia="de-CH"/>
          <w14:ligatures w14:val="none"/>
        </w:rPr>
        <w:t xml:space="preserve"> и неопходних припрема </w:t>
      </w:r>
      <w:r w:rsidR="00FC454A" w:rsidRPr="00226F9D">
        <w:rPr>
          <w:rFonts w:ascii="Times New Roman" w:eastAsia="Times New Roman" w:hAnsi="Times New Roman" w:cs="Times New Roman"/>
          <w:kern w:val="0"/>
          <w:lang w:val="sr-Cyrl-RS" w:eastAsia="de-CH"/>
          <w14:ligatures w14:val="none"/>
        </w:rPr>
        <w:t>домаћих</w:t>
      </w:r>
      <w:r w:rsidR="00272856" w:rsidRPr="00226F9D">
        <w:rPr>
          <w:rFonts w:ascii="Times New Roman" w:eastAsia="Times New Roman" w:hAnsi="Times New Roman" w:cs="Times New Roman"/>
          <w:kern w:val="0"/>
          <w:lang w:val="sr-Cyrl-RS" w:eastAsia="de-CH"/>
          <w14:ligatures w14:val="none"/>
        </w:rPr>
        <w:t xml:space="preserve"> капацитета </w:t>
      </w:r>
      <w:r w:rsidR="0030790E" w:rsidRPr="00226F9D">
        <w:rPr>
          <w:rFonts w:ascii="Times New Roman" w:eastAsia="Times New Roman" w:hAnsi="Times New Roman" w:cs="Times New Roman"/>
          <w:kern w:val="0"/>
          <w:lang w:val="sr-Cyrl-RS" w:eastAsia="de-CH"/>
          <w14:ligatures w14:val="none"/>
        </w:rPr>
        <w:t xml:space="preserve">за </w:t>
      </w:r>
      <w:r w:rsidR="00190A32" w:rsidRPr="00226F9D">
        <w:rPr>
          <w:rFonts w:ascii="Times New Roman" w:eastAsia="Times New Roman" w:hAnsi="Times New Roman" w:cs="Times New Roman"/>
          <w:kern w:val="0"/>
          <w:lang w:val="sr-Cyrl-RS" w:eastAsia="de-CH"/>
          <w14:ligatures w14:val="none"/>
        </w:rPr>
        <w:t xml:space="preserve">активну улогу у </w:t>
      </w:r>
      <w:r w:rsidR="0030790E" w:rsidRPr="00226F9D">
        <w:rPr>
          <w:rFonts w:ascii="Times New Roman" w:eastAsia="Times New Roman" w:hAnsi="Times New Roman" w:cs="Times New Roman"/>
          <w:kern w:val="0"/>
          <w:lang w:val="sr-Cyrl-RS" w:eastAsia="de-CH"/>
          <w14:ligatures w14:val="none"/>
        </w:rPr>
        <w:t>Кохезионо</w:t>
      </w:r>
      <w:r w:rsidR="00190A32" w:rsidRPr="00226F9D">
        <w:rPr>
          <w:rFonts w:ascii="Times New Roman" w:eastAsia="Times New Roman" w:hAnsi="Times New Roman" w:cs="Times New Roman"/>
          <w:kern w:val="0"/>
          <w:lang w:val="sr-Cyrl-RS" w:eastAsia="de-CH"/>
          <w14:ligatures w14:val="none"/>
        </w:rPr>
        <w:t>ј</w:t>
      </w:r>
      <w:r w:rsidR="0030790E" w:rsidRPr="00226F9D">
        <w:rPr>
          <w:rFonts w:ascii="Times New Roman" w:eastAsia="Times New Roman" w:hAnsi="Times New Roman" w:cs="Times New Roman"/>
          <w:kern w:val="0"/>
          <w:lang w:val="sr-Cyrl-RS" w:eastAsia="de-CH"/>
          <w14:ligatures w14:val="none"/>
        </w:rPr>
        <w:t xml:space="preserve"> полит</w:t>
      </w:r>
      <w:r w:rsidR="00190A32" w:rsidRPr="00226F9D">
        <w:rPr>
          <w:rFonts w:ascii="Times New Roman" w:eastAsia="Times New Roman" w:hAnsi="Times New Roman" w:cs="Times New Roman"/>
          <w:kern w:val="0"/>
          <w:lang w:val="sr-Cyrl-RS" w:eastAsia="de-CH"/>
          <w14:ligatures w14:val="none"/>
        </w:rPr>
        <w:t>ици</w:t>
      </w:r>
      <w:r w:rsidR="0030790E" w:rsidRPr="00226F9D">
        <w:rPr>
          <w:rFonts w:ascii="Times New Roman" w:eastAsia="Times New Roman" w:hAnsi="Times New Roman" w:cs="Times New Roman"/>
          <w:kern w:val="0"/>
          <w:lang w:val="sr-Cyrl-RS" w:eastAsia="de-CH"/>
          <w14:ligatures w14:val="none"/>
        </w:rPr>
        <w:t xml:space="preserve"> ЕУ</w:t>
      </w:r>
      <w:r w:rsidR="00B25673" w:rsidRPr="00226F9D">
        <w:rPr>
          <w:rFonts w:ascii="Times New Roman" w:eastAsia="Times New Roman" w:hAnsi="Times New Roman" w:cs="Times New Roman"/>
          <w:kern w:val="0"/>
          <w:lang w:val="sr-Cyrl-RS" w:eastAsia="de-CH"/>
          <w14:ligatures w14:val="none"/>
        </w:rPr>
        <w:t>,</w:t>
      </w:r>
      <w:r w:rsidR="0030790E" w:rsidRPr="00226F9D">
        <w:rPr>
          <w:rFonts w:ascii="Times New Roman" w:eastAsia="Times New Roman" w:hAnsi="Times New Roman" w:cs="Times New Roman"/>
          <w:kern w:val="0"/>
          <w:lang w:val="sr-Cyrl-RS" w:eastAsia="de-CH"/>
          <w14:ligatures w14:val="none"/>
        </w:rPr>
        <w:t xml:space="preserve"> </w:t>
      </w:r>
      <w:r w:rsidR="00912009" w:rsidRPr="00226F9D">
        <w:rPr>
          <w:rFonts w:ascii="Times New Roman" w:eastAsia="Times New Roman" w:hAnsi="Times New Roman" w:cs="Times New Roman"/>
          <w:kern w:val="0"/>
          <w:lang w:val="sr-Cyrl-RS" w:eastAsia="de-CH"/>
          <w14:ligatures w14:val="none"/>
        </w:rPr>
        <w:t>кроз</w:t>
      </w:r>
      <w:r w:rsidR="005D55C9" w:rsidRPr="00226F9D">
        <w:rPr>
          <w:rFonts w:ascii="Times New Roman" w:eastAsia="Times New Roman" w:hAnsi="Times New Roman" w:cs="Times New Roman"/>
          <w:kern w:val="0"/>
          <w:lang w:val="sr-Cyrl-RS" w:eastAsia="de-CH"/>
          <w14:ligatures w14:val="none"/>
        </w:rPr>
        <w:t xml:space="preserve"> </w:t>
      </w:r>
      <w:r w:rsidR="00CD5595" w:rsidRPr="00226F9D">
        <w:rPr>
          <w:rFonts w:ascii="Times New Roman" w:eastAsia="Times New Roman" w:hAnsi="Times New Roman" w:cs="Times New Roman"/>
          <w:kern w:val="0"/>
          <w:lang w:val="sr-Cyrl-RS" w:eastAsia="de-CH"/>
          <w14:ligatures w14:val="none"/>
        </w:rPr>
        <w:t>усвајање знања и вештина</w:t>
      </w:r>
      <w:r w:rsidR="002361BD" w:rsidRPr="00226F9D">
        <w:rPr>
          <w:rFonts w:ascii="Times New Roman" w:eastAsia="Times New Roman" w:hAnsi="Times New Roman" w:cs="Times New Roman"/>
          <w:kern w:val="0"/>
          <w:lang w:val="sr-Cyrl-RS" w:eastAsia="de-CH"/>
          <w14:ligatures w14:val="none"/>
        </w:rPr>
        <w:t xml:space="preserve"> </w:t>
      </w:r>
      <w:r w:rsidR="00ED7D07" w:rsidRPr="00226F9D">
        <w:rPr>
          <w:rFonts w:ascii="Times New Roman" w:eastAsia="Times New Roman" w:hAnsi="Times New Roman" w:cs="Times New Roman"/>
          <w:kern w:val="0"/>
          <w:lang w:val="sr-Cyrl-RS" w:eastAsia="de-CH"/>
          <w14:ligatures w14:val="none"/>
        </w:rPr>
        <w:t>и</w:t>
      </w:r>
      <w:r w:rsidR="006A77C9" w:rsidRPr="00226F9D">
        <w:rPr>
          <w:rFonts w:ascii="Times New Roman" w:eastAsia="Times New Roman" w:hAnsi="Times New Roman" w:cs="Times New Roman"/>
          <w:kern w:val="0"/>
          <w:lang w:val="sr-Cyrl-RS" w:eastAsia="de-CH"/>
          <w14:ligatures w14:val="none"/>
        </w:rPr>
        <w:t xml:space="preserve"> </w:t>
      </w:r>
      <w:r w:rsidR="00E967FD" w:rsidRPr="00226F9D">
        <w:rPr>
          <w:rFonts w:ascii="Times New Roman" w:eastAsia="Times New Roman" w:hAnsi="Times New Roman" w:cs="Times New Roman"/>
          <w:kern w:val="0"/>
          <w:lang w:val="sr-Cyrl-RS" w:eastAsia="de-CH"/>
          <w14:ligatures w14:val="none"/>
        </w:rPr>
        <w:t>учв</w:t>
      </w:r>
      <w:r w:rsidR="001E0F5E" w:rsidRPr="00226F9D">
        <w:rPr>
          <w:rFonts w:ascii="Times New Roman" w:eastAsia="Times New Roman" w:hAnsi="Times New Roman" w:cs="Times New Roman"/>
          <w:kern w:val="0"/>
          <w:lang w:val="sr-Cyrl-RS" w:eastAsia="de-CH"/>
          <w14:ligatures w14:val="none"/>
        </w:rPr>
        <w:t>ршћивање</w:t>
      </w:r>
      <w:r w:rsidR="00ED7D07" w:rsidRPr="00226F9D">
        <w:rPr>
          <w:rFonts w:ascii="Times New Roman" w:eastAsia="Times New Roman" w:hAnsi="Times New Roman" w:cs="Times New Roman"/>
          <w:kern w:val="0"/>
          <w:lang w:val="sr-Cyrl-RS" w:eastAsia="de-CH"/>
          <w14:ligatures w14:val="none"/>
        </w:rPr>
        <w:t>м</w:t>
      </w:r>
      <w:r w:rsidR="001E0F5E" w:rsidRPr="00226F9D">
        <w:rPr>
          <w:rFonts w:ascii="Times New Roman" w:eastAsia="Times New Roman" w:hAnsi="Times New Roman" w:cs="Times New Roman"/>
          <w:kern w:val="0"/>
          <w:lang w:val="sr-Cyrl-RS" w:eastAsia="de-CH"/>
          <w14:ligatures w14:val="none"/>
        </w:rPr>
        <w:t xml:space="preserve"> сарадње </w:t>
      </w:r>
      <w:r w:rsidR="00986D8F" w:rsidRPr="00226F9D">
        <w:rPr>
          <w:rFonts w:ascii="Times New Roman" w:eastAsia="Times New Roman" w:hAnsi="Times New Roman" w:cs="Times New Roman"/>
          <w:kern w:val="0"/>
          <w:lang w:val="sr-Cyrl-RS" w:eastAsia="de-CH"/>
          <w14:ligatures w14:val="none"/>
        </w:rPr>
        <w:t xml:space="preserve">релевантних </w:t>
      </w:r>
      <w:r w:rsidR="001E0F5E" w:rsidRPr="00226F9D">
        <w:rPr>
          <w:rFonts w:ascii="Times New Roman" w:eastAsia="Times New Roman" w:hAnsi="Times New Roman" w:cs="Times New Roman"/>
          <w:kern w:val="0"/>
          <w:lang w:val="sr-Cyrl-RS" w:eastAsia="de-CH"/>
          <w14:ligatures w14:val="none"/>
        </w:rPr>
        <w:t>локалних, регионалних и националних актера</w:t>
      </w:r>
      <w:r w:rsidR="007542EB" w:rsidRPr="00226F9D">
        <w:rPr>
          <w:rFonts w:ascii="Times New Roman" w:eastAsia="Times New Roman" w:hAnsi="Times New Roman" w:cs="Times New Roman"/>
          <w:kern w:val="0"/>
          <w:lang w:val="sr-Cyrl-RS" w:eastAsia="de-CH"/>
          <w14:ligatures w14:val="none"/>
        </w:rPr>
        <w:t xml:space="preserve">, </w:t>
      </w:r>
      <w:r w:rsidR="00852AB3" w:rsidRPr="00226F9D">
        <w:rPr>
          <w:rFonts w:ascii="Times New Roman" w:eastAsia="Times New Roman" w:hAnsi="Times New Roman" w:cs="Times New Roman"/>
          <w:kern w:val="0"/>
          <w:lang w:val="sr-Cyrl-RS" w:eastAsia="de-CH"/>
          <w14:ligatures w14:val="none"/>
        </w:rPr>
        <w:t xml:space="preserve">што су </w:t>
      </w:r>
      <w:r w:rsidR="00285C67" w:rsidRPr="00226F9D">
        <w:rPr>
          <w:rFonts w:ascii="Times New Roman" w:eastAsia="Times New Roman" w:hAnsi="Times New Roman" w:cs="Times New Roman"/>
          <w:kern w:val="0"/>
          <w:lang w:val="sr-Cyrl-RS" w:eastAsia="de-CH"/>
          <w14:ligatures w14:val="none"/>
        </w:rPr>
        <w:t>аспек</w:t>
      </w:r>
      <w:r w:rsidR="00852AB3" w:rsidRPr="00226F9D">
        <w:rPr>
          <w:rFonts w:ascii="Times New Roman" w:eastAsia="Times New Roman" w:hAnsi="Times New Roman" w:cs="Times New Roman"/>
          <w:kern w:val="0"/>
          <w:lang w:val="sr-Cyrl-RS" w:eastAsia="de-CH"/>
          <w14:ligatures w14:val="none"/>
        </w:rPr>
        <w:t>ти</w:t>
      </w:r>
      <w:r w:rsidR="00285C67" w:rsidRPr="00226F9D">
        <w:rPr>
          <w:rFonts w:ascii="Times New Roman" w:eastAsia="Times New Roman" w:hAnsi="Times New Roman" w:cs="Times New Roman"/>
          <w:kern w:val="0"/>
          <w:lang w:val="sr-Cyrl-RS" w:eastAsia="de-CH"/>
          <w14:ligatures w14:val="none"/>
        </w:rPr>
        <w:t xml:space="preserve"> </w:t>
      </w:r>
      <w:r w:rsidR="00852AB3" w:rsidRPr="00226F9D">
        <w:rPr>
          <w:rFonts w:ascii="Times New Roman" w:eastAsia="Times New Roman" w:hAnsi="Times New Roman" w:cs="Times New Roman"/>
          <w:kern w:val="0"/>
          <w:lang w:val="sr-Cyrl-RS" w:eastAsia="de-CH"/>
          <w14:ligatures w14:val="none"/>
        </w:rPr>
        <w:t>непосредно</w:t>
      </w:r>
      <w:r w:rsidR="00285C67" w:rsidRPr="00226F9D">
        <w:rPr>
          <w:rFonts w:ascii="Times New Roman" w:eastAsia="Times New Roman" w:hAnsi="Times New Roman" w:cs="Times New Roman"/>
          <w:kern w:val="0"/>
          <w:lang w:val="sr-Cyrl-RS" w:eastAsia="de-CH"/>
          <w14:ligatures w14:val="none"/>
        </w:rPr>
        <w:t xml:space="preserve"> повезани са реформисањем јавне управе, домаћим пл</w:t>
      </w:r>
      <w:r w:rsidR="00661543" w:rsidRPr="00226F9D">
        <w:rPr>
          <w:rFonts w:ascii="Times New Roman" w:eastAsia="Times New Roman" w:hAnsi="Times New Roman" w:cs="Times New Roman"/>
          <w:kern w:val="0"/>
          <w:lang w:val="sr-Cyrl-RS" w:eastAsia="de-CH"/>
          <w14:ligatures w14:val="none"/>
        </w:rPr>
        <w:t>а</w:t>
      </w:r>
      <w:r w:rsidR="00285C67" w:rsidRPr="00226F9D">
        <w:rPr>
          <w:rFonts w:ascii="Times New Roman" w:eastAsia="Times New Roman" w:hAnsi="Times New Roman" w:cs="Times New Roman"/>
          <w:kern w:val="0"/>
          <w:lang w:val="sr-Cyrl-RS" w:eastAsia="de-CH"/>
          <w14:ligatures w14:val="none"/>
        </w:rPr>
        <w:t xml:space="preserve">нским </w:t>
      </w:r>
      <w:r w:rsidR="007E46B5" w:rsidRPr="00226F9D">
        <w:rPr>
          <w:rFonts w:ascii="Times New Roman" w:eastAsia="Times New Roman" w:hAnsi="Times New Roman" w:cs="Times New Roman"/>
          <w:kern w:val="0"/>
          <w:lang w:val="sr-Cyrl-RS" w:eastAsia="de-CH"/>
          <w14:ligatures w14:val="none"/>
        </w:rPr>
        <w:t xml:space="preserve">и буџетским </w:t>
      </w:r>
      <w:r w:rsidR="00285C67" w:rsidRPr="00226F9D">
        <w:rPr>
          <w:rFonts w:ascii="Times New Roman" w:eastAsia="Times New Roman" w:hAnsi="Times New Roman" w:cs="Times New Roman"/>
          <w:kern w:val="0"/>
          <w:lang w:val="sr-Cyrl-RS" w:eastAsia="de-CH"/>
          <w14:ligatures w14:val="none"/>
        </w:rPr>
        <w:t>системом</w:t>
      </w:r>
      <w:r w:rsidR="00704345" w:rsidRPr="00226F9D">
        <w:rPr>
          <w:rFonts w:ascii="Times New Roman" w:eastAsia="Times New Roman" w:hAnsi="Times New Roman" w:cs="Times New Roman"/>
          <w:kern w:val="0"/>
          <w:lang w:val="sr-Cyrl-RS" w:eastAsia="de-CH"/>
          <w14:ligatures w14:val="none"/>
        </w:rPr>
        <w:t>.</w:t>
      </w:r>
    </w:p>
    <w:p w14:paraId="6656B7B9" w14:textId="77777777" w:rsidR="00FB18CA" w:rsidRPr="00226F9D" w:rsidRDefault="00FB18CA" w:rsidP="00FB18CA">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 </w:t>
      </w:r>
    </w:p>
    <w:p w14:paraId="1504AF43" w14:textId="7F0FE08A" w:rsidR="00CA471C" w:rsidRPr="00226F9D" w:rsidRDefault="00FB18CA" w:rsidP="00FB18CA">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За ефективну реализацију мера и остваривање Посебног циља </w:t>
      </w:r>
      <w:r w:rsidR="00B25673" w:rsidRPr="00226F9D">
        <w:rPr>
          <w:rFonts w:ascii="Times New Roman" w:eastAsia="Times New Roman" w:hAnsi="Times New Roman" w:cs="Times New Roman"/>
          <w:kern w:val="0"/>
          <w:lang w:val="sr-Cyrl-RS" w:eastAsia="de-CH"/>
          <w14:ligatures w14:val="none"/>
        </w:rPr>
        <w:t>3</w:t>
      </w:r>
      <w:r w:rsidRPr="00226F9D">
        <w:rPr>
          <w:rFonts w:ascii="Times New Roman" w:eastAsia="Times New Roman" w:hAnsi="Times New Roman" w:cs="Times New Roman"/>
          <w:kern w:val="0"/>
          <w:lang w:val="sr-Cyrl-RS" w:eastAsia="de-CH"/>
          <w14:ligatures w14:val="none"/>
        </w:rPr>
        <w:t xml:space="preserve">, </w:t>
      </w:r>
      <w:r w:rsidRPr="00226F9D">
        <w:rPr>
          <w:rFonts w:ascii="Times New Roman" w:eastAsia="Times New Roman" w:hAnsi="Times New Roman" w:cs="Times New Roman"/>
          <w:b/>
          <w:bCs/>
          <w:i/>
          <w:iCs/>
          <w:kern w:val="0"/>
          <w:lang w:val="sr-Cyrl-RS" w:eastAsia="de-CH"/>
          <w14:ligatures w14:val="none"/>
        </w:rPr>
        <w:t xml:space="preserve">кључни </w:t>
      </w:r>
      <w:r w:rsidR="001C5614" w:rsidRPr="00226F9D">
        <w:rPr>
          <w:rFonts w:ascii="Times New Roman" w:eastAsia="Times New Roman" w:hAnsi="Times New Roman" w:cs="Times New Roman"/>
          <w:b/>
          <w:bCs/>
          <w:i/>
          <w:iCs/>
          <w:kern w:val="0"/>
          <w:lang w:val="sr-Cyrl-RS" w:eastAsia="de-CH"/>
          <w14:ligatures w14:val="none"/>
        </w:rPr>
        <w:t xml:space="preserve">препознати </w:t>
      </w:r>
      <w:r w:rsidRPr="00226F9D">
        <w:rPr>
          <w:rFonts w:ascii="Times New Roman" w:eastAsia="Times New Roman" w:hAnsi="Times New Roman" w:cs="Times New Roman"/>
          <w:b/>
          <w:bCs/>
          <w:i/>
          <w:iCs/>
          <w:kern w:val="0"/>
          <w:lang w:val="sr-Cyrl-RS" w:eastAsia="de-CH"/>
          <w14:ligatures w14:val="none"/>
        </w:rPr>
        <w:t>ризик</w:t>
      </w:r>
      <w:r w:rsidRPr="00226F9D">
        <w:rPr>
          <w:rFonts w:ascii="Times New Roman" w:eastAsia="Times New Roman" w:hAnsi="Times New Roman" w:cs="Times New Roman"/>
          <w:kern w:val="0"/>
          <w:lang w:val="sr-Cyrl-RS" w:eastAsia="de-CH"/>
          <w14:ligatures w14:val="none"/>
        </w:rPr>
        <w:t xml:space="preserve"> к</w:t>
      </w:r>
      <w:r w:rsidR="00680EA3" w:rsidRPr="00226F9D">
        <w:rPr>
          <w:rFonts w:ascii="Times New Roman" w:eastAsia="Times New Roman" w:hAnsi="Times New Roman" w:cs="Times New Roman"/>
          <w:kern w:val="0"/>
          <w:lang w:val="sr-Cyrl-RS" w:eastAsia="de-CH"/>
          <w14:ligatures w14:val="none"/>
        </w:rPr>
        <w:t>оји</w:t>
      </w:r>
      <w:r w:rsidRPr="00226F9D">
        <w:rPr>
          <w:rFonts w:ascii="Times New Roman" w:eastAsia="Times New Roman" w:hAnsi="Times New Roman" w:cs="Times New Roman"/>
          <w:kern w:val="0"/>
          <w:lang w:val="sr-Cyrl-RS" w:eastAsia="de-CH"/>
          <w14:ligatures w14:val="none"/>
        </w:rPr>
        <w:t xml:space="preserve"> треба да буде праћен и адекватно адресиран у оквиру ПРСЛС 2026-2030 је како следи:</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A0" w:firstRow="1" w:lastRow="0" w:firstColumn="1" w:lastColumn="0" w:noHBand="1" w:noVBand="1"/>
      </w:tblPr>
      <w:tblGrid>
        <w:gridCol w:w="4518"/>
        <w:gridCol w:w="5104"/>
      </w:tblGrid>
      <w:tr w:rsidR="00FB18CA" w:rsidRPr="00226F9D" w14:paraId="02BE72DB" w14:textId="77777777" w:rsidTr="00E132D4">
        <w:tc>
          <w:tcPr>
            <w:tcW w:w="2348" w:type="pct"/>
            <w:shd w:val="clear" w:color="auto" w:fill="FFFFFF" w:themeFill="background1"/>
          </w:tcPr>
          <w:p w14:paraId="1E7416A3" w14:textId="77777777" w:rsidR="00FB18CA" w:rsidRPr="00226F9D" w:rsidRDefault="00FB18CA" w:rsidP="00C026E7">
            <w:pPr>
              <w:spacing w:after="0" w:line="240" w:lineRule="auto"/>
              <w:jc w:val="center"/>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опис ризика</w:t>
            </w:r>
          </w:p>
        </w:tc>
        <w:tc>
          <w:tcPr>
            <w:tcW w:w="2652" w:type="pct"/>
            <w:shd w:val="clear" w:color="auto" w:fill="FFFFFF" w:themeFill="background1"/>
          </w:tcPr>
          <w:p w14:paraId="66952522" w14:textId="77777777" w:rsidR="00FB18CA" w:rsidRPr="00226F9D" w:rsidRDefault="00FB18CA" w:rsidP="00C026E7">
            <w:pPr>
              <w:spacing w:after="0" w:line="240" w:lineRule="auto"/>
              <w:jc w:val="center"/>
              <w:rPr>
                <w:rFonts w:ascii="Times New Roman" w:eastAsia="Calibri"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ублажавање ризика</w:t>
            </w:r>
          </w:p>
        </w:tc>
      </w:tr>
      <w:tr w:rsidR="00FB18CA" w:rsidRPr="00226F9D" w14:paraId="7B0E4D1E" w14:textId="77777777" w:rsidTr="00E132D4">
        <w:tc>
          <w:tcPr>
            <w:tcW w:w="2348" w:type="pct"/>
          </w:tcPr>
          <w:p w14:paraId="0A970E80" w14:textId="597EBC93" w:rsidR="00FB18CA" w:rsidRPr="00226F9D" w:rsidRDefault="00C84233" w:rsidP="00C026E7">
            <w:pPr>
              <w:spacing w:after="0" w:line="240" w:lineRule="auto"/>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 xml:space="preserve">Лимитиране могућности </w:t>
            </w:r>
            <w:r w:rsidR="004B7C2C" w:rsidRPr="00226F9D">
              <w:rPr>
                <w:rFonts w:ascii="Times New Roman" w:eastAsia="Times New Roman" w:hAnsi="Times New Roman" w:cs="Times New Roman"/>
                <w:kern w:val="0"/>
                <w:sz w:val="20"/>
                <w:szCs w:val="20"/>
                <w:lang w:val="sr-Cyrl-RS"/>
                <w14:ligatures w14:val="none"/>
              </w:rPr>
              <w:t>задржавањ</w:t>
            </w:r>
            <w:r w:rsidR="00434CCD" w:rsidRPr="00226F9D">
              <w:rPr>
                <w:rFonts w:ascii="Times New Roman" w:eastAsia="Times New Roman" w:hAnsi="Times New Roman" w:cs="Times New Roman"/>
                <w:kern w:val="0"/>
                <w:sz w:val="20"/>
                <w:szCs w:val="20"/>
                <w:lang w:val="sr-Cyrl-RS"/>
                <w14:ligatures w14:val="none"/>
              </w:rPr>
              <w:t>а</w:t>
            </w:r>
            <w:r w:rsidR="001F7C71" w:rsidRPr="00226F9D">
              <w:rPr>
                <w:rFonts w:ascii="Times New Roman" w:eastAsia="Times New Roman" w:hAnsi="Times New Roman" w:cs="Times New Roman"/>
                <w:kern w:val="0"/>
                <w:sz w:val="20"/>
                <w:szCs w:val="20"/>
                <w:lang w:val="sr-Cyrl-RS"/>
                <w14:ligatures w14:val="none"/>
              </w:rPr>
              <w:t xml:space="preserve"> и </w:t>
            </w:r>
            <w:r w:rsidR="0080135D" w:rsidRPr="00226F9D">
              <w:rPr>
                <w:rFonts w:ascii="Times New Roman" w:eastAsia="Times New Roman" w:hAnsi="Times New Roman" w:cs="Times New Roman"/>
                <w:kern w:val="0"/>
                <w:sz w:val="20"/>
                <w:szCs w:val="20"/>
                <w:lang w:val="sr-Cyrl-RS"/>
                <w14:ligatures w14:val="none"/>
              </w:rPr>
              <w:t>стимулисањ</w:t>
            </w:r>
            <w:r w:rsidR="00434CCD" w:rsidRPr="00226F9D">
              <w:rPr>
                <w:rFonts w:ascii="Times New Roman" w:eastAsia="Times New Roman" w:hAnsi="Times New Roman" w:cs="Times New Roman"/>
                <w:kern w:val="0"/>
                <w:sz w:val="20"/>
                <w:szCs w:val="20"/>
                <w:lang w:val="sr-Cyrl-RS"/>
                <w14:ligatures w14:val="none"/>
              </w:rPr>
              <w:t>а</w:t>
            </w:r>
            <w:r w:rsidR="001F7C71" w:rsidRPr="00226F9D">
              <w:rPr>
                <w:rFonts w:ascii="Times New Roman" w:eastAsia="Times New Roman" w:hAnsi="Times New Roman" w:cs="Times New Roman"/>
                <w:kern w:val="0"/>
                <w:sz w:val="20"/>
                <w:szCs w:val="20"/>
                <w:lang w:val="sr-Cyrl-RS"/>
                <w14:ligatures w14:val="none"/>
              </w:rPr>
              <w:t xml:space="preserve"> кадрова</w:t>
            </w:r>
            <w:r w:rsidR="00434CCD" w:rsidRPr="00226F9D">
              <w:rPr>
                <w:rFonts w:ascii="Times New Roman" w:eastAsia="Times New Roman" w:hAnsi="Times New Roman" w:cs="Times New Roman"/>
                <w:kern w:val="0"/>
                <w:sz w:val="20"/>
                <w:szCs w:val="20"/>
                <w:lang w:val="sr-Cyrl-RS"/>
                <w14:ligatures w14:val="none"/>
              </w:rPr>
              <w:t xml:space="preserve"> у ЛС</w:t>
            </w:r>
            <w:r w:rsidR="00A70F50" w:rsidRPr="00226F9D">
              <w:rPr>
                <w:rFonts w:ascii="Times New Roman" w:eastAsia="Times New Roman" w:hAnsi="Times New Roman" w:cs="Times New Roman"/>
                <w:kern w:val="0"/>
                <w:sz w:val="20"/>
                <w:szCs w:val="20"/>
                <w:lang w:val="sr-Cyrl-RS"/>
                <w14:ligatures w14:val="none"/>
              </w:rPr>
              <w:t xml:space="preserve"> и слабљење њихове мотивације за стицање напреднијих знања и вештина</w:t>
            </w:r>
            <w:r w:rsidR="00815EA9" w:rsidRPr="00226F9D">
              <w:rPr>
                <w:rFonts w:ascii="Times New Roman" w:eastAsia="Times New Roman" w:hAnsi="Times New Roman" w:cs="Times New Roman"/>
                <w:kern w:val="0"/>
                <w:sz w:val="20"/>
                <w:szCs w:val="20"/>
                <w:lang w:val="sr-Cyrl-RS"/>
                <w14:ligatures w14:val="none"/>
              </w:rPr>
              <w:t xml:space="preserve"> </w:t>
            </w:r>
            <w:r w:rsidR="00C4719C" w:rsidRPr="00226F9D">
              <w:rPr>
                <w:rFonts w:ascii="Times New Roman" w:eastAsia="Times New Roman" w:hAnsi="Times New Roman" w:cs="Times New Roman"/>
                <w:kern w:val="0"/>
                <w:sz w:val="20"/>
                <w:szCs w:val="20"/>
                <w:lang w:val="sr-Cyrl-RS"/>
                <w14:ligatures w14:val="none"/>
              </w:rPr>
              <w:t xml:space="preserve">неопходних за </w:t>
            </w:r>
            <w:r w:rsidR="00AA2E37" w:rsidRPr="00226F9D">
              <w:rPr>
                <w:rFonts w:ascii="Times New Roman" w:eastAsia="Times New Roman" w:hAnsi="Times New Roman" w:cs="Times New Roman"/>
                <w:kern w:val="0"/>
                <w:sz w:val="20"/>
                <w:szCs w:val="20"/>
                <w:lang w:val="sr-Cyrl-RS"/>
                <w14:ligatures w14:val="none"/>
              </w:rPr>
              <w:t xml:space="preserve">остваривање </w:t>
            </w:r>
            <w:r w:rsidR="00815EA9" w:rsidRPr="00226F9D">
              <w:rPr>
                <w:rFonts w:ascii="Times New Roman" w:eastAsia="Times New Roman" w:hAnsi="Times New Roman" w:cs="Times New Roman"/>
                <w:kern w:val="0"/>
                <w:sz w:val="20"/>
                <w:szCs w:val="20"/>
                <w:lang w:val="sr-Cyrl-RS"/>
                <w14:ligatures w14:val="none"/>
              </w:rPr>
              <w:t>жељених реформских резултата</w:t>
            </w:r>
          </w:p>
        </w:tc>
        <w:tc>
          <w:tcPr>
            <w:tcW w:w="2652" w:type="pct"/>
          </w:tcPr>
          <w:p w14:paraId="601404F0" w14:textId="7CCDA10F" w:rsidR="00FB18CA" w:rsidRPr="00226F9D" w:rsidRDefault="00815EA9" w:rsidP="00C026E7">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Посвећеност</w:t>
            </w:r>
            <w:r w:rsidR="006274FC" w:rsidRPr="00226F9D">
              <w:rPr>
                <w:rFonts w:ascii="Times New Roman" w:eastAsia="Times New Roman" w:hAnsi="Times New Roman" w:cs="Times New Roman"/>
                <w:kern w:val="0"/>
                <w:sz w:val="20"/>
                <w:szCs w:val="20"/>
                <w:lang w:val="sr-Cyrl-RS"/>
                <w14:ligatures w14:val="none"/>
              </w:rPr>
              <w:t xml:space="preserve"> унапређењу правног оквира за уређивање система плата запослених у ЛС</w:t>
            </w:r>
            <w:r w:rsidR="00BE21E5" w:rsidRPr="00226F9D">
              <w:rPr>
                <w:rFonts w:ascii="Times New Roman" w:eastAsia="Times New Roman" w:hAnsi="Times New Roman" w:cs="Times New Roman"/>
                <w:kern w:val="0"/>
                <w:sz w:val="20"/>
                <w:szCs w:val="20"/>
                <w:lang w:val="sr-Cyrl-RS"/>
                <w14:ligatures w14:val="none"/>
              </w:rPr>
              <w:t>;</w:t>
            </w:r>
            <w:r w:rsidR="00D15EB5" w:rsidRPr="00226F9D">
              <w:rPr>
                <w:rFonts w:ascii="Times New Roman" w:eastAsia="Times New Roman" w:hAnsi="Times New Roman" w:cs="Times New Roman"/>
                <w:kern w:val="0"/>
                <w:sz w:val="20"/>
                <w:szCs w:val="20"/>
                <w:lang w:val="sr-Cyrl-RS"/>
                <w14:ligatures w14:val="none"/>
              </w:rPr>
              <w:t xml:space="preserve"> </w:t>
            </w:r>
            <w:r w:rsidR="00FA34AB" w:rsidRPr="00226F9D">
              <w:rPr>
                <w:rFonts w:ascii="Times New Roman" w:eastAsia="Times New Roman" w:hAnsi="Times New Roman" w:cs="Times New Roman"/>
                <w:kern w:val="0"/>
                <w:sz w:val="20"/>
                <w:szCs w:val="20"/>
                <w:lang w:val="sr-Cyrl-RS"/>
                <w14:ligatures w14:val="none"/>
              </w:rPr>
              <w:t xml:space="preserve">расположива </w:t>
            </w:r>
            <w:r w:rsidR="00D15EB5" w:rsidRPr="00226F9D">
              <w:rPr>
                <w:rFonts w:ascii="Times New Roman" w:eastAsia="Times New Roman" w:hAnsi="Times New Roman" w:cs="Times New Roman"/>
                <w:kern w:val="0"/>
                <w:sz w:val="20"/>
                <w:szCs w:val="20"/>
                <w:lang w:val="sr-Cyrl-RS"/>
                <w14:ligatures w14:val="none"/>
              </w:rPr>
              <w:t xml:space="preserve">подршка за </w:t>
            </w:r>
            <w:r w:rsidR="00560643" w:rsidRPr="00226F9D">
              <w:rPr>
                <w:rFonts w:ascii="Times New Roman" w:eastAsia="Times New Roman" w:hAnsi="Times New Roman" w:cs="Times New Roman"/>
                <w:kern w:val="0"/>
                <w:sz w:val="20"/>
                <w:szCs w:val="20"/>
                <w:lang w:val="sr-Cyrl-RS"/>
                <w14:ligatures w14:val="none"/>
              </w:rPr>
              <w:t>унапређење оперативног и стратешког планирања људских ресурса</w:t>
            </w:r>
            <w:r w:rsidR="00ED76BB" w:rsidRPr="00226F9D">
              <w:rPr>
                <w:rFonts w:ascii="Times New Roman" w:eastAsia="Times New Roman" w:hAnsi="Times New Roman" w:cs="Times New Roman"/>
                <w:kern w:val="0"/>
                <w:sz w:val="20"/>
                <w:szCs w:val="20"/>
                <w:lang w:val="sr-Cyrl-RS"/>
                <w14:ligatures w14:val="none"/>
              </w:rPr>
              <w:t xml:space="preserve">; </w:t>
            </w:r>
            <w:r w:rsidR="009479E5" w:rsidRPr="00226F9D">
              <w:rPr>
                <w:rFonts w:ascii="Times New Roman" w:eastAsia="Times New Roman" w:hAnsi="Times New Roman" w:cs="Times New Roman"/>
                <w:kern w:val="0"/>
                <w:sz w:val="20"/>
                <w:szCs w:val="20"/>
                <w:lang w:val="sr-Cyrl-RS"/>
                <w14:ligatures w14:val="none"/>
              </w:rPr>
              <w:t xml:space="preserve">атрактивност </w:t>
            </w:r>
            <w:r w:rsidR="008A3F44" w:rsidRPr="00226F9D">
              <w:rPr>
                <w:rFonts w:ascii="Times New Roman" w:eastAsia="Times New Roman" w:hAnsi="Times New Roman" w:cs="Times New Roman"/>
                <w:kern w:val="0"/>
                <w:sz w:val="20"/>
                <w:szCs w:val="20"/>
                <w:lang w:val="sr-Cyrl-RS"/>
                <w14:ligatures w14:val="none"/>
              </w:rPr>
              <w:t xml:space="preserve">тема у оквиру планираних пакета стручне </w:t>
            </w:r>
            <w:r w:rsidR="00B07633" w:rsidRPr="00226F9D">
              <w:rPr>
                <w:rFonts w:ascii="Times New Roman" w:eastAsia="Times New Roman" w:hAnsi="Times New Roman" w:cs="Times New Roman"/>
                <w:kern w:val="0"/>
                <w:sz w:val="20"/>
                <w:szCs w:val="20"/>
                <w:lang w:val="sr-Cyrl-RS"/>
                <w14:ligatures w14:val="none"/>
              </w:rPr>
              <w:t xml:space="preserve">подршке </w:t>
            </w:r>
          </w:p>
        </w:tc>
      </w:tr>
    </w:tbl>
    <w:p w14:paraId="6EB1613F" w14:textId="77777777" w:rsidR="00FB18CA" w:rsidRPr="00226F9D" w:rsidRDefault="00FB18CA" w:rsidP="00FB18CA">
      <w:pPr>
        <w:spacing w:after="0" w:line="240" w:lineRule="auto"/>
        <w:jc w:val="both"/>
        <w:rPr>
          <w:rFonts w:ascii="Times New Roman" w:eastAsia="Times New Roman" w:hAnsi="Times New Roman" w:cs="Times New Roman"/>
          <w:kern w:val="0"/>
          <w:lang w:val="sr-Cyrl-RS" w:eastAsia="de-CH"/>
          <w14:ligatures w14:val="none"/>
        </w:rPr>
      </w:pPr>
    </w:p>
    <w:p w14:paraId="08FC6512" w14:textId="6F7A8648" w:rsidR="00FB18CA" w:rsidRPr="00226F9D" w:rsidRDefault="00FB18CA" w:rsidP="00090884">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Описима мера у наставку и пратећим Акционим планом, комплетирају се информације о роковима, носиоцима реализације, потребним ресурсима и очекиваним променама у фунцији остваривања опредељене опције.     </w:t>
      </w:r>
    </w:p>
    <w:p w14:paraId="2FB22EC7" w14:textId="77777777" w:rsidR="00CF32C3" w:rsidRPr="00226F9D" w:rsidRDefault="00CF32C3" w:rsidP="00705031">
      <w:pPr>
        <w:pStyle w:val="Heading4"/>
        <w:rPr>
          <w:rFonts w:ascii="Times New Roman" w:hAnsi="Times New Roman" w:cs="Times New Roman"/>
          <w:color w:val="auto"/>
          <w:lang w:val="sr-Cyrl-RS"/>
        </w:rPr>
      </w:pPr>
      <w:bookmarkStart w:id="33" w:name="_Toc77068881"/>
    </w:p>
    <w:p w14:paraId="1E361833" w14:textId="763D2762" w:rsidR="00CF32C3" w:rsidRPr="00226F9D" w:rsidRDefault="00CF32C3" w:rsidP="00D970AC">
      <w:pPr>
        <w:pStyle w:val="Heading4"/>
        <w:rPr>
          <w:rFonts w:ascii="Times New Roman" w:hAnsi="Times New Roman" w:cs="Times New Roman"/>
          <w:lang w:val="sr-Cyrl-RS"/>
        </w:rPr>
      </w:pPr>
      <w:r w:rsidRPr="00226F9D">
        <w:rPr>
          <w:rFonts w:ascii="Times New Roman" w:hAnsi="Times New Roman" w:cs="Times New Roman"/>
          <w:lang w:val="sr-Cyrl-RS"/>
        </w:rPr>
        <w:t>Мера 3.1</w:t>
      </w:r>
      <w:bookmarkEnd w:id="33"/>
      <w:r w:rsidRPr="00226F9D">
        <w:rPr>
          <w:rFonts w:ascii="Times New Roman" w:hAnsi="Times New Roman" w:cs="Times New Roman"/>
          <w:lang w:val="sr-Cyrl-RS"/>
        </w:rPr>
        <w:t xml:space="preserve"> Развој и унапређење система УЉР у ЈЛС заснованог на компетенцијама</w:t>
      </w:r>
    </w:p>
    <w:p w14:paraId="6B6017FA" w14:textId="77777777" w:rsidR="004574A6" w:rsidRPr="00226F9D" w:rsidRDefault="004574A6" w:rsidP="004574A6">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 xml:space="preserve">У циљу даље подршке развоју функције </w:t>
      </w:r>
      <w:bookmarkStart w:id="34" w:name="_Hlk56589690"/>
      <w:r w:rsidRPr="00226F9D">
        <w:rPr>
          <w:rFonts w:ascii="Times New Roman" w:eastAsia="Times New Roman" w:hAnsi="Times New Roman" w:cs="Times New Roman"/>
          <w:color w:val="000000" w:themeColor="text1"/>
          <w:kern w:val="0"/>
          <w:lang w:val="sr-Cyrl-RS" w:eastAsia="sr-Latn-RS"/>
          <w14:ligatures w14:val="none"/>
        </w:rPr>
        <w:t xml:space="preserve">УЉР </w:t>
      </w:r>
      <w:bookmarkEnd w:id="34"/>
      <w:r w:rsidRPr="00226F9D">
        <w:rPr>
          <w:rFonts w:ascii="Times New Roman" w:eastAsia="Times New Roman" w:hAnsi="Times New Roman" w:cs="Times New Roman"/>
          <w:color w:val="000000" w:themeColor="text1"/>
          <w:kern w:val="0"/>
          <w:lang w:val="sr-Cyrl-RS" w:eastAsia="sr-Latn-RS"/>
          <w14:ligatures w14:val="none"/>
        </w:rPr>
        <w:t xml:space="preserve">у локалној управи, нарочито подршке потпуној интеграцији система управљања људским ресурсима заснованог на компетенцијама, у оквиру ове мере планиран је низ важних активности и различити видови подршке: обуке, техничка подршка, подршка интеграцији у информациони систем за УЉР, хармонизација и измена правног и функционалног оквира, и др. У наредном периоду се очекује комплетирање интеграције компетенција у све функције управљања људским ресурсима, те ће један део активности бити усмерен на одрживост успостављеног система. Како би се унапредио процес даљег креирања политика у области УЉР на локалном нивоу, биће развијена методологија, индикатори и алати за праћење стања у области, као и механизми комуникације између министарства и ЈЛС. </w:t>
      </w:r>
    </w:p>
    <w:p w14:paraId="6084CBBA" w14:textId="77777777" w:rsidR="004574A6" w:rsidRPr="00226F9D" w:rsidRDefault="004574A6" w:rsidP="004574A6">
      <w:pPr>
        <w:spacing w:after="0" w:line="240" w:lineRule="auto"/>
        <w:jc w:val="both"/>
        <w:rPr>
          <w:rFonts w:ascii="Times New Roman" w:eastAsia="Times New Roman" w:hAnsi="Times New Roman" w:cs="Times New Roman"/>
          <w:color w:val="000000" w:themeColor="text1"/>
          <w:kern w:val="0"/>
          <w:lang w:val="sr-Cyrl-RS" w:eastAsia="sr-Latn-RS"/>
          <w14:ligatures w14:val="none"/>
        </w:rPr>
      </w:pPr>
    </w:p>
    <w:p w14:paraId="61888CCA" w14:textId="77777777" w:rsidR="004574A6" w:rsidRPr="00226F9D" w:rsidRDefault="004574A6" w:rsidP="004574A6">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Један од приоритета у наредном периоду биће и увођење стратешког планирања људских ресурса, кроз успостављање свеобухватног вишегодишњег и оперативног планирања кадрова (анализе, препоруке и пилотирање). Такође, акценат ће бити и на успостављању система квалитета у области управљања људским ресурсима (што ће бити подржано и пилотирањем одговарајућих стандарда на узорку ЈЛС) и стручном усавршавању запослених.</w:t>
      </w:r>
      <w:r w:rsidRPr="00226F9D">
        <w:rPr>
          <w:rFonts w:ascii="Times New Roman" w:eastAsia="Times New Roman" w:hAnsi="Times New Roman" w:cs="Times New Roman"/>
          <w:color w:val="000000" w:themeColor="text1"/>
          <w:kern w:val="0"/>
          <w:lang w:val="sr-Latn-RS" w:eastAsia="sr-Latn-RS"/>
          <w14:ligatures w14:val="none"/>
        </w:rPr>
        <w:t xml:space="preserve"> </w:t>
      </w:r>
      <w:r w:rsidRPr="00226F9D">
        <w:rPr>
          <w:rFonts w:ascii="Times New Roman" w:eastAsia="Times New Roman" w:hAnsi="Times New Roman" w:cs="Times New Roman"/>
          <w:color w:val="000000" w:themeColor="text1"/>
          <w:kern w:val="0"/>
          <w:lang w:val="sr-Cyrl-RS" w:eastAsia="sr-Latn-RS"/>
          <w14:ligatures w14:val="none"/>
        </w:rPr>
        <w:t>Поред тога, по први пут ће бити обезбеђена подршка за увођење и интеграцију новозапослених у рад. У ту сврху биће израђене методолошке смернице и организоване обуке.</w:t>
      </w:r>
    </w:p>
    <w:p w14:paraId="4E8E02A4" w14:textId="77777777" w:rsidR="004574A6" w:rsidRPr="00226F9D" w:rsidRDefault="004574A6" w:rsidP="004574A6">
      <w:pPr>
        <w:spacing w:after="0" w:line="240" w:lineRule="auto"/>
        <w:jc w:val="both"/>
        <w:rPr>
          <w:rFonts w:ascii="Times New Roman" w:eastAsia="Times New Roman" w:hAnsi="Times New Roman" w:cs="Times New Roman"/>
          <w:color w:val="000000" w:themeColor="text1"/>
          <w:kern w:val="0"/>
          <w:lang w:val="sr-Latn-RS" w:eastAsia="sr-Latn-RS"/>
          <w14:ligatures w14:val="none"/>
        </w:rPr>
      </w:pPr>
    </w:p>
    <w:p w14:paraId="497E81D5" w14:textId="68FDE420" w:rsidR="00CA471C" w:rsidRPr="00226F9D" w:rsidRDefault="24ADB2E1" w:rsidP="004574A6">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Коначно, у даљем процесу развоја УЉР један од приоритета (не и последњи) јесте и даља укупна подршка остваривању ове функције у пракси. У склопу тога, потребно је наставити развој знања и капацитета локалне управе кроз обуке, размену праксе и припрему приручника и модела локалних докумената. Конкретни пакети стручне подршке за унапређење функције УЉР предвиђени су у 77 локалних самоуправа. Ова свеобухватна подршка подразумеваће повећање капацитета ЈЛС за управљање људским ресурсима засновано на компетенцијама. Свеукупни учинак система УЉР на локалном нивоу у новом програмском периоду пратиће се кроз периодична мерења.</w:t>
      </w:r>
      <w:r w:rsidRPr="00226F9D">
        <w:rPr>
          <w:rFonts w:ascii="Times New Roman" w:eastAsia="Times New Roman" w:hAnsi="Times New Roman" w:cs="Times New Roman"/>
          <w:color w:val="000000" w:themeColor="text1"/>
          <w:kern w:val="0"/>
          <w:lang w:val="sr-Latn-RS" w:eastAsia="sr-Latn-RS"/>
          <w14:ligatures w14:val="none"/>
        </w:rPr>
        <w:t xml:space="preserve"> </w:t>
      </w:r>
      <w:r w:rsidRPr="00226F9D">
        <w:rPr>
          <w:rFonts w:ascii="Times New Roman" w:eastAsia="Times New Roman" w:hAnsi="Times New Roman" w:cs="Times New Roman"/>
          <w:color w:val="000000" w:themeColor="text1"/>
          <w:kern w:val="0"/>
          <w:lang w:val="sr-Cyrl-RS" w:eastAsia="sr-Latn-RS"/>
          <w14:ligatures w14:val="none"/>
        </w:rPr>
        <w:t>Пошто од увођења оквира компетенција службеника ЈЛС учинак система није био мерен, прво мерење у 2025. години представља полазну основу. Наредно мерење, планирано за 2027. годину, омогућиће процену ефеката спроведених пакета подршке, а затим ће мерење у 2028. години дати оцену одрживости система.</w:t>
      </w:r>
      <w:r w:rsidR="300E7BC1" w:rsidRPr="00226F9D">
        <w:rPr>
          <w:rFonts w:ascii="Times New Roman" w:eastAsia="Times New Roman" w:hAnsi="Times New Roman" w:cs="Times New Roman"/>
          <w:color w:val="000000" w:themeColor="text1"/>
          <w:lang w:val="sr-Cyrl-RS" w:eastAsia="sr-Latn-RS"/>
        </w:rPr>
        <w:t xml:space="preserve"> </w:t>
      </w:r>
      <w:r w:rsidR="03BD7868" w:rsidRPr="00226F9D">
        <w:rPr>
          <w:rFonts w:ascii="Times New Roman" w:eastAsia="Times New Roman" w:hAnsi="Times New Roman" w:cs="Times New Roman"/>
          <w:color w:val="000000" w:themeColor="text1"/>
          <w:lang w:val="sr-Cyrl-RS" w:eastAsia="sr-Latn-RS"/>
        </w:rPr>
        <w:t>Коначно, п</w:t>
      </w:r>
      <w:r w:rsidR="300E7BC1" w:rsidRPr="00226F9D">
        <w:rPr>
          <w:rFonts w:ascii="Times New Roman" w:eastAsia="Times New Roman" w:hAnsi="Times New Roman" w:cs="Times New Roman"/>
          <w:color w:val="000000" w:themeColor="text1"/>
          <w:lang w:val="sr-Cyrl-RS" w:eastAsia="sr-Latn-RS"/>
        </w:rPr>
        <w:t xml:space="preserve">ланирано је и мерење </w:t>
      </w:r>
      <w:r w:rsidR="577718E9" w:rsidRPr="00226F9D">
        <w:rPr>
          <w:rFonts w:ascii="Times New Roman" w:eastAsia="Times New Roman" w:hAnsi="Times New Roman" w:cs="Times New Roman"/>
          <w:color w:val="000000" w:themeColor="text1"/>
          <w:lang w:val="sr-Cyrl-RS" w:eastAsia="sr-Latn-RS"/>
        </w:rPr>
        <w:t xml:space="preserve">за пресек стања </w:t>
      </w:r>
      <w:r w:rsidR="03BD7868" w:rsidRPr="00226F9D">
        <w:rPr>
          <w:rFonts w:ascii="Times New Roman" w:eastAsia="Times New Roman" w:hAnsi="Times New Roman" w:cs="Times New Roman"/>
          <w:color w:val="000000" w:themeColor="text1"/>
          <w:lang w:val="sr-Cyrl-RS" w:eastAsia="sr-Latn-RS"/>
        </w:rPr>
        <w:t xml:space="preserve">на мањем узорку ЈЛС </w:t>
      </w:r>
      <w:r w:rsidR="577718E9" w:rsidRPr="00226F9D">
        <w:rPr>
          <w:rFonts w:ascii="Times New Roman" w:eastAsia="Times New Roman" w:hAnsi="Times New Roman" w:cs="Times New Roman"/>
          <w:color w:val="000000" w:themeColor="text1"/>
          <w:lang w:val="sr-Cyrl-RS" w:eastAsia="sr-Latn-RS"/>
        </w:rPr>
        <w:t>у 2030. години</w:t>
      </w:r>
      <w:r w:rsidR="03BD7868" w:rsidRPr="00226F9D">
        <w:rPr>
          <w:rFonts w:ascii="Times New Roman" w:eastAsia="Times New Roman" w:hAnsi="Times New Roman" w:cs="Times New Roman"/>
          <w:color w:val="000000" w:themeColor="text1"/>
          <w:lang w:val="sr-Cyrl-RS" w:eastAsia="sr-Latn-RS"/>
        </w:rPr>
        <w:t>.</w:t>
      </w:r>
      <w:r w:rsidR="577718E9" w:rsidRPr="00226F9D">
        <w:rPr>
          <w:rFonts w:ascii="Times New Roman" w:eastAsia="Times New Roman" w:hAnsi="Times New Roman" w:cs="Times New Roman"/>
          <w:color w:val="000000" w:themeColor="text1"/>
          <w:lang w:val="sr-Cyrl-RS" w:eastAsia="sr-Latn-RS"/>
        </w:rPr>
        <w:t xml:space="preserve"> </w:t>
      </w:r>
    </w:p>
    <w:p w14:paraId="6523D426" w14:textId="77777777" w:rsidR="00CA471C" w:rsidRPr="00226F9D" w:rsidRDefault="00CA471C" w:rsidP="004574A6">
      <w:pPr>
        <w:spacing w:after="0" w:line="240" w:lineRule="auto"/>
        <w:jc w:val="both"/>
        <w:rPr>
          <w:rFonts w:ascii="Times New Roman" w:eastAsia="Times New Roman" w:hAnsi="Times New Roman" w:cs="Times New Roman"/>
          <w:color w:val="000000" w:themeColor="text1"/>
          <w:kern w:val="0"/>
          <w:lang w:val="sr-Latn-RS" w:eastAsia="sr-Latn-R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7"/>
        <w:gridCol w:w="1372"/>
        <w:gridCol w:w="1146"/>
        <w:gridCol w:w="1147"/>
        <w:gridCol w:w="1146"/>
        <w:gridCol w:w="1147"/>
        <w:gridCol w:w="1147"/>
      </w:tblGrid>
      <w:tr w:rsidR="007A7449" w:rsidRPr="00226F9D" w14:paraId="06CF17E3" w14:textId="77777777" w:rsidTr="0EB8FC02">
        <w:trPr>
          <w:trHeight w:val="278"/>
          <w:tblHeader/>
        </w:trPr>
        <w:tc>
          <w:tcPr>
            <w:tcW w:w="2445" w:type="dxa"/>
            <w:shd w:val="clear" w:color="auto" w:fill="83CAEB" w:themeFill="accent1" w:themeFillTint="66"/>
            <w:vAlign w:val="center"/>
            <w:hideMark/>
          </w:tcPr>
          <w:p w14:paraId="58E617EE"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Показатељ(и) на нивоу мере (показатељ резултата)</w:t>
            </w:r>
          </w:p>
        </w:tc>
        <w:tc>
          <w:tcPr>
            <w:tcW w:w="1333" w:type="dxa"/>
            <w:shd w:val="clear" w:color="auto" w:fill="83CAEB" w:themeFill="accent1" w:themeFillTint="66"/>
            <w:vAlign w:val="center"/>
            <w:hideMark/>
          </w:tcPr>
          <w:p w14:paraId="0E30F721"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1114" w:type="dxa"/>
            <w:shd w:val="clear" w:color="auto" w:fill="83CAEB" w:themeFill="accent1" w:themeFillTint="66"/>
            <w:vAlign w:val="center"/>
            <w:hideMark/>
          </w:tcPr>
          <w:p w14:paraId="07857586"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1115" w:type="dxa"/>
            <w:shd w:val="clear" w:color="auto" w:fill="83CAEB" w:themeFill="accent1" w:themeFillTint="66"/>
            <w:vAlign w:val="center"/>
            <w:hideMark/>
          </w:tcPr>
          <w:p w14:paraId="25FA4290"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1114" w:type="dxa"/>
            <w:shd w:val="clear" w:color="auto" w:fill="83CAEB" w:themeFill="accent1" w:themeFillTint="66"/>
            <w:vAlign w:val="center"/>
            <w:hideMark/>
          </w:tcPr>
          <w:p w14:paraId="0CD86096"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1115" w:type="dxa"/>
            <w:shd w:val="clear" w:color="auto" w:fill="83CAEB" w:themeFill="accent1" w:themeFillTint="66"/>
            <w:vAlign w:val="center"/>
          </w:tcPr>
          <w:p w14:paraId="63FE1EE6"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1115" w:type="dxa"/>
            <w:shd w:val="clear" w:color="auto" w:fill="83CAEB" w:themeFill="accent1" w:themeFillTint="66"/>
            <w:vAlign w:val="center"/>
          </w:tcPr>
          <w:p w14:paraId="26F4578A"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7A7449" w:rsidRPr="00226F9D" w14:paraId="35B0E0D1" w14:textId="77777777" w:rsidTr="0EB8FC02">
        <w:trPr>
          <w:trHeight w:val="278"/>
        </w:trPr>
        <w:tc>
          <w:tcPr>
            <w:tcW w:w="2445" w:type="dxa"/>
            <w:vAlign w:val="center"/>
          </w:tcPr>
          <w:p w14:paraId="51D40F45"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Капацитет ЈЛС за управљање људским ресурсима у локалној управи (просечна вредност индекса СКГО за УЉР у издвојеним областима: организација и планирање људских ресурса; попуњавање радних места, оцењивање запослених, дисциплинска одговорност и жалбени поступак, комуникација, етика, вредности и култура организације)</w:t>
            </w:r>
          </w:p>
        </w:tc>
        <w:tc>
          <w:tcPr>
            <w:tcW w:w="1333" w:type="dxa"/>
            <w:vAlign w:val="center"/>
          </w:tcPr>
          <w:p w14:paraId="1200664F" w14:textId="77777777" w:rsidR="00590881" w:rsidRPr="00226F9D" w:rsidRDefault="00590881"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p>
          <w:p w14:paraId="2DA87F39" w14:textId="6FF27E4B" w:rsidR="00CF32C3" w:rsidRPr="00226F9D" w:rsidRDefault="00C54692"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64,7%</w:t>
            </w:r>
            <w:r w:rsidR="00CF32C3" w:rsidRPr="00226F9D">
              <w:rPr>
                <w:rFonts w:ascii="Times New Roman" w:eastAsia="Times New Roman" w:hAnsi="Times New Roman" w:cs="Times New Roman"/>
                <w:color w:val="000000" w:themeColor="text1"/>
                <w:kern w:val="0"/>
                <w:sz w:val="20"/>
                <w:szCs w:val="20"/>
                <w:lang w:val="sr-Cyrl-RS"/>
                <w14:ligatures w14:val="none"/>
              </w:rPr>
              <w:t xml:space="preserve"> (2025)</w:t>
            </w:r>
          </w:p>
          <w:p w14:paraId="4F5A9F8F" w14:textId="44E3F057" w:rsidR="00CF32C3" w:rsidRPr="00226F9D" w:rsidRDefault="00CF32C3"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p>
        </w:tc>
        <w:tc>
          <w:tcPr>
            <w:tcW w:w="1114" w:type="dxa"/>
            <w:vAlign w:val="center"/>
          </w:tcPr>
          <w:p w14:paraId="62A81474" w14:textId="6B8B4BB8" w:rsidR="00CF32C3" w:rsidRPr="00226F9D" w:rsidRDefault="000F26E0"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w:t>
            </w:r>
          </w:p>
        </w:tc>
        <w:tc>
          <w:tcPr>
            <w:tcW w:w="1115" w:type="dxa"/>
            <w:vAlign w:val="center"/>
          </w:tcPr>
          <w:p w14:paraId="6525885F" w14:textId="24F1B850" w:rsidR="00CF32C3" w:rsidRPr="00226F9D" w:rsidRDefault="00164B68"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7</w:t>
            </w:r>
            <w:r w:rsidR="00EC3222" w:rsidRPr="00226F9D">
              <w:rPr>
                <w:rFonts w:ascii="Times New Roman" w:eastAsia="Times New Roman" w:hAnsi="Times New Roman" w:cs="Times New Roman"/>
                <w:color w:val="000000"/>
                <w:kern w:val="0"/>
                <w:sz w:val="20"/>
                <w:szCs w:val="20"/>
                <w:lang w:val="sr-Latn-RS"/>
                <w14:ligatures w14:val="none"/>
              </w:rPr>
              <w:t>1,2</w:t>
            </w:r>
            <w:r w:rsidRPr="00226F9D">
              <w:rPr>
                <w:rFonts w:ascii="Times New Roman" w:eastAsia="Times New Roman" w:hAnsi="Times New Roman" w:cs="Times New Roman"/>
                <w:color w:val="000000"/>
                <w:kern w:val="0"/>
                <w:sz w:val="20"/>
                <w:szCs w:val="20"/>
                <w:lang w:val="sr-Latn-RS"/>
                <w14:ligatures w14:val="none"/>
              </w:rPr>
              <w:t>%</w:t>
            </w:r>
          </w:p>
        </w:tc>
        <w:tc>
          <w:tcPr>
            <w:tcW w:w="1114" w:type="dxa"/>
            <w:vAlign w:val="center"/>
          </w:tcPr>
          <w:p w14:paraId="6BED835E" w14:textId="714170AD" w:rsidR="00CF32C3" w:rsidRPr="00226F9D" w:rsidRDefault="00604B2F"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7</w:t>
            </w:r>
            <w:r w:rsidR="00EC3222" w:rsidRPr="00226F9D">
              <w:rPr>
                <w:rFonts w:ascii="Times New Roman" w:eastAsia="Times New Roman" w:hAnsi="Times New Roman" w:cs="Times New Roman"/>
                <w:color w:val="000000"/>
                <w:kern w:val="0"/>
                <w:sz w:val="20"/>
                <w:szCs w:val="20"/>
                <w:lang w:val="sr-Latn-RS"/>
                <w14:ligatures w14:val="none"/>
              </w:rPr>
              <w:t>4</w:t>
            </w:r>
            <w:r w:rsidRPr="00226F9D">
              <w:rPr>
                <w:rFonts w:ascii="Times New Roman" w:eastAsia="Times New Roman" w:hAnsi="Times New Roman" w:cs="Times New Roman"/>
                <w:color w:val="000000"/>
                <w:kern w:val="0"/>
                <w:sz w:val="20"/>
                <w:szCs w:val="20"/>
                <w:lang w:val="sr-Latn-RS"/>
                <w14:ligatures w14:val="none"/>
              </w:rPr>
              <w:t>,</w:t>
            </w:r>
            <w:r w:rsidR="00EC3222" w:rsidRPr="00226F9D">
              <w:rPr>
                <w:rFonts w:ascii="Times New Roman" w:eastAsia="Times New Roman" w:hAnsi="Times New Roman" w:cs="Times New Roman"/>
                <w:color w:val="000000"/>
                <w:kern w:val="0"/>
                <w:sz w:val="20"/>
                <w:szCs w:val="20"/>
                <w:lang w:val="sr-Latn-RS"/>
                <w14:ligatures w14:val="none"/>
              </w:rPr>
              <w:t>4</w:t>
            </w:r>
            <w:r w:rsidRPr="00226F9D">
              <w:rPr>
                <w:rFonts w:ascii="Times New Roman" w:eastAsia="Times New Roman" w:hAnsi="Times New Roman" w:cs="Times New Roman"/>
                <w:color w:val="000000"/>
                <w:kern w:val="0"/>
                <w:sz w:val="20"/>
                <w:szCs w:val="20"/>
                <w:lang w:val="sr-Latn-RS"/>
                <w14:ligatures w14:val="none"/>
              </w:rPr>
              <w:t>%</w:t>
            </w:r>
          </w:p>
        </w:tc>
        <w:tc>
          <w:tcPr>
            <w:tcW w:w="1115" w:type="dxa"/>
            <w:vAlign w:val="center"/>
          </w:tcPr>
          <w:p w14:paraId="11D5ABB5" w14:textId="6DE77A15" w:rsidR="00CF32C3" w:rsidRPr="00226F9D" w:rsidRDefault="000F26E0"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w:t>
            </w:r>
          </w:p>
        </w:tc>
        <w:tc>
          <w:tcPr>
            <w:tcW w:w="1115" w:type="dxa"/>
            <w:vAlign w:val="center"/>
          </w:tcPr>
          <w:p w14:paraId="4D28EA49" w14:textId="6268CC2E" w:rsidR="00CF32C3" w:rsidRPr="00226F9D" w:rsidRDefault="007D773E"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77,7</w:t>
            </w:r>
            <w:r w:rsidR="000F26E0" w:rsidRPr="00226F9D">
              <w:rPr>
                <w:rFonts w:ascii="Times New Roman" w:eastAsia="Times New Roman" w:hAnsi="Times New Roman" w:cs="Times New Roman"/>
                <w:color w:val="000000"/>
                <w:kern w:val="0"/>
                <w:sz w:val="20"/>
                <w:szCs w:val="20"/>
                <w:lang w:val="sr-Latn-RS"/>
                <w14:ligatures w14:val="none"/>
              </w:rPr>
              <w:t>%</w:t>
            </w:r>
          </w:p>
        </w:tc>
      </w:tr>
      <w:tr w:rsidR="007A7449" w:rsidRPr="00226F9D" w14:paraId="0D287164" w14:textId="77777777" w:rsidTr="0EB8FC02">
        <w:trPr>
          <w:trHeight w:val="278"/>
        </w:trPr>
        <w:tc>
          <w:tcPr>
            <w:tcW w:w="2445" w:type="dxa"/>
            <w:vAlign w:val="center"/>
          </w:tcPr>
          <w:p w14:paraId="5DAD73C9" w14:textId="716ADCCC"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lastRenderedPageBreak/>
              <w:t xml:space="preserve">Број </w:t>
            </w:r>
            <w:r w:rsidR="000B67D9" w:rsidRPr="00226F9D">
              <w:rPr>
                <w:rFonts w:ascii="Times New Roman" w:eastAsia="Times New Roman" w:hAnsi="Times New Roman" w:cs="Times New Roman"/>
                <w:color w:val="000000"/>
                <w:kern w:val="0"/>
                <w:sz w:val="20"/>
                <w:szCs w:val="20"/>
                <w:lang w:val="sr-Cyrl-RS"/>
                <w14:ligatures w14:val="none"/>
              </w:rPr>
              <w:t>з</w:t>
            </w:r>
            <w:r w:rsidRPr="00226F9D">
              <w:rPr>
                <w:rFonts w:ascii="Times New Roman" w:eastAsia="Times New Roman" w:hAnsi="Times New Roman" w:cs="Times New Roman"/>
                <w:color w:val="000000"/>
                <w:kern w:val="0"/>
                <w:sz w:val="20"/>
                <w:szCs w:val="20"/>
                <w:lang w:val="sr-Cyrl-RS"/>
                <w14:ligatures w14:val="none"/>
              </w:rPr>
              <w:t xml:space="preserve">апослених у ЈЛС који су </w:t>
            </w:r>
            <w:r w:rsidR="0055226E" w:rsidRPr="00226F9D">
              <w:rPr>
                <w:rFonts w:ascii="Times New Roman" w:eastAsia="Times New Roman" w:hAnsi="Times New Roman" w:cs="Times New Roman"/>
                <w:color w:val="000000"/>
                <w:kern w:val="0"/>
                <w:sz w:val="20"/>
                <w:szCs w:val="20"/>
                <w:lang w:val="sr-Cyrl-RS"/>
                <w14:ligatures w14:val="none"/>
              </w:rPr>
              <w:t>прошли обуке из области управљања људским ресурсима</w:t>
            </w:r>
            <w:r w:rsidRPr="00226F9D">
              <w:rPr>
                <w:rFonts w:ascii="Times New Roman" w:eastAsia="Times New Roman" w:hAnsi="Times New Roman" w:cs="Times New Roman"/>
                <w:color w:val="000000"/>
                <w:kern w:val="0"/>
                <w:sz w:val="20"/>
                <w:szCs w:val="20"/>
                <w:lang w:val="sr-Cyrl-RS"/>
                <w14:ligatures w14:val="none"/>
              </w:rPr>
              <w:t xml:space="preserve"> (кумулативно)</w:t>
            </w:r>
          </w:p>
        </w:tc>
        <w:tc>
          <w:tcPr>
            <w:tcW w:w="1333" w:type="dxa"/>
            <w:vAlign w:val="center"/>
          </w:tcPr>
          <w:p w14:paraId="623FD942" w14:textId="4418414A" w:rsidR="00CF32C3" w:rsidRPr="00226F9D" w:rsidRDefault="79A03337"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sz w:val="20"/>
                <w:szCs w:val="20"/>
                <w:lang w:val="sr-Latn-RS"/>
              </w:rPr>
              <w:t>607 (2024)</w:t>
            </w:r>
          </w:p>
        </w:tc>
        <w:tc>
          <w:tcPr>
            <w:tcW w:w="1114" w:type="dxa"/>
            <w:vAlign w:val="center"/>
          </w:tcPr>
          <w:p w14:paraId="467EA0C1" w14:textId="2BDD1497" w:rsidR="00CF32C3" w:rsidRPr="00226F9D" w:rsidRDefault="6B7F9554" w:rsidP="0EB8FC02">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957</w:t>
            </w:r>
          </w:p>
        </w:tc>
        <w:tc>
          <w:tcPr>
            <w:tcW w:w="1115" w:type="dxa"/>
            <w:vAlign w:val="center"/>
          </w:tcPr>
          <w:p w14:paraId="02E9D58C" w14:textId="7322F541" w:rsidR="00CF32C3" w:rsidRPr="00226F9D" w:rsidRDefault="004011DA"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1207</w:t>
            </w:r>
          </w:p>
        </w:tc>
        <w:tc>
          <w:tcPr>
            <w:tcW w:w="1114" w:type="dxa"/>
            <w:vAlign w:val="center"/>
          </w:tcPr>
          <w:p w14:paraId="5FB20FA2" w14:textId="3D9ECE3D"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13</w:t>
            </w:r>
            <w:r w:rsidR="004011DA" w:rsidRPr="00226F9D">
              <w:rPr>
                <w:rFonts w:ascii="Times New Roman" w:eastAsia="Times New Roman" w:hAnsi="Times New Roman" w:cs="Times New Roman"/>
                <w:color w:val="000000"/>
                <w:kern w:val="0"/>
                <w:sz w:val="20"/>
                <w:szCs w:val="20"/>
                <w:lang w:val="sr-Cyrl-RS"/>
                <w14:ligatures w14:val="none"/>
              </w:rPr>
              <w:t>57</w:t>
            </w:r>
          </w:p>
        </w:tc>
        <w:tc>
          <w:tcPr>
            <w:tcW w:w="1115" w:type="dxa"/>
            <w:vAlign w:val="center"/>
          </w:tcPr>
          <w:p w14:paraId="4D0EA766" w14:textId="49AF04FA" w:rsidR="00CF32C3" w:rsidRPr="00226F9D" w:rsidRDefault="004011DA"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1407</w:t>
            </w:r>
          </w:p>
        </w:tc>
        <w:tc>
          <w:tcPr>
            <w:tcW w:w="1115" w:type="dxa"/>
            <w:vAlign w:val="center"/>
          </w:tcPr>
          <w:p w14:paraId="4638D3F6" w14:textId="2DB9F40C"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14:ligatures w14:val="none"/>
              </w:rPr>
            </w:pPr>
            <w:r w:rsidRPr="00226F9D">
              <w:rPr>
                <w:rFonts w:ascii="Times New Roman" w:eastAsia="Times New Roman" w:hAnsi="Times New Roman" w:cs="Times New Roman"/>
                <w:color w:val="000000"/>
                <w:kern w:val="0"/>
                <w:sz w:val="20"/>
                <w:szCs w:val="20"/>
                <w:lang w:val="sr-Cyrl-RS"/>
                <w14:ligatures w14:val="none"/>
              </w:rPr>
              <w:t>14</w:t>
            </w:r>
            <w:r w:rsidR="004011DA" w:rsidRPr="00226F9D">
              <w:rPr>
                <w:rFonts w:ascii="Times New Roman" w:eastAsia="Times New Roman" w:hAnsi="Times New Roman" w:cs="Times New Roman"/>
                <w:color w:val="000000"/>
                <w:kern w:val="0"/>
                <w:sz w:val="20"/>
                <w:szCs w:val="20"/>
                <w:lang w:val="sr-Cyrl-RS"/>
                <w14:ligatures w14:val="none"/>
              </w:rPr>
              <w:t>57</w:t>
            </w:r>
          </w:p>
        </w:tc>
      </w:tr>
    </w:tbl>
    <w:p w14:paraId="196F3F26" w14:textId="77777777" w:rsidR="00CF32C3" w:rsidRPr="00226F9D" w:rsidRDefault="00CF32C3" w:rsidP="006B59F4">
      <w:pPr>
        <w:spacing w:after="0" w:line="240" w:lineRule="auto"/>
        <w:jc w:val="both"/>
        <w:rPr>
          <w:rFonts w:ascii="Times New Roman" w:eastAsia="Times New Roman" w:hAnsi="Times New Roman" w:cs="Times New Roman"/>
          <w:color w:val="000000"/>
          <w:kern w:val="0"/>
          <w:lang w:val="sr-Cyrl-RS" w:eastAsia="sr-Latn-RS"/>
          <w14:ligatures w14:val="none"/>
        </w:rPr>
      </w:pPr>
    </w:p>
    <w:p w14:paraId="4A5FD8A2" w14:textId="0CCDF9FF" w:rsidR="00CF32C3" w:rsidRPr="00226F9D" w:rsidRDefault="00CF32C3" w:rsidP="00D970AC">
      <w:pPr>
        <w:pStyle w:val="Heading4"/>
        <w:rPr>
          <w:rFonts w:ascii="Times New Roman" w:hAnsi="Times New Roman" w:cs="Times New Roman"/>
          <w:lang w:val="sr-Cyrl-RS"/>
        </w:rPr>
      </w:pPr>
      <w:bookmarkStart w:id="35" w:name="_Toc77068882"/>
      <w:r w:rsidRPr="00226F9D">
        <w:rPr>
          <w:rFonts w:ascii="Times New Roman" w:hAnsi="Times New Roman" w:cs="Times New Roman"/>
          <w:lang w:val="sr-Cyrl-RS"/>
        </w:rPr>
        <w:t>Мера 3.2: Унапређење процеса стручног усавршавања запослених у органима Ј</w:t>
      </w:r>
      <w:bookmarkEnd w:id="35"/>
      <w:r w:rsidRPr="00226F9D">
        <w:rPr>
          <w:rFonts w:ascii="Times New Roman" w:hAnsi="Times New Roman" w:cs="Times New Roman"/>
          <w:lang w:val="sr-Cyrl-RS"/>
        </w:rPr>
        <w:t>ЛС</w:t>
      </w:r>
    </w:p>
    <w:p w14:paraId="5A069CE3" w14:textId="389C4E0B"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 xml:space="preserve">У претходном периоду систем стручног усавршавања добио је све неопходне контуре једног </w:t>
      </w:r>
      <w:r w:rsidR="000D6960" w:rsidRPr="00226F9D">
        <w:rPr>
          <w:rFonts w:ascii="Times New Roman" w:eastAsia="Times New Roman" w:hAnsi="Times New Roman" w:cs="Times New Roman"/>
          <w:kern w:val="0"/>
          <w:lang w:val="sr-Cyrl-RS"/>
          <w14:ligatures w14:val="none"/>
        </w:rPr>
        <w:t>свеобухватног</w:t>
      </w:r>
      <w:r w:rsidRPr="00226F9D">
        <w:rPr>
          <w:rFonts w:ascii="Times New Roman" w:eastAsia="Times New Roman" w:hAnsi="Times New Roman" w:cs="Times New Roman"/>
          <w:kern w:val="0"/>
          <w:lang w:val="sr-Cyrl-RS"/>
          <w14:ligatures w14:val="none"/>
        </w:rPr>
        <w:t xml:space="preserve"> система.  Систем стручног усавршавања запослених у органима јединица локалне самоуправе функционише као организован и континуиран процес унапређења знања и вештина, у складу са потребама радног места, приоритетима локалне управе и законским оквиром у којем међусобно сарађују сви чиниоци система: МДУЛС, Национална академија за јавну управу, Савет за стручно усавршавање запослених у ЈЛС, и др. У наредном периоду, потребно је наставити изградњу одрживог система за стручно усавршавање. Слично претходној, и овом мером се предвиђа низ активности усмерених на унапређење процеса стручног усавршавања запослених у органима ЈЛС, кроз различите видове подршке и обуке, развој пратећих материјала и јачање капацитета, као и измену правног оквира.</w:t>
      </w:r>
    </w:p>
    <w:p w14:paraId="48B25946" w14:textId="77777777" w:rsidR="00FA6E6E" w:rsidRPr="00226F9D" w:rsidRDefault="00FA6E6E" w:rsidP="00090884">
      <w:pPr>
        <w:spacing w:after="0" w:line="240" w:lineRule="auto"/>
        <w:jc w:val="both"/>
        <w:rPr>
          <w:rFonts w:ascii="Times New Roman" w:eastAsia="Times New Roman" w:hAnsi="Times New Roman" w:cs="Times New Roman"/>
          <w:kern w:val="0"/>
          <w:lang w:val="sr-Cyrl-RS"/>
          <w14:ligatures w14:val="none"/>
        </w:rPr>
      </w:pPr>
    </w:p>
    <w:p w14:paraId="4ABD88BB" w14:textId="1BE973DC"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Изабране локалне самоуправе ће на првом месту у оквиру пакета подршке за унапређење функције УЉР бити директно и интензивно подржане у процесу утврђивања потреба за стручним усавршавањем, припреми и спровођењу програма стручног усавршавања, планирању трошкова стручног усавршавања, као и у процесу вредновања и праћења ефеката обука. Поред ове директне подршке, предвиђена је и линеарна подршка за све ЈЛС у области стручног усавршавања, и то кроз регионалне обуке на тему вредновања програма стручног усавршавања и кроз интензивни програм електронске обуке на тему стручног усавршавања у ЈЛС. Све ове активности биће усмерене ка томе да се изграђују капацитети који ће омогућити да ЛС самостално и континуирано припремају и реализују програме стручног усавршавања који су у њиховој надлежности и да у пуној мери користе програме који се спроводе од стране првенствено НАЈУ и ресорних министарстава, али и СКГО и других институција и организација које су део система стручног усавршавања локалних службеника. На основу спроведене анализе учинка важећег правног оквира за стручно усавршавање, планира се утврђивање оптималних решења за унапређење и измене законских и подзаконских аката који регулишу област стручног усавршавања. Коначно, али не и последње, како би планиране активности биле успешно спроведене и постављене на одрживе основе, планирају се различите активности подршке које ће бити усмерене на унапређење институционалних капацитета на централном и локалном нивоу, који ће имати кључну улогу у остварењу већине циљева предвиђених овим програмом.</w:t>
      </w:r>
    </w:p>
    <w:p w14:paraId="643346B9" w14:textId="77777777" w:rsidR="00CF32C3" w:rsidRPr="00226F9D" w:rsidRDefault="00CF32C3" w:rsidP="006B59F4">
      <w:pPr>
        <w:spacing w:after="0" w:line="240" w:lineRule="auto"/>
        <w:jc w:val="both"/>
        <w:rPr>
          <w:rFonts w:ascii="Times New Roman" w:eastAsia="Times New Roman" w:hAnsi="Times New Roman" w:cs="Times New Roman"/>
          <w:kern w:val="0"/>
          <w:lang w:val="sr-Cyrl-R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7"/>
        <w:gridCol w:w="1372"/>
        <w:gridCol w:w="1146"/>
        <w:gridCol w:w="1147"/>
        <w:gridCol w:w="1146"/>
        <w:gridCol w:w="1147"/>
        <w:gridCol w:w="1147"/>
      </w:tblGrid>
      <w:tr w:rsidR="007A7449" w:rsidRPr="00226F9D" w14:paraId="4F9B66ED" w14:textId="77777777" w:rsidTr="1539D093">
        <w:trPr>
          <w:trHeight w:val="278"/>
          <w:tblHeader/>
        </w:trPr>
        <w:tc>
          <w:tcPr>
            <w:tcW w:w="2445" w:type="dxa"/>
            <w:shd w:val="clear" w:color="auto" w:fill="83CAEB" w:themeFill="accent1" w:themeFillTint="66"/>
            <w:vAlign w:val="center"/>
            <w:hideMark/>
          </w:tcPr>
          <w:p w14:paraId="1E2D0A6A"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Показатељ(и) на нивоу мере (показатељ резултата)</w:t>
            </w:r>
          </w:p>
        </w:tc>
        <w:tc>
          <w:tcPr>
            <w:tcW w:w="1333" w:type="dxa"/>
            <w:shd w:val="clear" w:color="auto" w:fill="83CAEB" w:themeFill="accent1" w:themeFillTint="66"/>
            <w:vAlign w:val="center"/>
            <w:hideMark/>
          </w:tcPr>
          <w:p w14:paraId="40F54ADE"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1114" w:type="dxa"/>
            <w:shd w:val="clear" w:color="auto" w:fill="83CAEB" w:themeFill="accent1" w:themeFillTint="66"/>
            <w:vAlign w:val="center"/>
            <w:hideMark/>
          </w:tcPr>
          <w:p w14:paraId="1D45EFA2"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1115" w:type="dxa"/>
            <w:shd w:val="clear" w:color="auto" w:fill="83CAEB" w:themeFill="accent1" w:themeFillTint="66"/>
            <w:vAlign w:val="center"/>
            <w:hideMark/>
          </w:tcPr>
          <w:p w14:paraId="1F06CA2F"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1114" w:type="dxa"/>
            <w:shd w:val="clear" w:color="auto" w:fill="83CAEB" w:themeFill="accent1" w:themeFillTint="66"/>
            <w:vAlign w:val="center"/>
            <w:hideMark/>
          </w:tcPr>
          <w:p w14:paraId="6287269E"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1115" w:type="dxa"/>
            <w:shd w:val="clear" w:color="auto" w:fill="83CAEB" w:themeFill="accent1" w:themeFillTint="66"/>
            <w:vAlign w:val="center"/>
          </w:tcPr>
          <w:p w14:paraId="75E1686B"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1115" w:type="dxa"/>
            <w:shd w:val="clear" w:color="auto" w:fill="83CAEB" w:themeFill="accent1" w:themeFillTint="66"/>
            <w:vAlign w:val="center"/>
          </w:tcPr>
          <w:p w14:paraId="636FB5B9"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7A7449" w:rsidRPr="00226F9D" w14:paraId="29C72346" w14:textId="77777777" w:rsidTr="1539D093">
        <w:trPr>
          <w:trHeight w:val="278"/>
        </w:trPr>
        <w:tc>
          <w:tcPr>
            <w:tcW w:w="2445" w:type="dxa"/>
            <w:vAlign w:val="center"/>
          </w:tcPr>
          <w:p w14:paraId="17C88172"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Капацитет ЈЛС за стручно усавршавање у локалној управи (просечна вредност индекса СКГО за УЉР у издвојеним областима: стручно усавршавање и оспособљавање запослених)</w:t>
            </w:r>
          </w:p>
        </w:tc>
        <w:tc>
          <w:tcPr>
            <w:tcW w:w="1333" w:type="dxa"/>
            <w:vAlign w:val="center"/>
          </w:tcPr>
          <w:p w14:paraId="38A27361" w14:textId="77777777" w:rsidR="007851DC" w:rsidRPr="00226F9D" w:rsidRDefault="007851DC"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p>
          <w:p w14:paraId="196FA714" w14:textId="77777777" w:rsidR="007851DC" w:rsidRPr="00226F9D" w:rsidRDefault="007851DC"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p>
          <w:p w14:paraId="7A2B6065" w14:textId="718D9D3B" w:rsidR="00CF32C3" w:rsidRPr="00226F9D" w:rsidRDefault="00D07C2E"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35,3%</w:t>
            </w:r>
            <w:r w:rsidR="00CF32C3" w:rsidRPr="00226F9D">
              <w:rPr>
                <w:rFonts w:ascii="Times New Roman" w:eastAsia="Times New Roman" w:hAnsi="Times New Roman" w:cs="Times New Roman"/>
                <w:color w:val="000000" w:themeColor="text1"/>
                <w:kern w:val="0"/>
                <w:sz w:val="20"/>
                <w:szCs w:val="20"/>
                <w:lang w:val="sr-Cyrl-RS"/>
                <w14:ligatures w14:val="none"/>
              </w:rPr>
              <w:t xml:space="preserve"> (2025)</w:t>
            </w:r>
          </w:p>
          <w:p w14:paraId="021AA2BF" w14:textId="04910793" w:rsidR="00CF32C3" w:rsidRPr="00226F9D" w:rsidRDefault="00CF32C3"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p>
        </w:tc>
        <w:tc>
          <w:tcPr>
            <w:tcW w:w="1114" w:type="dxa"/>
            <w:vAlign w:val="center"/>
          </w:tcPr>
          <w:p w14:paraId="52E232EE" w14:textId="44F3D4E4" w:rsidR="00CF32C3" w:rsidRPr="00226F9D" w:rsidRDefault="005A37E0"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w:t>
            </w:r>
          </w:p>
        </w:tc>
        <w:tc>
          <w:tcPr>
            <w:tcW w:w="1115" w:type="dxa"/>
            <w:vAlign w:val="center"/>
          </w:tcPr>
          <w:p w14:paraId="4AC8C17C" w14:textId="0757E287" w:rsidR="00CF32C3" w:rsidRPr="00226F9D" w:rsidRDefault="00450ED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sz w:val="20"/>
                <w:szCs w:val="20"/>
                <w:lang w:val="sr-Latn-RS"/>
              </w:rPr>
              <w:t>38,8</w:t>
            </w:r>
            <w:r w:rsidR="1F75A708" w:rsidRPr="00226F9D">
              <w:rPr>
                <w:rFonts w:ascii="Times New Roman" w:eastAsia="Times New Roman" w:hAnsi="Times New Roman" w:cs="Times New Roman"/>
                <w:color w:val="000000" w:themeColor="text1"/>
                <w:sz w:val="20"/>
                <w:szCs w:val="20"/>
                <w:lang w:val="sr-Cyrl-RS"/>
              </w:rPr>
              <w:t>%</w:t>
            </w:r>
          </w:p>
        </w:tc>
        <w:tc>
          <w:tcPr>
            <w:tcW w:w="1114" w:type="dxa"/>
            <w:vAlign w:val="center"/>
          </w:tcPr>
          <w:p w14:paraId="12B3878B" w14:textId="643392AC" w:rsidR="00CF32C3" w:rsidRPr="00226F9D" w:rsidRDefault="002949FC"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4</w:t>
            </w:r>
            <w:r w:rsidR="00450EDF" w:rsidRPr="00226F9D">
              <w:rPr>
                <w:rFonts w:ascii="Times New Roman" w:eastAsia="Times New Roman" w:hAnsi="Times New Roman" w:cs="Times New Roman"/>
                <w:color w:val="000000"/>
                <w:kern w:val="0"/>
                <w:sz w:val="20"/>
                <w:szCs w:val="20"/>
                <w:lang w:val="sr-Latn-RS"/>
                <w14:ligatures w14:val="none"/>
              </w:rPr>
              <w:t>0</w:t>
            </w:r>
            <w:r w:rsidRPr="00226F9D">
              <w:rPr>
                <w:rFonts w:ascii="Times New Roman" w:eastAsia="Times New Roman" w:hAnsi="Times New Roman" w:cs="Times New Roman"/>
                <w:color w:val="000000"/>
                <w:kern w:val="0"/>
                <w:sz w:val="20"/>
                <w:szCs w:val="20"/>
                <w:lang w:val="sr-Latn-RS"/>
                <w14:ligatures w14:val="none"/>
              </w:rPr>
              <w:t>,</w:t>
            </w:r>
            <w:r w:rsidR="00450EDF" w:rsidRPr="00226F9D">
              <w:rPr>
                <w:rFonts w:ascii="Times New Roman" w:eastAsia="Times New Roman" w:hAnsi="Times New Roman" w:cs="Times New Roman"/>
                <w:color w:val="000000"/>
                <w:kern w:val="0"/>
                <w:sz w:val="20"/>
                <w:szCs w:val="20"/>
                <w:lang w:val="sr-Latn-RS"/>
                <w14:ligatures w14:val="none"/>
              </w:rPr>
              <w:t>6</w:t>
            </w:r>
            <w:r w:rsidRPr="00226F9D">
              <w:rPr>
                <w:rFonts w:ascii="Times New Roman" w:eastAsia="Times New Roman" w:hAnsi="Times New Roman" w:cs="Times New Roman"/>
                <w:color w:val="000000"/>
                <w:kern w:val="0"/>
                <w:sz w:val="20"/>
                <w:szCs w:val="20"/>
                <w:lang w:val="sr-Latn-RS"/>
                <w14:ligatures w14:val="none"/>
              </w:rPr>
              <w:t>%</w:t>
            </w:r>
          </w:p>
        </w:tc>
        <w:tc>
          <w:tcPr>
            <w:tcW w:w="1115" w:type="dxa"/>
            <w:vAlign w:val="center"/>
          </w:tcPr>
          <w:p w14:paraId="0C639CA4" w14:textId="61748050" w:rsidR="00CF32C3" w:rsidRPr="00226F9D" w:rsidRDefault="005A37E0"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w:t>
            </w:r>
          </w:p>
        </w:tc>
        <w:tc>
          <w:tcPr>
            <w:tcW w:w="1115" w:type="dxa"/>
            <w:vAlign w:val="center"/>
          </w:tcPr>
          <w:p w14:paraId="647CFB72" w14:textId="39DE0C99" w:rsidR="00CF32C3" w:rsidRPr="00226F9D" w:rsidRDefault="00F03A96"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4</w:t>
            </w:r>
            <w:r w:rsidR="00BE6A17" w:rsidRPr="00226F9D">
              <w:rPr>
                <w:rFonts w:ascii="Times New Roman" w:eastAsia="Times New Roman" w:hAnsi="Times New Roman" w:cs="Times New Roman"/>
                <w:color w:val="000000"/>
                <w:kern w:val="0"/>
                <w:sz w:val="20"/>
                <w:szCs w:val="20"/>
                <w:lang w:val="sr-Latn-RS"/>
                <w14:ligatures w14:val="none"/>
              </w:rPr>
              <w:t>2,4</w:t>
            </w:r>
            <w:r w:rsidRPr="00226F9D">
              <w:rPr>
                <w:rFonts w:ascii="Times New Roman" w:eastAsia="Times New Roman" w:hAnsi="Times New Roman" w:cs="Times New Roman"/>
                <w:color w:val="000000"/>
                <w:kern w:val="0"/>
                <w:sz w:val="20"/>
                <w:szCs w:val="20"/>
                <w:lang w:val="sr-Latn-RS"/>
                <w14:ligatures w14:val="none"/>
              </w:rPr>
              <w:t>%</w:t>
            </w:r>
          </w:p>
        </w:tc>
      </w:tr>
      <w:tr w:rsidR="007A7449" w:rsidRPr="00226F9D" w14:paraId="79B4C7C1" w14:textId="77777777" w:rsidTr="1539D093">
        <w:trPr>
          <w:trHeight w:val="278"/>
        </w:trPr>
        <w:tc>
          <w:tcPr>
            <w:tcW w:w="2445" w:type="dxa"/>
            <w:vAlign w:val="center"/>
          </w:tcPr>
          <w:p w14:paraId="57A10C9F" w14:textId="7F11556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lastRenderedPageBreak/>
              <w:t>Број запослених у ЈЛС који су обучени за спровођење циклуса стручног усавршавања (кумулативно)</w:t>
            </w:r>
          </w:p>
        </w:tc>
        <w:tc>
          <w:tcPr>
            <w:tcW w:w="1333" w:type="dxa"/>
            <w:vAlign w:val="center"/>
          </w:tcPr>
          <w:p w14:paraId="586E0195" w14:textId="77777777" w:rsidR="00CF32C3" w:rsidRPr="00226F9D" w:rsidRDefault="00CF32C3"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85 (2025)</w:t>
            </w:r>
          </w:p>
        </w:tc>
        <w:tc>
          <w:tcPr>
            <w:tcW w:w="1114" w:type="dxa"/>
            <w:vAlign w:val="center"/>
          </w:tcPr>
          <w:p w14:paraId="0F3F9875"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p>
        </w:tc>
        <w:tc>
          <w:tcPr>
            <w:tcW w:w="1115" w:type="dxa"/>
            <w:vAlign w:val="center"/>
          </w:tcPr>
          <w:p w14:paraId="15C8867D"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p>
        </w:tc>
        <w:tc>
          <w:tcPr>
            <w:tcW w:w="1114" w:type="dxa"/>
            <w:vAlign w:val="center"/>
          </w:tcPr>
          <w:p w14:paraId="48DC35E9"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305</w:t>
            </w:r>
          </w:p>
        </w:tc>
        <w:tc>
          <w:tcPr>
            <w:tcW w:w="1115" w:type="dxa"/>
            <w:vAlign w:val="center"/>
          </w:tcPr>
          <w:p w14:paraId="430D16F1"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p>
        </w:tc>
        <w:tc>
          <w:tcPr>
            <w:tcW w:w="1115" w:type="dxa"/>
            <w:vAlign w:val="center"/>
          </w:tcPr>
          <w:p w14:paraId="6835F995"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405</w:t>
            </w:r>
          </w:p>
        </w:tc>
      </w:tr>
    </w:tbl>
    <w:p w14:paraId="27603645" w14:textId="77777777" w:rsidR="00CF32C3" w:rsidRPr="00226F9D" w:rsidRDefault="00CF32C3" w:rsidP="006B59F4">
      <w:pPr>
        <w:spacing w:after="0" w:line="240" w:lineRule="auto"/>
        <w:jc w:val="both"/>
        <w:rPr>
          <w:rFonts w:ascii="Times New Roman" w:hAnsi="Times New Roman" w:cs="Times New Roman"/>
        </w:rPr>
      </w:pPr>
    </w:p>
    <w:p w14:paraId="1BCEDDE0" w14:textId="45B681A7" w:rsidR="00CF32C3" w:rsidRPr="00226F9D" w:rsidRDefault="00CF32C3" w:rsidP="00D970AC">
      <w:pPr>
        <w:pStyle w:val="Heading4"/>
        <w:rPr>
          <w:rFonts w:ascii="Times New Roman" w:hAnsi="Times New Roman" w:cs="Times New Roman"/>
          <w:lang w:val="sr-Cyrl-RS"/>
        </w:rPr>
      </w:pPr>
      <w:bookmarkStart w:id="36" w:name="_Toc77068883"/>
      <w:r w:rsidRPr="00226F9D">
        <w:rPr>
          <w:rFonts w:ascii="Times New Roman" w:hAnsi="Times New Roman" w:cs="Times New Roman"/>
        </w:rPr>
        <w:t xml:space="preserve">Мера 3.3: </w:t>
      </w:r>
      <w:bookmarkEnd w:id="36"/>
      <w:r w:rsidRPr="00226F9D">
        <w:rPr>
          <w:rFonts w:ascii="Times New Roman" w:hAnsi="Times New Roman" w:cs="Times New Roman"/>
        </w:rPr>
        <w:t>Унапређење правног оквира за уређивање система плата запослених у ЈЛС</w:t>
      </w:r>
    </w:p>
    <w:p w14:paraId="4D4397DD" w14:textId="4AECFA8B" w:rsidR="00CF32C3" w:rsidRPr="00226F9D" w:rsidRDefault="00CF32C3"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Изазов на који ће морати да се да одговор у наредном периоду јесте и систем плата и надокнада који и даље недостаје. На првом месту мора се креирати нови правни оквир за плате. Даље, да би систем плата био функционалан и компактан и да би у потпуности заживео, потребно је усвојити и у потпуности имплементирати категорије као што су</w:t>
      </w:r>
      <w:r w:rsidRPr="00226F9D">
        <w:rPr>
          <w:rFonts w:ascii="Times New Roman" w:eastAsia="Times New Roman" w:hAnsi="Times New Roman" w:cs="Times New Roman"/>
          <w:kern w:val="0"/>
          <w:lang w:val="sr-Cyrl-RS"/>
          <w14:ligatures w14:val="none"/>
        </w:rPr>
        <w:t xml:space="preserve"> </w:t>
      </w:r>
      <w:r w:rsidRPr="00226F9D">
        <w:rPr>
          <w:rFonts w:ascii="Times New Roman" w:eastAsia="Times New Roman" w:hAnsi="Times New Roman" w:cs="Times New Roman"/>
          <w:color w:val="000000" w:themeColor="text1"/>
          <w:kern w:val="0"/>
          <w:lang w:val="sr-Cyrl-RS" w:eastAsia="sr-Latn-RS"/>
          <w14:ligatures w14:val="none"/>
        </w:rPr>
        <w:t xml:space="preserve">каталог радних места, односно звања, положаја и функција у локалној самоуправи, платне групе и платни разреди, систем напредовања итд. </w:t>
      </w:r>
    </w:p>
    <w:p w14:paraId="662EE971" w14:textId="77777777" w:rsidR="004624FD" w:rsidRPr="00226F9D" w:rsidRDefault="004624FD"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p>
    <w:p w14:paraId="3525D5AC" w14:textId="100E4853" w:rsidR="00CF32C3" w:rsidRPr="00226F9D" w:rsidRDefault="00CF32C3"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Након успостављања новог правног оквира за плате, планирана је подршка ЈЛС за имплементацију новог система. Планирана подршка ка ЈЛС биће линеарна, кроз саветодавну подршку и кроз израду модела аката, као и кроз спровођење обука за примену систем</w:t>
      </w:r>
      <w:r w:rsidR="0042336C" w:rsidRPr="00226F9D">
        <w:rPr>
          <w:rFonts w:ascii="Times New Roman" w:eastAsia="Times New Roman" w:hAnsi="Times New Roman" w:cs="Times New Roman"/>
          <w:color w:val="000000" w:themeColor="text1"/>
          <w:kern w:val="0"/>
          <w:lang w:val="sr-Cyrl-RS" w:eastAsia="sr-Latn-RS"/>
          <w14:ligatures w14:val="none"/>
        </w:rPr>
        <w:t>а</w:t>
      </w:r>
      <w:r w:rsidRPr="00226F9D">
        <w:rPr>
          <w:rFonts w:ascii="Times New Roman" w:eastAsia="Times New Roman" w:hAnsi="Times New Roman" w:cs="Times New Roman"/>
          <w:color w:val="000000" w:themeColor="text1"/>
          <w:kern w:val="0"/>
          <w:lang w:val="sr-Cyrl-RS" w:eastAsia="sr-Latn-RS"/>
          <w14:ligatures w14:val="none"/>
        </w:rPr>
        <w:t xml:space="preserve">, а са одређеним </w:t>
      </w:r>
      <w:r w:rsidR="0063763F" w:rsidRPr="00226F9D">
        <w:rPr>
          <w:rFonts w:ascii="Times New Roman" w:eastAsia="Times New Roman" w:hAnsi="Times New Roman" w:cs="Times New Roman"/>
          <w:color w:val="000000" w:themeColor="text1"/>
          <w:kern w:val="0"/>
          <w:lang w:val="sr-Cyrl-RS" w:eastAsia="sr-Latn-RS"/>
          <w14:ligatures w14:val="none"/>
        </w:rPr>
        <w:t>бројем</w:t>
      </w:r>
      <w:r w:rsidRPr="00226F9D">
        <w:rPr>
          <w:rFonts w:ascii="Times New Roman" w:eastAsia="Times New Roman" w:hAnsi="Times New Roman" w:cs="Times New Roman"/>
          <w:color w:val="000000" w:themeColor="text1"/>
          <w:kern w:val="0"/>
          <w:lang w:val="sr-Cyrl-RS" w:eastAsia="sr-Latn-RS"/>
          <w14:ligatures w14:val="none"/>
        </w:rPr>
        <w:t xml:space="preserve"> ЈЛС које буду кориснице пакета подршке у области УЉР ће се радити и кроз директну подршку. Циљ ове подршке је ефикаснија примена новог система како би се обезбедила уједначена пракса, транспарентан, правичан и одржив систем плата и награђивања у ЈЛС. </w:t>
      </w:r>
    </w:p>
    <w:p w14:paraId="47A00148" w14:textId="77777777" w:rsidR="00CF32C3" w:rsidRPr="00226F9D" w:rsidRDefault="00CF32C3" w:rsidP="006B59F4">
      <w:pPr>
        <w:spacing w:after="0" w:line="240" w:lineRule="auto"/>
        <w:jc w:val="both"/>
        <w:rPr>
          <w:rFonts w:ascii="Times New Roman" w:eastAsia="Times New Roman" w:hAnsi="Times New Roman" w:cs="Times New Roman"/>
          <w:color w:val="000000" w:themeColor="text1"/>
          <w:kern w:val="0"/>
          <w:lang w:val="sr-Cyrl-RS"/>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7"/>
        <w:gridCol w:w="1563"/>
        <w:gridCol w:w="955"/>
        <w:gridCol w:w="1147"/>
        <w:gridCol w:w="1146"/>
        <w:gridCol w:w="1147"/>
        <w:gridCol w:w="1147"/>
      </w:tblGrid>
      <w:tr w:rsidR="0046481F" w:rsidRPr="00226F9D" w14:paraId="0060152D" w14:textId="77777777" w:rsidTr="00CA471C">
        <w:trPr>
          <w:trHeight w:val="278"/>
          <w:tblHeader/>
          <w:jc w:val="center"/>
        </w:trPr>
        <w:tc>
          <w:tcPr>
            <w:tcW w:w="2517" w:type="dxa"/>
            <w:shd w:val="clear" w:color="auto" w:fill="83CAEB" w:themeFill="accent1" w:themeFillTint="66"/>
            <w:vAlign w:val="center"/>
            <w:hideMark/>
          </w:tcPr>
          <w:p w14:paraId="605E021E"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Latn-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Показатељ(и) на нивоу мере (показатељ резултата)</w:t>
            </w:r>
          </w:p>
        </w:tc>
        <w:tc>
          <w:tcPr>
            <w:tcW w:w="1563" w:type="dxa"/>
            <w:shd w:val="clear" w:color="auto" w:fill="83CAEB" w:themeFill="accent1" w:themeFillTint="66"/>
            <w:vAlign w:val="center"/>
            <w:hideMark/>
          </w:tcPr>
          <w:p w14:paraId="1184265F"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955" w:type="dxa"/>
            <w:shd w:val="clear" w:color="auto" w:fill="83CAEB" w:themeFill="accent1" w:themeFillTint="66"/>
            <w:vAlign w:val="center"/>
            <w:hideMark/>
          </w:tcPr>
          <w:p w14:paraId="15C0CC74"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1147" w:type="dxa"/>
            <w:shd w:val="clear" w:color="auto" w:fill="83CAEB" w:themeFill="accent1" w:themeFillTint="66"/>
            <w:vAlign w:val="center"/>
            <w:hideMark/>
          </w:tcPr>
          <w:p w14:paraId="20702BA0"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1146" w:type="dxa"/>
            <w:shd w:val="clear" w:color="auto" w:fill="83CAEB" w:themeFill="accent1" w:themeFillTint="66"/>
            <w:vAlign w:val="center"/>
            <w:hideMark/>
          </w:tcPr>
          <w:p w14:paraId="0A46566C"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1147" w:type="dxa"/>
            <w:shd w:val="clear" w:color="auto" w:fill="83CAEB" w:themeFill="accent1" w:themeFillTint="66"/>
            <w:vAlign w:val="center"/>
          </w:tcPr>
          <w:p w14:paraId="476E10AD"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1147" w:type="dxa"/>
            <w:shd w:val="clear" w:color="auto" w:fill="83CAEB" w:themeFill="accent1" w:themeFillTint="66"/>
            <w:vAlign w:val="center"/>
          </w:tcPr>
          <w:p w14:paraId="64829376"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7A7449" w:rsidRPr="00226F9D" w14:paraId="150DDDF0" w14:textId="77777777" w:rsidTr="00CA471C">
        <w:trPr>
          <w:trHeight w:val="278"/>
          <w:jc w:val="center"/>
        </w:trPr>
        <w:tc>
          <w:tcPr>
            <w:tcW w:w="2517" w:type="dxa"/>
            <w:vAlign w:val="center"/>
          </w:tcPr>
          <w:p w14:paraId="2B632958" w14:textId="4AD636C4"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Број запослених у ЈЛС који су обучени за примену новог правног оквира за плате и друга примања запослених у ЈЛС</w:t>
            </w:r>
            <w:r w:rsidR="000B6345" w:rsidRPr="00226F9D">
              <w:rPr>
                <w:rFonts w:ascii="Times New Roman" w:eastAsia="Times New Roman" w:hAnsi="Times New Roman" w:cs="Times New Roman"/>
                <w:color w:val="000000"/>
                <w:kern w:val="0"/>
                <w:sz w:val="20"/>
                <w:szCs w:val="20"/>
                <w:lang w:val="sr-Cyrl-RS"/>
                <w14:ligatures w14:val="none"/>
              </w:rPr>
              <w:t xml:space="preserve"> </w:t>
            </w:r>
            <w:r w:rsidR="00420244" w:rsidRPr="00226F9D">
              <w:rPr>
                <w:rFonts w:ascii="Times New Roman" w:eastAsia="Times New Roman" w:hAnsi="Times New Roman" w:cs="Times New Roman"/>
                <w:color w:val="000000"/>
                <w:kern w:val="0"/>
                <w:sz w:val="20"/>
                <w:szCs w:val="20"/>
                <w:lang w:val="sr-Cyrl-RS"/>
                <w14:ligatures w14:val="none"/>
              </w:rPr>
              <w:t>(кумулативно)</w:t>
            </w:r>
          </w:p>
        </w:tc>
        <w:tc>
          <w:tcPr>
            <w:tcW w:w="1563" w:type="dxa"/>
            <w:vAlign w:val="center"/>
          </w:tcPr>
          <w:p w14:paraId="1635EEA9" w14:textId="16F92CD7" w:rsidR="00CF32C3" w:rsidRPr="00226F9D" w:rsidRDefault="00420244"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 xml:space="preserve"> </w:t>
            </w:r>
            <w:r w:rsidR="00CF32C3" w:rsidRPr="00226F9D">
              <w:rPr>
                <w:rFonts w:ascii="Times New Roman" w:eastAsia="Times New Roman" w:hAnsi="Times New Roman" w:cs="Times New Roman"/>
                <w:color w:val="000000" w:themeColor="text1"/>
                <w:kern w:val="0"/>
                <w:sz w:val="20"/>
                <w:szCs w:val="20"/>
                <w:lang w:val="sr-Cyrl-RS"/>
                <w14:ligatures w14:val="none"/>
              </w:rPr>
              <w:t>0 (2025)</w:t>
            </w:r>
          </w:p>
        </w:tc>
        <w:tc>
          <w:tcPr>
            <w:tcW w:w="955" w:type="dxa"/>
            <w:vAlign w:val="center"/>
          </w:tcPr>
          <w:p w14:paraId="2E118D22" w14:textId="0D259C0A" w:rsidR="00CF32C3" w:rsidRPr="00226F9D" w:rsidRDefault="009C0038"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14:ligatures w14:val="none"/>
              </w:rPr>
              <w:t>0</w:t>
            </w:r>
          </w:p>
        </w:tc>
        <w:tc>
          <w:tcPr>
            <w:tcW w:w="1147" w:type="dxa"/>
            <w:vAlign w:val="center"/>
          </w:tcPr>
          <w:p w14:paraId="72600C9E" w14:textId="492D3331" w:rsidR="00CF32C3" w:rsidRPr="00226F9D" w:rsidRDefault="00C451C7"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Cyrl-RS"/>
                <w14:ligatures w14:val="none"/>
              </w:rPr>
              <w:t>150</w:t>
            </w:r>
          </w:p>
        </w:tc>
        <w:tc>
          <w:tcPr>
            <w:tcW w:w="1146" w:type="dxa"/>
            <w:vAlign w:val="center"/>
          </w:tcPr>
          <w:p w14:paraId="69D0FD3C" w14:textId="50FC3C37" w:rsidR="00CF32C3" w:rsidRPr="00226F9D" w:rsidRDefault="00C451C7"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w:t>
            </w:r>
            <w:r w:rsidR="00CF32C3" w:rsidRPr="00226F9D">
              <w:rPr>
                <w:rFonts w:ascii="Times New Roman" w:eastAsia="Times New Roman" w:hAnsi="Times New Roman" w:cs="Times New Roman"/>
                <w:color w:val="000000"/>
                <w:kern w:val="0"/>
                <w:sz w:val="20"/>
                <w:szCs w:val="20"/>
                <w:lang w:val="sr-Cyrl-RS"/>
                <w14:ligatures w14:val="none"/>
              </w:rPr>
              <w:t>50</w:t>
            </w:r>
          </w:p>
        </w:tc>
        <w:tc>
          <w:tcPr>
            <w:tcW w:w="1147" w:type="dxa"/>
            <w:vAlign w:val="center"/>
          </w:tcPr>
          <w:p w14:paraId="118FE01C" w14:textId="2654786D" w:rsidR="00CF32C3" w:rsidRPr="00226F9D" w:rsidRDefault="00CE0CBB"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14:ligatures w14:val="none"/>
              </w:rPr>
              <w:t>2</w:t>
            </w:r>
            <w:r w:rsidR="00C451C7" w:rsidRPr="00226F9D">
              <w:rPr>
                <w:rFonts w:ascii="Times New Roman" w:eastAsia="Times New Roman" w:hAnsi="Times New Roman" w:cs="Times New Roman"/>
                <w:color w:val="000000"/>
                <w:kern w:val="0"/>
                <w:sz w:val="20"/>
                <w:szCs w:val="20"/>
                <w:lang w:val="sr-Cyrl-RS"/>
                <w14:ligatures w14:val="none"/>
              </w:rPr>
              <w:t>5</w:t>
            </w:r>
            <w:r w:rsidRPr="00226F9D">
              <w:rPr>
                <w:rFonts w:ascii="Times New Roman" w:eastAsia="Times New Roman" w:hAnsi="Times New Roman" w:cs="Times New Roman"/>
                <w:color w:val="000000"/>
                <w:kern w:val="0"/>
                <w:sz w:val="20"/>
                <w:szCs w:val="20"/>
                <w14:ligatures w14:val="none"/>
              </w:rPr>
              <w:t>0</w:t>
            </w:r>
          </w:p>
        </w:tc>
        <w:tc>
          <w:tcPr>
            <w:tcW w:w="1147" w:type="dxa"/>
            <w:vAlign w:val="center"/>
          </w:tcPr>
          <w:p w14:paraId="57954892"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250</w:t>
            </w:r>
          </w:p>
        </w:tc>
      </w:tr>
    </w:tbl>
    <w:p w14:paraId="732C08E6" w14:textId="77777777" w:rsidR="00CA471C" w:rsidRPr="00226F9D" w:rsidRDefault="00CA471C" w:rsidP="00CA471C">
      <w:pPr>
        <w:spacing w:after="0" w:line="240" w:lineRule="auto"/>
        <w:jc w:val="both"/>
        <w:rPr>
          <w:rFonts w:ascii="Times New Roman" w:eastAsia="Times New Roman" w:hAnsi="Times New Roman" w:cs="Times New Roman"/>
          <w:color w:val="000000" w:themeColor="text1"/>
          <w:kern w:val="0"/>
          <w:lang w:val="sr-Cyrl-RS" w:eastAsia="sr-Latn-RS"/>
          <w14:ligatures w14:val="none"/>
        </w:rPr>
      </w:pPr>
      <w:bookmarkStart w:id="37" w:name="_Toc77068884"/>
    </w:p>
    <w:p w14:paraId="4A78C49D" w14:textId="07A3A401" w:rsidR="00CF32C3" w:rsidRPr="00226F9D" w:rsidRDefault="00CF32C3" w:rsidP="005D3818">
      <w:pPr>
        <w:pStyle w:val="Heading4"/>
        <w:rPr>
          <w:rFonts w:ascii="Times New Roman" w:hAnsi="Times New Roman" w:cs="Times New Roman"/>
          <w:lang w:val="sr-Cyrl-RS"/>
        </w:rPr>
      </w:pPr>
      <w:r w:rsidRPr="00226F9D">
        <w:rPr>
          <w:rFonts w:ascii="Times New Roman" w:hAnsi="Times New Roman" w:cs="Times New Roman"/>
          <w:lang w:val="sr-Cyrl-RS"/>
        </w:rPr>
        <w:t>Мера</w:t>
      </w:r>
      <w:r w:rsidRPr="00226F9D">
        <w:rPr>
          <w:rFonts w:ascii="Times New Roman" w:hAnsi="Times New Roman" w:cs="Times New Roman"/>
          <w:lang w:val="sr-Latn-RS"/>
        </w:rPr>
        <w:t xml:space="preserve"> 3.4: </w:t>
      </w:r>
      <w:bookmarkEnd w:id="37"/>
      <w:r w:rsidRPr="00226F9D">
        <w:rPr>
          <w:rFonts w:ascii="Times New Roman" w:hAnsi="Times New Roman" w:cs="Times New Roman"/>
          <w:lang w:val="sr-Cyrl-RS"/>
        </w:rPr>
        <w:t>Унапређење</w:t>
      </w:r>
      <w:r w:rsidRPr="00226F9D">
        <w:rPr>
          <w:rFonts w:ascii="Times New Roman" w:hAnsi="Times New Roman" w:cs="Times New Roman"/>
          <w:lang w:val="sr-Latn-RS"/>
        </w:rPr>
        <w:t xml:space="preserve"> </w:t>
      </w:r>
      <w:r w:rsidRPr="00226F9D">
        <w:rPr>
          <w:rFonts w:ascii="Times New Roman" w:hAnsi="Times New Roman" w:cs="Times New Roman"/>
          <w:lang w:val="sr-Cyrl-RS"/>
        </w:rPr>
        <w:t>система</w:t>
      </w:r>
      <w:r w:rsidRPr="00226F9D">
        <w:rPr>
          <w:rFonts w:ascii="Times New Roman" w:hAnsi="Times New Roman" w:cs="Times New Roman"/>
          <w:lang w:val="sr-Latn-RS"/>
        </w:rPr>
        <w:t xml:space="preserve"> </w:t>
      </w:r>
      <w:r w:rsidRPr="00226F9D">
        <w:rPr>
          <w:rFonts w:ascii="Times New Roman" w:hAnsi="Times New Roman" w:cs="Times New Roman"/>
          <w:lang w:val="sr-Cyrl-RS"/>
        </w:rPr>
        <w:t>планирања</w:t>
      </w:r>
      <w:r w:rsidRPr="00226F9D">
        <w:rPr>
          <w:rFonts w:ascii="Times New Roman" w:hAnsi="Times New Roman" w:cs="Times New Roman"/>
          <w:lang w:val="sr-Latn-RS"/>
        </w:rPr>
        <w:t xml:space="preserve"> </w:t>
      </w:r>
      <w:r w:rsidRPr="00226F9D">
        <w:rPr>
          <w:rFonts w:ascii="Times New Roman" w:hAnsi="Times New Roman" w:cs="Times New Roman"/>
          <w:lang w:val="sr-Cyrl-RS"/>
        </w:rPr>
        <w:t>развоја</w:t>
      </w:r>
      <w:r w:rsidRPr="00226F9D">
        <w:rPr>
          <w:rFonts w:ascii="Times New Roman" w:hAnsi="Times New Roman" w:cs="Times New Roman"/>
          <w:lang w:val="sr-Latn-RS"/>
        </w:rPr>
        <w:t xml:space="preserve"> </w:t>
      </w:r>
      <w:r w:rsidRPr="00226F9D">
        <w:rPr>
          <w:rFonts w:ascii="Times New Roman" w:hAnsi="Times New Roman" w:cs="Times New Roman"/>
          <w:lang w:val="sr-Cyrl-RS"/>
        </w:rPr>
        <w:t>локалне</w:t>
      </w:r>
      <w:r w:rsidRPr="00226F9D">
        <w:rPr>
          <w:rFonts w:ascii="Times New Roman" w:hAnsi="Times New Roman" w:cs="Times New Roman"/>
          <w:lang w:val="sr-Latn-RS"/>
        </w:rPr>
        <w:t xml:space="preserve"> </w:t>
      </w:r>
      <w:r w:rsidRPr="00226F9D">
        <w:rPr>
          <w:rFonts w:ascii="Times New Roman" w:hAnsi="Times New Roman" w:cs="Times New Roman"/>
          <w:lang w:val="sr-Cyrl-RS"/>
        </w:rPr>
        <w:t>самоуправе</w:t>
      </w:r>
    </w:p>
    <w:p w14:paraId="161B890A" w14:textId="4ADC420E"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color w:val="000000" w:themeColor="text1"/>
          <w:kern w:val="0"/>
          <w:lang w:val="sr-Cyrl-RS"/>
          <w14:ligatures w14:val="none"/>
        </w:rPr>
        <w:t xml:space="preserve">Имајући у виду да је у периоду од 2021. до 2025. </w:t>
      </w:r>
      <w:r w:rsidR="0063763F" w:rsidRPr="00226F9D">
        <w:rPr>
          <w:rFonts w:ascii="Times New Roman" w:eastAsia="Arial" w:hAnsi="Times New Roman" w:cs="Times New Roman"/>
          <w:color w:val="000000" w:themeColor="text1"/>
          <w:kern w:val="0"/>
          <w:lang w:val="sr-Cyrl-RS"/>
          <w14:ligatures w14:val="none"/>
        </w:rPr>
        <w:t xml:space="preserve">године </w:t>
      </w:r>
      <w:r w:rsidRPr="00226F9D">
        <w:rPr>
          <w:rFonts w:ascii="Times New Roman" w:eastAsia="Arial" w:hAnsi="Times New Roman" w:cs="Times New Roman"/>
          <w:color w:val="000000" w:themeColor="text1"/>
          <w:kern w:val="0"/>
          <w:lang w:val="sr-Cyrl-RS"/>
          <w14:ligatures w14:val="none"/>
        </w:rPr>
        <w:t>већина ЈЛС (8</w:t>
      </w:r>
      <w:r w:rsidR="005C0695" w:rsidRPr="00226F9D">
        <w:rPr>
          <w:rFonts w:ascii="Times New Roman" w:eastAsia="Arial" w:hAnsi="Times New Roman" w:cs="Times New Roman"/>
          <w:color w:val="000000" w:themeColor="text1"/>
          <w:kern w:val="0"/>
          <w:lang w:val="sr-Cyrl-RS"/>
          <w14:ligatures w14:val="none"/>
        </w:rPr>
        <w:t>3</w:t>
      </w:r>
      <w:r w:rsidR="009610A5" w:rsidRPr="00226F9D">
        <w:rPr>
          <w:rFonts w:ascii="Times New Roman" w:eastAsia="Arial" w:hAnsi="Times New Roman" w:cs="Times New Roman"/>
          <w:color w:val="000000" w:themeColor="text1"/>
          <w:kern w:val="0"/>
          <w:lang w:val="sr-Cyrl-RS"/>
          <w14:ligatures w14:val="none"/>
        </w:rPr>
        <w:t>,4</w:t>
      </w:r>
      <w:r w:rsidRPr="00226F9D">
        <w:rPr>
          <w:rFonts w:ascii="Times New Roman" w:eastAsia="Arial" w:hAnsi="Times New Roman" w:cs="Times New Roman"/>
          <w:color w:val="000000" w:themeColor="text1"/>
          <w:kern w:val="0"/>
          <w:lang w:val="sr-Cyrl-RS"/>
          <w14:ligatures w14:val="none"/>
        </w:rPr>
        <w:t xml:space="preserve">%) усвојила планове развоја који су хијерархијски највиши и обавезан плански документ за сваку ЈЛС, у новом програмском периоду нагласак је на процесу њиховог спровођења, праћења и извештавања од стране ЈЛС. </w:t>
      </w:r>
      <w:r w:rsidRPr="00226F9D">
        <w:rPr>
          <w:rFonts w:ascii="Times New Roman" w:eastAsia="Arial" w:hAnsi="Times New Roman" w:cs="Times New Roman"/>
          <w:kern w:val="0"/>
          <w:lang w:val="sr-Cyrl-RS"/>
          <w14:ligatures w14:val="none"/>
        </w:rPr>
        <w:t>У том смислу, посебно важан аспект представља израда извештаја о учинцима спровођења планова развоја чије је усвајање од стране локалних скупштина законска обавеза за све ЈЛС након три године од усвајања плана развоја. Такође, потребно је наставити рад на интеграцији Циљева одрживог развоја кроз локалне планске документе, и у раду са градовима и општинама на извештајним процесима потенцирати јасније исказивање доприноса спровођењу УН Агенде 2030. Оваква усмерења већ су инкорпорирана кроз допунске инструктивне материјале за ЈЛС (израђене у координацији РСЈП и СКГО током 2025. године), те је у новом програмском периоду планирана изградња капацитета кроз модалитете стручног усавршавања и саветодавну подршку за све градове и општине. За консолидацију развојног планирања и корпуса планских докумената на локалном нивоу, од значаја ће бити даља координација (посредством РСЈП и уз подршку СКГО) са ресорним министарствима у настојању да се секторски прописи ускладе са Законом о планском систему на бази налаза претходно израђене анализе.</w:t>
      </w:r>
    </w:p>
    <w:p w14:paraId="30E599D0" w14:textId="77777777" w:rsidR="003D6DF8" w:rsidRPr="00226F9D" w:rsidRDefault="003D6DF8" w:rsidP="00090884">
      <w:pPr>
        <w:spacing w:after="0" w:line="240" w:lineRule="auto"/>
        <w:jc w:val="both"/>
        <w:rPr>
          <w:rFonts w:ascii="Times New Roman" w:eastAsia="Arial" w:hAnsi="Times New Roman" w:cs="Times New Roman"/>
          <w:kern w:val="0"/>
          <w:lang w:val="sr-Cyrl-RS"/>
          <w14:ligatures w14:val="none"/>
        </w:rPr>
      </w:pPr>
    </w:p>
    <w:p w14:paraId="3964FB7B" w14:textId="195DBD94" w:rsidR="00CF32C3" w:rsidRPr="00226F9D" w:rsidRDefault="00CF32C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Успех у реализацији ове мере треба посматрати и у ширем контексту спровођења комплементарних мера унутар овог програма, пре свега активности предвиђених у домену средњорочног планирања и за унапређење управљања локалним капиталним инвестицијама (веза са мером 2.2), а такође и кроз синерг</w:t>
      </w:r>
      <w:r w:rsidR="00B72B84" w:rsidRPr="00226F9D">
        <w:rPr>
          <w:rFonts w:ascii="Times New Roman" w:eastAsia="Arial" w:hAnsi="Times New Roman" w:cs="Times New Roman"/>
          <w:kern w:val="0"/>
          <w:lang w:val="sr-Cyrl-RS"/>
          <w14:ligatures w14:val="none"/>
        </w:rPr>
        <w:t>ијско</w:t>
      </w:r>
      <w:r w:rsidRPr="00226F9D">
        <w:rPr>
          <w:rFonts w:ascii="Times New Roman" w:eastAsia="Arial" w:hAnsi="Times New Roman" w:cs="Times New Roman"/>
          <w:kern w:val="0"/>
          <w:lang w:val="sr-Cyrl-RS"/>
          <w14:ligatures w14:val="none"/>
        </w:rPr>
        <w:t xml:space="preserve"> деловање на плану припрема за ефективно спровођење кохезионе политике ЕУ и интегрисани територијални развој (у складу са наредном мером 3.5).        </w:t>
      </w:r>
    </w:p>
    <w:p w14:paraId="72107605" w14:textId="77777777" w:rsidR="00CF32C3" w:rsidRPr="00226F9D" w:rsidRDefault="00CF32C3" w:rsidP="006B59F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7"/>
        <w:gridCol w:w="1372"/>
        <w:gridCol w:w="1146"/>
        <w:gridCol w:w="1147"/>
        <w:gridCol w:w="1146"/>
        <w:gridCol w:w="1147"/>
        <w:gridCol w:w="1147"/>
      </w:tblGrid>
      <w:tr w:rsidR="0046481F" w:rsidRPr="00226F9D" w14:paraId="2301D941" w14:textId="77777777" w:rsidTr="00E132D4">
        <w:trPr>
          <w:trHeight w:val="278"/>
          <w:tblHeader/>
          <w:jc w:val="center"/>
        </w:trPr>
        <w:tc>
          <w:tcPr>
            <w:tcW w:w="2445" w:type="dxa"/>
            <w:shd w:val="clear" w:color="auto" w:fill="83CAEB" w:themeFill="accent1" w:themeFillTint="66"/>
            <w:vAlign w:val="center"/>
            <w:hideMark/>
          </w:tcPr>
          <w:p w14:paraId="7C8CA3EF"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Показатељ(и) на нивоу мере (показатељ резултата)</w:t>
            </w:r>
          </w:p>
        </w:tc>
        <w:tc>
          <w:tcPr>
            <w:tcW w:w="1333" w:type="dxa"/>
            <w:shd w:val="clear" w:color="auto" w:fill="83CAEB" w:themeFill="accent1" w:themeFillTint="66"/>
            <w:vAlign w:val="center"/>
            <w:hideMark/>
          </w:tcPr>
          <w:p w14:paraId="3A7A0D6C"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1114" w:type="dxa"/>
            <w:shd w:val="clear" w:color="auto" w:fill="83CAEB" w:themeFill="accent1" w:themeFillTint="66"/>
            <w:vAlign w:val="center"/>
            <w:hideMark/>
          </w:tcPr>
          <w:p w14:paraId="7761BCFA"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1115" w:type="dxa"/>
            <w:shd w:val="clear" w:color="auto" w:fill="83CAEB" w:themeFill="accent1" w:themeFillTint="66"/>
            <w:vAlign w:val="center"/>
            <w:hideMark/>
          </w:tcPr>
          <w:p w14:paraId="7B9BAD5D"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1114" w:type="dxa"/>
            <w:shd w:val="clear" w:color="auto" w:fill="83CAEB" w:themeFill="accent1" w:themeFillTint="66"/>
            <w:vAlign w:val="center"/>
            <w:hideMark/>
          </w:tcPr>
          <w:p w14:paraId="1E56D461"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1115" w:type="dxa"/>
            <w:shd w:val="clear" w:color="auto" w:fill="83CAEB" w:themeFill="accent1" w:themeFillTint="66"/>
            <w:vAlign w:val="center"/>
          </w:tcPr>
          <w:p w14:paraId="041E5001"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1115" w:type="dxa"/>
            <w:shd w:val="clear" w:color="auto" w:fill="83CAEB" w:themeFill="accent1" w:themeFillTint="66"/>
            <w:vAlign w:val="center"/>
          </w:tcPr>
          <w:p w14:paraId="19EFE3C6" w14:textId="77777777" w:rsidR="00CF32C3" w:rsidRPr="00226F9D" w:rsidRDefault="00CF32C3" w:rsidP="00E132D4">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7A7449" w:rsidRPr="00226F9D" w14:paraId="3F0C83A6" w14:textId="77777777" w:rsidTr="00E132D4">
        <w:trPr>
          <w:trHeight w:val="278"/>
          <w:jc w:val="center"/>
        </w:trPr>
        <w:tc>
          <w:tcPr>
            <w:tcW w:w="2445" w:type="dxa"/>
            <w:vAlign w:val="center"/>
          </w:tcPr>
          <w:p w14:paraId="18F8608B" w14:textId="3920CA67" w:rsidR="00762864"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Број ЈЛС чија је скупштина усвојила извештај о учинцима спровођења плана развоја (кумулатив)</w:t>
            </w:r>
          </w:p>
        </w:tc>
        <w:tc>
          <w:tcPr>
            <w:tcW w:w="1333" w:type="dxa"/>
            <w:vAlign w:val="center"/>
          </w:tcPr>
          <w:p w14:paraId="0B9C6461" w14:textId="1DB12C0E" w:rsidR="00CF32C3" w:rsidRPr="00226F9D" w:rsidRDefault="00762864" w:rsidP="00090884">
            <w:pPr>
              <w:spacing w:after="0" w:line="240" w:lineRule="auto"/>
              <w:jc w:val="both"/>
              <w:rPr>
                <w:rFonts w:ascii="Times New Roman" w:eastAsia="Times New Roman" w:hAnsi="Times New Roman" w:cs="Times New Roman"/>
                <w:kern w:val="0"/>
                <w:sz w:val="20"/>
                <w:szCs w:val="20"/>
                <w:lang w:val="sr-Latn-RS"/>
                <w14:ligatures w14:val="none"/>
              </w:rPr>
            </w:pPr>
            <w:r w:rsidRPr="00226F9D">
              <w:rPr>
                <w:rFonts w:ascii="Times New Roman" w:eastAsia="Times New Roman" w:hAnsi="Times New Roman" w:cs="Times New Roman"/>
                <w:kern w:val="0"/>
                <w:sz w:val="20"/>
                <w:szCs w:val="20"/>
                <w:lang w:val="sr-Cyrl-RS"/>
                <w14:ligatures w14:val="none"/>
              </w:rPr>
              <w:t>3</w:t>
            </w:r>
            <w:r w:rsidR="0091612C" w:rsidRPr="00226F9D">
              <w:rPr>
                <w:rFonts w:ascii="Times New Roman" w:eastAsia="Times New Roman" w:hAnsi="Times New Roman" w:cs="Times New Roman"/>
                <w:kern w:val="0"/>
                <w:sz w:val="20"/>
                <w:szCs w:val="20"/>
                <w:lang w:val="sr-Latn-RS"/>
                <w14:ligatures w14:val="none"/>
              </w:rPr>
              <w:t xml:space="preserve"> (2025)</w:t>
            </w:r>
          </w:p>
        </w:tc>
        <w:tc>
          <w:tcPr>
            <w:tcW w:w="1114" w:type="dxa"/>
            <w:vAlign w:val="center"/>
          </w:tcPr>
          <w:p w14:paraId="09C39357" w14:textId="793CB861"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10</w:t>
            </w:r>
          </w:p>
        </w:tc>
        <w:tc>
          <w:tcPr>
            <w:tcW w:w="1115" w:type="dxa"/>
            <w:vAlign w:val="center"/>
          </w:tcPr>
          <w:p w14:paraId="2EF829A1" w14:textId="1ED1812E"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20</w:t>
            </w:r>
          </w:p>
        </w:tc>
        <w:tc>
          <w:tcPr>
            <w:tcW w:w="1114" w:type="dxa"/>
            <w:vAlign w:val="center"/>
          </w:tcPr>
          <w:p w14:paraId="0161C1BC" w14:textId="79B5F64A"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30</w:t>
            </w:r>
          </w:p>
        </w:tc>
        <w:tc>
          <w:tcPr>
            <w:tcW w:w="1115" w:type="dxa"/>
            <w:vAlign w:val="center"/>
          </w:tcPr>
          <w:p w14:paraId="1E51FE46" w14:textId="195AB3E5"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40</w:t>
            </w:r>
          </w:p>
        </w:tc>
        <w:tc>
          <w:tcPr>
            <w:tcW w:w="1115" w:type="dxa"/>
            <w:vAlign w:val="center"/>
          </w:tcPr>
          <w:p w14:paraId="4A948704" w14:textId="66B86EE5" w:rsidR="00CF32C3" w:rsidRPr="00226F9D" w:rsidRDefault="00762864"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50</w:t>
            </w:r>
          </w:p>
        </w:tc>
      </w:tr>
    </w:tbl>
    <w:p w14:paraId="098777F2" w14:textId="77777777" w:rsidR="00D07C2E" w:rsidRPr="00226F9D" w:rsidRDefault="00D07C2E" w:rsidP="005D3818">
      <w:pPr>
        <w:pStyle w:val="Heading4"/>
        <w:rPr>
          <w:rFonts w:ascii="Times New Roman" w:hAnsi="Times New Roman" w:cs="Times New Roman"/>
          <w:lang w:val="sr-Cyrl-RS"/>
        </w:rPr>
      </w:pPr>
      <w:bookmarkStart w:id="38" w:name="_Toc77068885"/>
    </w:p>
    <w:p w14:paraId="32C9E5EA" w14:textId="2B3774C5" w:rsidR="00CF32C3" w:rsidRPr="00226F9D" w:rsidRDefault="00CF32C3" w:rsidP="005D3818">
      <w:pPr>
        <w:pStyle w:val="Heading4"/>
        <w:rPr>
          <w:rFonts w:ascii="Times New Roman" w:hAnsi="Times New Roman" w:cs="Times New Roman"/>
          <w:lang w:val="sr-Cyrl-RS"/>
        </w:rPr>
      </w:pPr>
      <w:r w:rsidRPr="00226F9D">
        <w:rPr>
          <w:rFonts w:ascii="Times New Roman" w:hAnsi="Times New Roman" w:cs="Times New Roman"/>
          <w:lang w:val="sr-Cyrl-RS"/>
        </w:rPr>
        <w:t xml:space="preserve">Мера 3.5: </w:t>
      </w:r>
      <w:bookmarkEnd w:id="38"/>
      <w:r w:rsidRPr="00226F9D">
        <w:rPr>
          <w:rFonts w:ascii="Times New Roman" w:hAnsi="Times New Roman" w:cs="Times New Roman"/>
          <w:lang w:val="sr-Cyrl-RS"/>
        </w:rPr>
        <w:t>Унапређење капацитета локалне самоуправе за примену правног оквира ЕУ и кохезионе политике ЕУ</w:t>
      </w:r>
    </w:p>
    <w:p w14:paraId="06860FF0" w14:textId="77777777" w:rsidR="003F4ED1"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У оквиру процеса европских интеграција, подизање капацитета запослених у локалној самоуправи за примену мера кохезионе политике и правног оквира ЕУ представља кључни корак ка успешном укључивању у европски развојни модел. С обзиром на комплексност европских политика и процедура, неопходно је континуирано јачати стручне и институционалне капацитете како би локални ниво управе био спреман да одговори на захтеве који произилазе из приступних процеса и будућег чланства у ЕУ.</w:t>
      </w:r>
    </w:p>
    <w:p w14:paraId="756094E1" w14:textId="77777777" w:rsidR="003D6DF8" w:rsidRPr="00226F9D" w:rsidRDefault="003D6DF8" w:rsidP="00090884">
      <w:pPr>
        <w:spacing w:after="0" w:line="240" w:lineRule="auto"/>
        <w:jc w:val="both"/>
        <w:rPr>
          <w:rFonts w:ascii="Times New Roman" w:eastAsia="Times New Roman" w:hAnsi="Times New Roman" w:cs="Times New Roman"/>
          <w:kern w:val="0"/>
          <w:lang w:val="sr-Cyrl-RS"/>
          <w14:ligatures w14:val="none"/>
        </w:rPr>
      </w:pPr>
    </w:p>
    <w:p w14:paraId="7DDADAA2" w14:textId="77777777" w:rsidR="00CF32C3" w:rsidRPr="00226F9D" w:rsidRDefault="76913A3D"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Посебан значај има унапређење разумевања локалних актера о начину функционисања ЕУ фондова, правилима коришћења средстава, као и принципа одрживог и равномерног регионалног развоја. Уз подршку која ће се реализовати кроз имплементацију интегралних пројеката заснованих на територијалним стратегијама, у фокусу ове мере јесте осигуравање комплементарне и интензивне изградње капацитета кроз низ обука на тему ЕУ интеграција и кохезионих политика. Кроз системску подршку, обуке и стварање услова за практичну примену знања, локалне самоуправе постају способније да препознају развојне потенцијале својих заједница, припремају квалитетне пројекте и на ефикасан начин користе доступне изворе финансирања. Кроз имплементацију интегралних пројеката, локалне самоуправе ће стећи неопходна знања и искуства у процесу планирања, припреме и извођења пројеката у складу са принципима и правилима ЕУ. Имајући у виду значај принципа партнерства који је уграђен у темеље кохезионе политике ЕУ</w:t>
      </w:r>
      <w:r w:rsidR="00CF32C3" w:rsidRPr="00226F9D">
        <w:rPr>
          <w:rFonts w:ascii="Times New Roman" w:eastAsia="Times New Roman" w:hAnsi="Times New Roman" w:cs="Times New Roman"/>
          <w:kern w:val="0"/>
          <w:vertAlign w:val="superscript"/>
          <w:lang w:val="sr-Cyrl-RS"/>
          <w14:ligatures w14:val="none"/>
        </w:rPr>
        <w:footnoteReference w:id="69"/>
      </w:r>
      <w:r w:rsidRPr="00226F9D">
        <w:rPr>
          <w:rFonts w:ascii="Times New Roman" w:eastAsia="Times New Roman" w:hAnsi="Times New Roman" w:cs="Times New Roman"/>
          <w:kern w:val="0"/>
          <w:lang w:val="sr-Cyrl-RS"/>
          <w14:ligatures w14:val="none"/>
        </w:rPr>
        <w:t xml:space="preserve">, припреме и спровођења њених развојних програма, интензивираће се и циљане обуке за домаће потенцијалне партнере и кориснике кохезионе политике, што укључује широк обухват актера и на регионалном и локалном нивоу, привредних субјеката и социјалних партнера, организација цивилног друштва итд.  </w:t>
      </w:r>
    </w:p>
    <w:p w14:paraId="78BB7D6F" w14:textId="77777777" w:rsidR="0044759D" w:rsidRPr="00226F9D" w:rsidRDefault="0044759D" w:rsidP="00090884">
      <w:pPr>
        <w:spacing w:after="0" w:line="240" w:lineRule="auto"/>
        <w:jc w:val="both"/>
        <w:rPr>
          <w:rFonts w:ascii="Times New Roman" w:eastAsia="Times New Roman" w:hAnsi="Times New Roman" w:cs="Times New Roman"/>
          <w:kern w:val="0"/>
          <w:lang w:val="sr-Cyrl-RS"/>
          <w14:ligatures w14:val="none"/>
        </w:rPr>
      </w:pPr>
    </w:p>
    <w:p w14:paraId="50027E99" w14:textId="3A256F98"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heme="minorEastAsia" w:hAnsi="Times New Roman" w:cs="Times New Roman"/>
          <w:kern w:val="0"/>
          <w:lang w:val="sr-Cyrl-RS"/>
          <w14:ligatures w14:val="none"/>
        </w:rPr>
        <w:t xml:space="preserve">Такође, у циљу јачања улоге локалног нивоа у имплементацији европских стандарда, ефикаснијег коришћења доступних ЕУ фондова и подстицања активног учешћа локалних заједница у планирању и реализацији развојних пројеката, планиран је сет активности усмерених ка подршци процесу европских интеграција. У оквиру ових активности, предвиђено је унапређење капацитета 50 јединица локалне самоуправе за управљање ЕУ пројектима и разумевање кохезионе политике Европске уније, као и за спровођење локалних секторских политика које су од значаја за процес приступања ЕУ, укључујући области као што су заштита животне средине, социјална инклузија, дигитална трансформација, одрживи развој, </w:t>
      </w:r>
      <w:r w:rsidRPr="00226F9D">
        <w:rPr>
          <w:rFonts w:ascii="Times New Roman" w:eastAsiaTheme="minorEastAsia" w:hAnsi="Times New Roman" w:cs="Times New Roman"/>
          <w:kern w:val="0"/>
          <w:lang w:val="sr-Cyrl-RS"/>
          <w14:ligatures w14:val="none"/>
        </w:rPr>
        <w:lastRenderedPageBreak/>
        <w:t xml:space="preserve">итд. Ове </w:t>
      </w:r>
      <w:r w:rsidR="006D2011" w:rsidRPr="00226F9D">
        <w:rPr>
          <w:rFonts w:ascii="Times New Roman" w:eastAsiaTheme="minorEastAsia" w:hAnsi="Times New Roman" w:cs="Times New Roman"/>
          <w:kern w:val="0"/>
          <w:lang w:val="sr-Cyrl-RS"/>
          <w14:ligatures w14:val="none"/>
        </w:rPr>
        <w:t>активности</w:t>
      </w:r>
      <w:r w:rsidRPr="00226F9D">
        <w:rPr>
          <w:rFonts w:ascii="Times New Roman" w:eastAsiaTheme="minorEastAsia" w:hAnsi="Times New Roman" w:cs="Times New Roman"/>
          <w:kern w:val="0"/>
          <w:lang w:val="sr-Cyrl-RS"/>
          <w14:ligatures w14:val="none"/>
        </w:rPr>
        <w:t xml:space="preserve"> имају за циљ да ојачају институционалне и кадровске капацитете локалних самоуправа, како би оне постале активни и компетентни партнери у процесу европских интеграција. </w:t>
      </w:r>
      <w:r w:rsidRPr="00226F9D">
        <w:rPr>
          <w:rFonts w:ascii="Times New Roman" w:eastAsia="Times New Roman" w:hAnsi="Times New Roman" w:cs="Times New Roman"/>
          <w:kern w:val="0"/>
          <w:lang w:val="sr-Cyrl-RS"/>
          <w14:ligatures w14:val="none"/>
        </w:rPr>
        <w:t>Јачање локалних административних капацитета кроз призму надоградње и оптимизације  веза заснованих на принципима међуопштинске сарадње, директно доприноси бољој апсорпцији фондова, усклађивању са европским стандардима и стварању предуслова за одржив локални развој. Дугорочно, овакав приступ омогућава локалним заједницама да постану равноправни актери у европском простору, са већом способношћу да обликују своје развојне политике у складу са принципима кохезије и територијалног развоја.</w:t>
      </w:r>
    </w:p>
    <w:p w14:paraId="52FF1C58" w14:textId="77777777" w:rsidR="0044759D" w:rsidRPr="00226F9D" w:rsidRDefault="0044759D" w:rsidP="00090884">
      <w:pPr>
        <w:spacing w:after="0" w:line="240" w:lineRule="auto"/>
        <w:jc w:val="both"/>
        <w:rPr>
          <w:rFonts w:ascii="Times New Roman" w:eastAsia="Times New Roman" w:hAnsi="Times New Roman" w:cs="Times New Roman"/>
          <w:kern w:val="0"/>
          <w:lang w:val="sr-Cyrl-RS"/>
          <w14:ligatures w14:val="none"/>
        </w:rPr>
      </w:pPr>
    </w:p>
    <w:p w14:paraId="0ABF9644" w14:textId="77777777" w:rsidR="00CF32C3" w:rsidRPr="00226F9D" w:rsidRDefault="00CF32C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 xml:space="preserve">Зарад осигуравања што боље компатибилности домаћих и европских планских и буџетских оквира у спровођењу структурних и кохезионих интервенција, планирано је у оквиру ове мере и благовремено предузимање активности пилотирања и развијање свеобухватније подршке и усмерења у раду са ЈЛС и РРА управо на моделу територијалних стратегија.  </w:t>
      </w:r>
    </w:p>
    <w:p w14:paraId="72F46AA5" w14:textId="77777777" w:rsidR="00CF32C3" w:rsidRPr="00226F9D" w:rsidRDefault="00CF32C3" w:rsidP="006B59F4">
      <w:pPr>
        <w:spacing w:after="0" w:line="240" w:lineRule="auto"/>
        <w:jc w:val="both"/>
        <w:rPr>
          <w:rFonts w:ascii="Times New Roman" w:eastAsia="Times New Roman" w:hAnsi="Times New Roman" w:cs="Times New Roman"/>
          <w:b/>
          <w:color w:val="000000"/>
          <w:kern w:val="0"/>
          <w:lang w:val="sr-Cyrl-RS" w:eastAsia="sr-Latn-R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55"/>
        <w:gridCol w:w="1279"/>
        <w:gridCol w:w="1157"/>
        <w:gridCol w:w="1158"/>
        <w:gridCol w:w="1157"/>
        <w:gridCol w:w="1158"/>
        <w:gridCol w:w="1158"/>
      </w:tblGrid>
      <w:tr w:rsidR="00CF32C3" w:rsidRPr="00226F9D" w14:paraId="5CA782D0" w14:textId="77777777" w:rsidTr="005B51B1">
        <w:trPr>
          <w:trHeight w:val="278"/>
          <w:tblHeader/>
        </w:trPr>
        <w:tc>
          <w:tcPr>
            <w:tcW w:w="2547" w:type="dxa"/>
            <w:shd w:val="clear" w:color="auto" w:fill="83CAEB" w:themeFill="accent1" w:themeFillTint="66"/>
            <w:vAlign w:val="center"/>
            <w:hideMark/>
          </w:tcPr>
          <w:p w14:paraId="25AC21C5" w14:textId="77777777" w:rsidR="00CF32C3" w:rsidRPr="00226F9D" w:rsidRDefault="00CF32C3" w:rsidP="005B51B1">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Показатељ(и) на нивоу мере (показатељ резултата)</w:t>
            </w:r>
          </w:p>
        </w:tc>
        <w:tc>
          <w:tcPr>
            <w:tcW w:w="1276" w:type="dxa"/>
            <w:shd w:val="clear" w:color="auto" w:fill="83CAEB" w:themeFill="accent1" w:themeFillTint="66"/>
            <w:vAlign w:val="center"/>
            <w:hideMark/>
          </w:tcPr>
          <w:p w14:paraId="579856B6" w14:textId="77777777" w:rsidR="00CF32C3" w:rsidRPr="00226F9D" w:rsidRDefault="00CF32C3" w:rsidP="005B51B1">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1154" w:type="dxa"/>
            <w:shd w:val="clear" w:color="auto" w:fill="83CAEB" w:themeFill="accent1" w:themeFillTint="66"/>
            <w:vAlign w:val="center"/>
            <w:hideMark/>
          </w:tcPr>
          <w:p w14:paraId="0A435D49" w14:textId="77777777" w:rsidR="00CF32C3" w:rsidRPr="00226F9D" w:rsidRDefault="00CF32C3" w:rsidP="005B51B1">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1155" w:type="dxa"/>
            <w:shd w:val="clear" w:color="auto" w:fill="83CAEB" w:themeFill="accent1" w:themeFillTint="66"/>
            <w:vAlign w:val="center"/>
            <w:hideMark/>
          </w:tcPr>
          <w:p w14:paraId="555E72D7" w14:textId="77777777" w:rsidR="00CF32C3" w:rsidRPr="00226F9D" w:rsidRDefault="00CF32C3" w:rsidP="005B51B1">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1154" w:type="dxa"/>
            <w:shd w:val="clear" w:color="auto" w:fill="83CAEB" w:themeFill="accent1" w:themeFillTint="66"/>
            <w:vAlign w:val="center"/>
            <w:hideMark/>
          </w:tcPr>
          <w:p w14:paraId="23687A39" w14:textId="77777777" w:rsidR="00CF32C3" w:rsidRPr="00226F9D" w:rsidRDefault="00CF32C3" w:rsidP="005B51B1">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1155" w:type="dxa"/>
            <w:shd w:val="clear" w:color="auto" w:fill="83CAEB" w:themeFill="accent1" w:themeFillTint="66"/>
            <w:vAlign w:val="center"/>
          </w:tcPr>
          <w:p w14:paraId="7A25A78F" w14:textId="77777777" w:rsidR="00CF32C3" w:rsidRPr="00226F9D" w:rsidRDefault="00CF32C3" w:rsidP="005B51B1">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1155" w:type="dxa"/>
            <w:shd w:val="clear" w:color="auto" w:fill="83CAEB" w:themeFill="accent1" w:themeFillTint="66"/>
            <w:vAlign w:val="center"/>
          </w:tcPr>
          <w:p w14:paraId="119A0466" w14:textId="77777777" w:rsidR="00CF32C3" w:rsidRPr="00226F9D" w:rsidRDefault="00CF32C3" w:rsidP="005B51B1">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CF32C3" w:rsidRPr="00226F9D" w14:paraId="4A1E50A0" w14:textId="77777777" w:rsidTr="005B51B1">
        <w:trPr>
          <w:trHeight w:val="278"/>
        </w:trPr>
        <w:tc>
          <w:tcPr>
            <w:tcW w:w="2547" w:type="dxa"/>
            <w:vAlign w:val="center"/>
          </w:tcPr>
          <w:p w14:paraId="21524386" w14:textId="77777777" w:rsidR="00CF32C3" w:rsidRPr="00226F9D" w:rsidRDefault="00CF32C3"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 xml:space="preserve">% </w:t>
            </w:r>
            <w:r w:rsidRPr="00226F9D">
              <w:rPr>
                <w:rFonts w:ascii="Times New Roman" w:eastAsia="Times New Roman" w:hAnsi="Times New Roman" w:cs="Times New Roman"/>
                <w:color w:val="000000"/>
                <w:kern w:val="0"/>
                <w:sz w:val="20"/>
                <w:szCs w:val="20"/>
                <w:lang w:val="sr-Latn-RS"/>
                <w14:ligatures w14:val="none"/>
              </w:rPr>
              <w:t>J</w:t>
            </w:r>
            <w:r w:rsidRPr="00226F9D">
              <w:rPr>
                <w:rFonts w:ascii="Times New Roman" w:eastAsia="Times New Roman" w:hAnsi="Times New Roman" w:cs="Times New Roman"/>
                <w:color w:val="000000"/>
                <w:kern w:val="0"/>
                <w:sz w:val="20"/>
                <w:szCs w:val="20"/>
                <w:lang w:val="sr-Cyrl-RS"/>
                <w14:ligatures w14:val="none"/>
              </w:rPr>
              <w:t>ЛС које су подржане у изградњи капацитета за примену кохезионе политике ЕУ</w:t>
            </w:r>
          </w:p>
        </w:tc>
        <w:tc>
          <w:tcPr>
            <w:tcW w:w="1276" w:type="dxa"/>
            <w:vAlign w:val="center"/>
          </w:tcPr>
          <w:p w14:paraId="6BF53CF9" w14:textId="47549D28" w:rsidR="00CF32C3" w:rsidRPr="00226F9D" w:rsidRDefault="00CF32C3" w:rsidP="00090884">
            <w:pPr>
              <w:spacing w:after="0" w:line="240" w:lineRule="auto"/>
              <w:jc w:val="both"/>
              <w:rPr>
                <w:rFonts w:ascii="Times New Roman" w:eastAsia="Times New Roman" w:hAnsi="Times New Roman" w:cs="Times New Roman"/>
                <w:color w:val="000000" w:themeColor="text1"/>
                <w:kern w:val="0"/>
                <w:sz w:val="20"/>
                <w:szCs w:val="20"/>
                <w:lang w:val="sr-Latn-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w:t>
            </w:r>
            <w:r w:rsidR="00A91FB6" w:rsidRPr="00226F9D">
              <w:rPr>
                <w:rFonts w:ascii="Times New Roman" w:eastAsia="Times New Roman" w:hAnsi="Times New Roman" w:cs="Times New Roman"/>
                <w:color w:val="000000" w:themeColor="text1"/>
                <w:kern w:val="0"/>
                <w:sz w:val="20"/>
                <w:szCs w:val="20"/>
                <w:lang w:val="sr-Latn-RS"/>
                <w14:ligatures w14:val="none"/>
              </w:rPr>
              <w:t xml:space="preserve"> (2025)</w:t>
            </w:r>
          </w:p>
        </w:tc>
        <w:tc>
          <w:tcPr>
            <w:tcW w:w="1154" w:type="dxa"/>
            <w:vAlign w:val="center"/>
          </w:tcPr>
          <w:p w14:paraId="3A311FBB" w14:textId="7692FED5" w:rsidR="00CF32C3" w:rsidRPr="00226F9D" w:rsidRDefault="00D446CD"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30%</w:t>
            </w:r>
          </w:p>
        </w:tc>
        <w:tc>
          <w:tcPr>
            <w:tcW w:w="1155" w:type="dxa"/>
            <w:vAlign w:val="center"/>
          </w:tcPr>
          <w:p w14:paraId="099B2BC5" w14:textId="0047194F" w:rsidR="00CF32C3" w:rsidRPr="00226F9D" w:rsidRDefault="00D446CD"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50%</w:t>
            </w:r>
          </w:p>
        </w:tc>
        <w:tc>
          <w:tcPr>
            <w:tcW w:w="1154" w:type="dxa"/>
            <w:vAlign w:val="center"/>
          </w:tcPr>
          <w:p w14:paraId="20EAC816" w14:textId="77777777"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65%</w:t>
            </w:r>
          </w:p>
        </w:tc>
        <w:tc>
          <w:tcPr>
            <w:tcW w:w="1155" w:type="dxa"/>
            <w:vAlign w:val="center"/>
          </w:tcPr>
          <w:p w14:paraId="6A0AAB36" w14:textId="42A29CC7" w:rsidR="00CF32C3" w:rsidRPr="00226F9D" w:rsidRDefault="00D446CD"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67%</w:t>
            </w:r>
          </w:p>
        </w:tc>
        <w:tc>
          <w:tcPr>
            <w:tcW w:w="1155" w:type="dxa"/>
            <w:vAlign w:val="center"/>
          </w:tcPr>
          <w:p w14:paraId="365731CD" w14:textId="6545EF29" w:rsidR="00CF32C3" w:rsidRPr="00226F9D" w:rsidRDefault="00CF32C3"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70%</w:t>
            </w:r>
          </w:p>
        </w:tc>
      </w:tr>
    </w:tbl>
    <w:p w14:paraId="45F83B73" w14:textId="77777777" w:rsidR="00CF32C3" w:rsidRPr="00226F9D" w:rsidRDefault="00CF32C3" w:rsidP="00090884">
      <w:pPr>
        <w:spacing w:after="0" w:line="240" w:lineRule="auto"/>
        <w:jc w:val="both"/>
        <w:rPr>
          <w:rFonts w:ascii="Times New Roman" w:eastAsia="Times New Roman" w:hAnsi="Times New Roman" w:cs="Times New Roman"/>
          <w:color w:val="000000" w:themeColor="text1"/>
          <w:kern w:val="0"/>
          <w:lang w:val="sr-Cyrl-RS" w:eastAsia="de-CH"/>
          <w14:ligatures w14:val="none"/>
        </w:rPr>
      </w:pPr>
    </w:p>
    <w:p w14:paraId="5F0D7DA5" w14:textId="5998EBFF" w:rsidR="00CF32C3" w:rsidRPr="00226F9D" w:rsidRDefault="00CF32C3" w:rsidP="00090884">
      <w:pPr>
        <w:spacing w:after="0" w:line="240" w:lineRule="auto"/>
        <w:jc w:val="both"/>
        <w:rPr>
          <w:rFonts w:ascii="Times New Roman" w:eastAsia="Times New Roman" w:hAnsi="Times New Roman" w:cs="Times New Roman"/>
          <w:b/>
          <w:iCs/>
          <w:color w:val="000000" w:themeColor="text1"/>
          <w:kern w:val="0"/>
          <w:lang w:val="sr-Cyrl-RS" w:eastAsia="en-GB"/>
          <w14:ligatures w14:val="none"/>
        </w:rPr>
      </w:pPr>
      <w:r w:rsidRPr="00226F9D">
        <w:rPr>
          <w:rFonts w:ascii="Times New Roman" w:eastAsia="Times New Roman" w:hAnsi="Times New Roman" w:cs="Times New Roman"/>
          <w:b/>
          <w:iCs/>
          <w:color w:val="000000" w:themeColor="text1"/>
          <w:kern w:val="0"/>
          <w:lang w:val="sr-Cyrl-RS" w:eastAsia="en-GB"/>
          <w14:ligatures w14:val="none"/>
        </w:rPr>
        <w:t>Анализа ефеката мера</w:t>
      </w:r>
      <w:r w:rsidR="006E246A" w:rsidRPr="00226F9D">
        <w:rPr>
          <w:rFonts w:ascii="Times New Roman" w:eastAsia="Times New Roman" w:hAnsi="Times New Roman" w:cs="Times New Roman"/>
          <w:b/>
          <w:iCs/>
          <w:color w:val="000000" w:themeColor="text1"/>
          <w:kern w:val="0"/>
          <w:lang w:val="sr-Cyrl-RS" w:eastAsia="en-GB"/>
          <w14:ligatures w14:val="none"/>
        </w:rPr>
        <w:t xml:space="preserve"> </w:t>
      </w:r>
    </w:p>
    <w:p w14:paraId="310A6698" w14:textId="6322E4F2" w:rsidR="009D1A93" w:rsidRPr="00226F9D" w:rsidRDefault="009D1A93" w:rsidP="006B59F4">
      <w:pPr>
        <w:spacing w:after="0" w:line="240" w:lineRule="auto"/>
        <w:jc w:val="both"/>
        <w:rPr>
          <w:rFonts w:ascii="Times New Roman" w:eastAsia="Times New Roman" w:hAnsi="Times New Roman" w:cs="Times New Roman"/>
          <w:i/>
          <w:color w:val="000000" w:themeColor="text1"/>
          <w:kern w:val="0"/>
          <w:lang w:val="sr-Cyrl-RS" w:eastAsia="de-CH"/>
          <w14:ligatures w14:val="none"/>
        </w:rPr>
      </w:pPr>
    </w:p>
    <w:p w14:paraId="76411908" w14:textId="57C05932" w:rsidR="009D1A93" w:rsidRPr="00226F9D" w:rsidRDefault="009D1A9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У погледу економских </w:t>
      </w:r>
      <w:r w:rsidR="00A22D83" w:rsidRPr="00226F9D">
        <w:rPr>
          <w:rFonts w:ascii="Times New Roman" w:eastAsia="Arial" w:hAnsi="Times New Roman" w:cs="Times New Roman"/>
          <w:kern w:val="0"/>
          <w:lang w:val="sr-Cyrl-RS"/>
          <w14:ligatures w14:val="none"/>
        </w:rPr>
        <w:t xml:space="preserve">и друштвених </w:t>
      </w:r>
      <w:r w:rsidRPr="00226F9D">
        <w:rPr>
          <w:rFonts w:ascii="Times New Roman" w:eastAsia="Arial" w:hAnsi="Times New Roman" w:cs="Times New Roman"/>
          <w:kern w:val="0"/>
          <w:lang w:val="sr-Cyrl-RS"/>
          <w14:ligatures w14:val="none"/>
        </w:rPr>
        <w:t xml:space="preserve">ефеката, утицај мера </w:t>
      </w:r>
      <w:r w:rsidR="006E246A" w:rsidRPr="00226F9D">
        <w:rPr>
          <w:rFonts w:ascii="Times New Roman" w:eastAsia="Arial" w:hAnsi="Times New Roman" w:cs="Times New Roman"/>
          <w:kern w:val="0"/>
          <w:lang w:val="sr-Cyrl-RS"/>
          <w14:ligatures w14:val="none"/>
        </w:rPr>
        <w:t xml:space="preserve">у обухвату ПЦ 3 </w:t>
      </w:r>
      <w:r w:rsidRPr="00226F9D">
        <w:rPr>
          <w:rFonts w:ascii="Times New Roman" w:eastAsia="Arial" w:hAnsi="Times New Roman" w:cs="Times New Roman"/>
          <w:kern w:val="0"/>
          <w:lang w:val="sr-Cyrl-RS"/>
          <w14:ligatures w14:val="none"/>
        </w:rPr>
        <w:t xml:space="preserve">се може оценити као </w:t>
      </w:r>
      <w:r w:rsidR="00915FAB" w:rsidRPr="00226F9D">
        <w:rPr>
          <w:rFonts w:ascii="Times New Roman" w:eastAsia="Arial" w:hAnsi="Times New Roman" w:cs="Times New Roman"/>
          <w:kern w:val="0"/>
          <w:lang w:val="sr-Cyrl-RS"/>
          <w14:ligatures w14:val="none"/>
        </w:rPr>
        <w:t>претежно индиректан</w:t>
      </w:r>
      <w:r w:rsidRPr="00226F9D">
        <w:rPr>
          <w:rFonts w:ascii="Times New Roman" w:eastAsia="Arial" w:hAnsi="Times New Roman" w:cs="Times New Roman"/>
          <w:kern w:val="0"/>
          <w:lang w:val="sr-Cyrl-RS"/>
          <w14:ligatures w14:val="none"/>
        </w:rPr>
        <w:t xml:space="preserve"> и позитиван, посебно у делу усмереном на </w:t>
      </w:r>
      <w:r w:rsidR="001F6753" w:rsidRPr="00226F9D">
        <w:rPr>
          <w:rFonts w:ascii="Times New Roman" w:eastAsia="Arial" w:hAnsi="Times New Roman" w:cs="Times New Roman"/>
          <w:kern w:val="0"/>
          <w:lang w:val="sr-Cyrl-RS"/>
          <w14:ligatures w14:val="none"/>
        </w:rPr>
        <w:t xml:space="preserve">успешније </w:t>
      </w:r>
      <w:r w:rsidR="00B4661F" w:rsidRPr="00226F9D">
        <w:rPr>
          <w:rFonts w:ascii="Times New Roman" w:eastAsia="Arial" w:hAnsi="Times New Roman" w:cs="Times New Roman"/>
          <w:kern w:val="0"/>
          <w:lang w:val="sr-Cyrl-RS"/>
          <w14:ligatures w14:val="none"/>
        </w:rPr>
        <w:t xml:space="preserve">спровођење </w:t>
      </w:r>
      <w:r w:rsidR="003523B2" w:rsidRPr="00226F9D">
        <w:rPr>
          <w:rFonts w:ascii="Times New Roman" w:eastAsia="Arial" w:hAnsi="Times New Roman" w:cs="Times New Roman"/>
          <w:kern w:val="0"/>
          <w:lang w:val="sr-Cyrl-RS"/>
          <w14:ligatures w14:val="none"/>
        </w:rPr>
        <w:t xml:space="preserve">развојних политика и </w:t>
      </w:r>
      <w:r w:rsidRPr="00226F9D">
        <w:rPr>
          <w:rFonts w:ascii="Times New Roman" w:eastAsia="Arial" w:hAnsi="Times New Roman" w:cs="Times New Roman"/>
          <w:kern w:val="0"/>
          <w:lang w:val="sr-Cyrl-RS"/>
          <w14:ligatures w14:val="none"/>
        </w:rPr>
        <w:t>ефективнију апсорпцију средстава из ЕУ фондова, али и, шире гледано, подстицања интегрисаног територијалног развоја</w:t>
      </w:r>
      <w:r w:rsidR="00F016E5" w:rsidRPr="00226F9D">
        <w:rPr>
          <w:rFonts w:ascii="Times New Roman" w:eastAsia="Arial" w:hAnsi="Times New Roman" w:cs="Times New Roman"/>
          <w:kern w:val="0"/>
          <w:lang w:val="sr-Cyrl-RS"/>
          <w14:ligatures w14:val="none"/>
        </w:rPr>
        <w:t xml:space="preserve"> и жељеног унапређења материјалног положаја запослених</w:t>
      </w:r>
      <w:r w:rsidRPr="00226F9D">
        <w:rPr>
          <w:rFonts w:ascii="Times New Roman" w:eastAsia="Arial" w:hAnsi="Times New Roman" w:cs="Times New Roman"/>
          <w:kern w:val="0"/>
          <w:lang w:val="sr-Cyrl-RS"/>
          <w14:ligatures w14:val="none"/>
        </w:rPr>
        <w:t xml:space="preserve"> у </w:t>
      </w:r>
      <w:r w:rsidR="00F016E5" w:rsidRPr="00226F9D">
        <w:rPr>
          <w:rFonts w:ascii="Times New Roman" w:eastAsia="Arial" w:hAnsi="Times New Roman" w:cs="Times New Roman"/>
          <w:kern w:val="0"/>
          <w:lang w:val="sr-Cyrl-RS"/>
          <w14:ligatures w14:val="none"/>
        </w:rPr>
        <w:t>ЛС.</w:t>
      </w:r>
      <w:r w:rsidR="000C2727" w:rsidRPr="00226F9D">
        <w:rPr>
          <w:rFonts w:ascii="Times New Roman" w:eastAsia="Arial" w:hAnsi="Times New Roman" w:cs="Times New Roman"/>
          <w:kern w:val="0"/>
          <w:lang w:val="sr-Cyrl-RS"/>
          <w14:ligatures w14:val="none"/>
        </w:rPr>
        <w:t xml:space="preserve"> </w:t>
      </w:r>
      <w:r w:rsidR="001E49C7" w:rsidRPr="00226F9D">
        <w:rPr>
          <w:rFonts w:ascii="Times New Roman" w:eastAsia="Arial" w:hAnsi="Times New Roman" w:cs="Times New Roman"/>
          <w:kern w:val="0"/>
          <w:lang w:val="sr-Cyrl-RS"/>
          <w14:ligatures w14:val="none"/>
        </w:rPr>
        <w:t xml:space="preserve">Додатни </w:t>
      </w:r>
      <w:r w:rsidR="0031499F" w:rsidRPr="00226F9D">
        <w:rPr>
          <w:rFonts w:ascii="Times New Roman" w:eastAsia="Arial" w:hAnsi="Times New Roman" w:cs="Times New Roman"/>
          <w:kern w:val="0"/>
          <w:lang w:val="sr-Cyrl-RS"/>
          <w14:ligatures w14:val="none"/>
        </w:rPr>
        <w:t xml:space="preserve">директнији </w:t>
      </w:r>
      <w:r w:rsidR="001E49C7" w:rsidRPr="00226F9D">
        <w:rPr>
          <w:rFonts w:ascii="Times New Roman" w:eastAsia="Arial" w:hAnsi="Times New Roman" w:cs="Times New Roman"/>
          <w:kern w:val="0"/>
          <w:lang w:val="sr-Cyrl-RS"/>
          <w14:ligatures w14:val="none"/>
        </w:rPr>
        <w:t xml:space="preserve">аспект од значаја </w:t>
      </w:r>
      <w:r w:rsidR="003D4CAB" w:rsidRPr="00226F9D">
        <w:rPr>
          <w:rFonts w:ascii="Times New Roman" w:eastAsia="Arial" w:hAnsi="Times New Roman" w:cs="Times New Roman"/>
          <w:kern w:val="0"/>
          <w:lang w:val="sr-Cyrl-RS"/>
          <w14:ligatures w14:val="none"/>
        </w:rPr>
        <w:t xml:space="preserve">за друштво и управљање, јесте предвиђено </w:t>
      </w:r>
      <w:r w:rsidR="00A222B1" w:rsidRPr="00226F9D">
        <w:rPr>
          <w:rFonts w:ascii="Times New Roman" w:eastAsia="Arial" w:hAnsi="Times New Roman" w:cs="Times New Roman"/>
          <w:kern w:val="0"/>
          <w:lang w:val="sr-Cyrl-RS"/>
          <w14:ligatures w14:val="none"/>
        </w:rPr>
        <w:t xml:space="preserve">даље </w:t>
      </w:r>
      <w:r w:rsidR="000B2403" w:rsidRPr="00226F9D">
        <w:rPr>
          <w:rFonts w:ascii="Times New Roman" w:eastAsia="Arial" w:hAnsi="Times New Roman" w:cs="Times New Roman"/>
          <w:kern w:val="0"/>
          <w:lang w:val="sr-Cyrl-RS"/>
          <w14:ligatures w14:val="none"/>
        </w:rPr>
        <w:t>интегрисање компетенција кроз све аспекте УЉР</w:t>
      </w:r>
      <w:r w:rsidR="00A222B1" w:rsidRPr="00226F9D">
        <w:rPr>
          <w:rFonts w:ascii="Times New Roman" w:eastAsia="Arial" w:hAnsi="Times New Roman" w:cs="Times New Roman"/>
          <w:kern w:val="0"/>
          <w:lang w:val="sr-Cyrl-RS"/>
          <w14:ligatures w14:val="none"/>
        </w:rPr>
        <w:t xml:space="preserve">, што је и </w:t>
      </w:r>
      <w:r w:rsidR="002008A4" w:rsidRPr="00226F9D">
        <w:rPr>
          <w:rFonts w:ascii="Times New Roman" w:eastAsia="Arial" w:hAnsi="Times New Roman" w:cs="Times New Roman"/>
          <w:kern w:val="0"/>
          <w:lang w:val="sr-Cyrl-RS"/>
          <w14:ligatures w14:val="none"/>
        </w:rPr>
        <w:t xml:space="preserve">подлога за снажење поверења јавности </w:t>
      </w:r>
      <w:r w:rsidR="00FA6756" w:rsidRPr="00226F9D">
        <w:rPr>
          <w:rFonts w:ascii="Times New Roman" w:eastAsia="Arial" w:hAnsi="Times New Roman" w:cs="Times New Roman"/>
          <w:kern w:val="0"/>
          <w:lang w:val="sr-Cyrl-RS"/>
          <w14:ligatures w14:val="none"/>
        </w:rPr>
        <w:t>у локалну администрацију</w:t>
      </w:r>
      <w:r w:rsidR="00C514CF" w:rsidRPr="00226F9D">
        <w:rPr>
          <w:rFonts w:ascii="Times New Roman" w:eastAsia="Arial" w:hAnsi="Times New Roman" w:cs="Times New Roman"/>
          <w:kern w:val="0"/>
          <w:lang w:val="sr-Cyrl-RS"/>
          <w14:ligatures w14:val="none"/>
        </w:rPr>
        <w:t xml:space="preserve">. </w:t>
      </w:r>
      <w:r w:rsidRPr="00226F9D">
        <w:rPr>
          <w:rFonts w:ascii="Times New Roman" w:eastAsia="Arial" w:hAnsi="Times New Roman" w:cs="Times New Roman"/>
          <w:kern w:val="0"/>
          <w:lang w:val="sr-Cyrl-RS"/>
          <w14:ligatures w14:val="none"/>
        </w:rPr>
        <w:t>Ефекти на животну средину и климатске промене су позитивни</w:t>
      </w:r>
      <w:r w:rsidR="008A6A2A" w:rsidRPr="00226F9D">
        <w:rPr>
          <w:rFonts w:ascii="Times New Roman" w:eastAsia="Arial" w:hAnsi="Times New Roman" w:cs="Times New Roman"/>
          <w:kern w:val="0"/>
          <w:lang w:val="sr-Cyrl-RS"/>
          <w14:ligatures w14:val="none"/>
        </w:rPr>
        <w:t xml:space="preserve"> и углавном</w:t>
      </w:r>
      <w:r w:rsidR="00072D8F" w:rsidRPr="00226F9D">
        <w:rPr>
          <w:rFonts w:ascii="Times New Roman" w:eastAsia="Arial" w:hAnsi="Times New Roman" w:cs="Times New Roman"/>
          <w:kern w:val="0"/>
          <w:lang w:val="sr-Cyrl-RS"/>
          <w14:ligatures w14:val="none"/>
        </w:rPr>
        <w:t xml:space="preserve"> индиректни</w:t>
      </w:r>
      <w:r w:rsidR="00FA2220" w:rsidRPr="00226F9D">
        <w:rPr>
          <w:rFonts w:ascii="Times New Roman" w:eastAsia="Arial" w:hAnsi="Times New Roman" w:cs="Times New Roman"/>
          <w:kern w:val="0"/>
          <w:lang w:val="sr-Cyrl-RS"/>
          <w14:ligatures w14:val="none"/>
        </w:rPr>
        <w:t xml:space="preserve"> кроз очекиване доприносе у перспективи </w:t>
      </w:r>
      <w:r w:rsidR="005B2431" w:rsidRPr="00226F9D">
        <w:rPr>
          <w:rFonts w:ascii="Times New Roman" w:eastAsia="Arial" w:hAnsi="Times New Roman" w:cs="Times New Roman"/>
          <w:kern w:val="0"/>
          <w:lang w:val="sr-Cyrl-RS"/>
          <w14:ligatures w14:val="none"/>
        </w:rPr>
        <w:t xml:space="preserve">спровођења </w:t>
      </w:r>
      <w:r w:rsidR="00E01D15" w:rsidRPr="00226F9D">
        <w:rPr>
          <w:rFonts w:ascii="Times New Roman" w:eastAsia="Arial" w:hAnsi="Times New Roman" w:cs="Times New Roman"/>
          <w:kern w:val="0"/>
          <w:lang w:val="sr-Cyrl-RS"/>
          <w14:ligatures w14:val="none"/>
        </w:rPr>
        <w:t>пројеката за унапређење локалне комуналне инфраструктуре</w:t>
      </w:r>
      <w:r w:rsidR="00FA5410" w:rsidRPr="00226F9D">
        <w:rPr>
          <w:rFonts w:ascii="Times New Roman" w:eastAsia="Arial" w:hAnsi="Times New Roman" w:cs="Times New Roman"/>
          <w:kern w:val="0"/>
          <w:lang w:val="sr-Cyrl-RS"/>
          <w14:ligatures w14:val="none"/>
        </w:rPr>
        <w:t xml:space="preserve"> и праћење параметара </w:t>
      </w:r>
      <w:r w:rsidR="00774962" w:rsidRPr="00226F9D">
        <w:rPr>
          <w:rFonts w:ascii="Times New Roman" w:eastAsia="Arial" w:hAnsi="Times New Roman" w:cs="Times New Roman"/>
          <w:kern w:val="0"/>
          <w:lang w:val="sr-Cyrl-RS"/>
          <w14:ligatures w14:val="none"/>
        </w:rPr>
        <w:t>о стању животне средине (приликом извештавања о спровођењу локалних планских докумената).</w:t>
      </w:r>
    </w:p>
    <w:p w14:paraId="7AD82471" w14:textId="77777777" w:rsidR="005B51B1" w:rsidRPr="00226F9D" w:rsidRDefault="005B51B1" w:rsidP="00090884">
      <w:pPr>
        <w:spacing w:after="0" w:line="240" w:lineRule="auto"/>
        <w:jc w:val="both"/>
        <w:rPr>
          <w:rFonts w:ascii="Times New Roman" w:eastAsia="Times New Roman" w:hAnsi="Times New Roman" w:cs="Times New Roman"/>
          <w:color w:val="000000" w:themeColor="text1"/>
          <w:kern w:val="0"/>
          <w:lang w:val="sr-Cyrl-RS" w:eastAsia="de-CH"/>
          <w14:ligatures w14:val="none"/>
        </w:rPr>
      </w:pPr>
    </w:p>
    <w:p w14:paraId="7232EDD0" w14:textId="4D665DBB" w:rsidR="00CF32C3" w:rsidRPr="00226F9D" w:rsidRDefault="009C08A8" w:rsidP="005B0999">
      <w:pPr>
        <w:pStyle w:val="TOCHeading"/>
        <w:rPr>
          <w:rFonts w:ascii="Times New Roman" w:hAnsi="Times New Roman" w:cs="Times New Roman"/>
        </w:rPr>
      </w:pPr>
      <w:bookmarkStart w:id="39" w:name="_Toc77068886"/>
      <w:r w:rsidRPr="00226F9D">
        <w:rPr>
          <w:rFonts w:ascii="Times New Roman" w:hAnsi="Times New Roman" w:cs="Times New Roman"/>
        </w:rPr>
        <w:t>Посебни циљ 4: Унапређење квалитета и доступности услуга</w:t>
      </w:r>
      <w:bookmarkEnd w:id="39"/>
      <w:r w:rsidRPr="00226F9D">
        <w:rPr>
          <w:rFonts w:ascii="Times New Roman" w:hAnsi="Times New Roman" w:cs="Times New Roman"/>
        </w:rPr>
        <w:t xml:space="preserve"> локалних органа управе, комуналних услуга и услуга јавних установа</w:t>
      </w:r>
    </w:p>
    <w:p w14:paraId="26DA2B97" w14:textId="77777777" w:rsidR="00CF32C3" w:rsidRPr="00226F9D" w:rsidRDefault="00CF32C3" w:rsidP="00090884">
      <w:pPr>
        <w:spacing w:after="0" w:line="240" w:lineRule="auto"/>
        <w:jc w:val="both"/>
        <w:rPr>
          <w:rFonts w:ascii="Times New Roman" w:eastAsia="Times New Roman" w:hAnsi="Times New Roman" w:cs="Times New Roman"/>
          <w:color w:val="000000" w:themeColor="text1"/>
          <w:lang w:val="sr-Cyrl-RS" w:eastAsia="de-CH"/>
        </w:rPr>
      </w:pPr>
    </w:p>
    <w:p w14:paraId="515E2099" w14:textId="3A78E9C9" w:rsidR="00C622C2" w:rsidRPr="00226F9D" w:rsidRDefault="00B77C5D"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У</w:t>
      </w:r>
      <w:r w:rsidR="00C622C2" w:rsidRPr="00226F9D">
        <w:rPr>
          <w:rFonts w:ascii="Times New Roman" w:eastAsia="Arial" w:hAnsi="Times New Roman" w:cs="Times New Roman"/>
          <w:kern w:val="0"/>
          <w:lang w:val="sr-Cyrl-RS"/>
          <w14:ligatures w14:val="none"/>
        </w:rPr>
        <w:t xml:space="preserve">напређење ефикасности, квалитета и доступности локалних јавних услуга </w:t>
      </w:r>
      <w:r w:rsidR="0036426F" w:rsidRPr="00226F9D">
        <w:rPr>
          <w:rFonts w:ascii="Times New Roman" w:eastAsia="Arial" w:hAnsi="Times New Roman" w:cs="Times New Roman"/>
          <w:kern w:val="0"/>
          <w:lang w:val="sr-Cyrl-RS"/>
          <w14:ligatures w14:val="none"/>
        </w:rPr>
        <w:t>један је од темељних</w:t>
      </w:r>
      <w:r w:rsidR="00C622C2" w:rsidRPr="00226F9D">
        <w:rPr>
          <w:rFonts w:ascii="Times New Roman" w:eastAsia="Arial" w:hAnsi="Times New Roman" w:cs="Times New Roman"/>
          <w:kern w:val="0"/>
          <w:lang w:val="sr-Cyrl-RS"/>
          <w14:ligatures w14:val="none"/>
        </w:rPr>
        <w:t xml:space="preserve"> задатка локалне самоуправе. Приоритети у </w:t>
      </w:r>
      <w:r w:rsidRPr="00226F9D">
        <w:rPr>
          <w:rFonts w:ascii="Times New Roman" w:eastAsia="Arial" w:hAnsi="Times New Roman" w:cs="Times New Roman"/>
          <w:kern w:val="0"/>
          <w:lang w:val="sr-Cyrl-RS"/>
          <w14:ligatures w14:val="none"/>
        </w:rPr>
        <w:t>том делу реформе система локалне самоуправе,</w:t>
      </w:r>
      <w:r w:rsidR="00C622C2" w:rsidRPr="00226F9D">
        <w:rPr>
          <w:rFonts w:ascii="Times New Roman" w:eastAsia="Arial" w:hAnsi="Times New Roman" w:cs="Times New Roman"/>
          <w:kern w:val="0"/>
          <w:lang w:val="sr-Cyrl-RS"/>
          <w14:ligatures w14:val="none"/>
        </w:rPr>
        <w:t xml:space="preserve"> обухватају модернизацију начина пружања услуга, развој дигиталних алата и административних поступака, као и јачање институционалних механизама који обезбеђују једнак приступ услугама за све грађане. Подршка ефикасном спровођењу локалних послова и даље оптимизацији управних услуга има за циљ да локалне заједнице постану поуздан сервис грађана и привреде, са већим степеном транспарентности и предвидивости у раду.</w:t>
      </w:r>
    </w:p>
    <w:p w14:paraId="65EC1515" w14:textId="77777777" w:rsidR="00B77C5D" w:rsidRPr="00226F9D" w:rsidRDefault="00B77C5D" w:rsidP="00090884">
      <w:pPr>
        <w:spacing w:after="0" w:line="240" w:lineRule="auto"/>
        <w:jc w:val="both"/>
        <w:rPr>
          <w:rFonts w:ascii="Times New Roman" w:eastAsia="Arial" w:hAnsi="Times New Roman" w:cs="Times New Roman"/>
          <w:kern w:val="0"/>
          <w:lang w:val="sr-Cyrl-RS"/>
          <w14:ligatures w14:val="none"/>
        </w:rPr>
      </w:pPr>
    </w:p>
    <w:p w14:paraId="2315756F" w14:textId="4C998BFE" w:rsidR="00C622C2" w:rsidRPr="00226F9D" w:rsidRDefault="00C622C2"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Истовремено, развој међуопштинске сарадње постављен је као </w:t>
      </w:r>
      <w:r w:rsidR="00DE2E68" w:rsidRPr="00226F9D">
        <w:rPr>
          <w:rFonts w:ascii="Times New Roman" w:eastAsia="Arial" w:hAnsi="Times New Roman" w:cs="Times New Roman"/>
          <w:kern w:val="0"/>
          <w:lang w:val="sr-Cyrl-RS"/>
          <w14:ligatures w14:val="none"/>
        </w:rPr>
        <w:t xml:space="preserve">кључан </w:t>
      </w:r>
      <w:r w:rsidRPr="00226F9D">
        <w:rPr>
          <w:rFonts w:ascii="Times New Roman" w:eastAsia="Arial" w:hAnsi="Times New Roman" w:cs="Times New Roman"/>
          <w:kern w:val="0"/>
          <w:lang w:val="sr-Cyrl-RS"/>
          <w14:ligatures w14:val="none"/>
        </w:rPr>
        <w:t xml:space="preserve">инструмент за рационалније коришћење ресурса, бољу организацију и једнак квалитет услуга без обзира на величину или степен развијености појединих јединица локалне самоуправе. Значајан </w:t>
      </w:r>
      <w:r w:rsidRPr="00226F9D">
        <w:rPr>
          <w:rFonts w:ascii="Times New Roman" w:eastAsia="Arial" w:hAnsi="Times New Roman" w:cs="Times New Roman"/>
          <w:kern w:val="0"/>
          <w:lang w:val="sr-Cyrl-RS"/>
          <w14:ligatures w14:val="none"/>
        </w:rPr>
        <w:lastRenderedPageBreak/>
        <w:t>приоритет представља и свеобухватна реформа система комуналних делатности, која обухвата увођење јасног регулаторног и финансијски одрживог оквира, дигитализацију и јачање капацитета запослених у локалним самоуправама и јавним предузећима.</w:t>
      </w:r>
    </w:p>
    <w:p w14:paraId="5023E50B" w14:textId="77777777" w:rsidR="00B77C5D" w:rsidRPr="00226F9D" w:rsidRDefault="00B77C5D" w:rsidP="00090884">
      <w:pPr>
        <w:spacing w:after="0" w:line="240" w:lineRule="auto"/>
        <w:jc w:val="both"/>
        <w:rPr>
          <w:rFonts w:ascii="Times New Roman" w:eastAsia="Arial" w:hAnsi="Times New Roman" w:cs="Times New Roman"/>
          <w:kern w:val="0"/>
          <w:lang w:val="sr-Cyrl-RS"/>
          <w14:ligatures w14:val="none"/>
        </w:rPr>
      </w:pPr>
    </w:p>
    <w:p w14:paraId="0946F3BA" w14:textId="5F17FF9C" w:rsidR="00C622C2" w:rsidRPr="00226F9D" w:rsidRDefault="00DE2E68"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Основна идеја јесте да се</w:t>
      </w:r>
      <w:r w:rsidR="00C622C2" w:rsidRPr="00226F9D">
        <w:rPr>
          <w:rFonts w:ascii="Times New Roman" w:eastAsia="Arial" w:hAnsi="Times New Roman" w:cs="Times New Roman"/>
          <w:kern w:val="0"/>
          <w:lang w:val="sr-Cyrl-RS"/>
          <w14:ligatures w14:val="none"/>
        </w:rPr>
        <w:t xml:space="preserve"> обезбеди модеран, предвидив и одговоран систем пружања локалних услуга, који ће бити ближи грађанима, боље прилагођен њиховим потребама и усклађен са европским стандардима квалитета. На тај начин, локалне самоуправе постају поуздани партнери грађана и привреде, као и носиоци одрживог развоја и побољшаног квалитета живота у свим </w:t>
      </w:r>
      <w:r w:rsidR="00B72B84" w:rsidRPr="00226F9D">
        <w:rPr>
          <w:rFonts w:ascii="Times New Roman" w:eastAsia="Arial" w:hAnsi="Times New Roman" w:cs="Times New Roman"/>
          <w:kern w:val="0"/>
          <w:lang w:val="sr-Cyrl-RS"/>
          <w14:ligatures w14:val="none"/>
        </w:rPr>
        <w:t>локалним заједницама.</w:t>
      </w:r>
    </w:p>
    <w:p w14:paraId="09056650" w14:textId="77777777" w:rsidR="006167F2" w:rsidRPr="00226F9D" w:rsidRDefault="006167F2" w:rsidP="00090884">
      <w:pPr>
        <w:spacing w:after="0" w:line="240" w:lineRule="auto"/>
        <w:jc w:val="both"/>
        <w:rPr>
          <w:rFonts w:ascii="Times New Roman" w:eastAsia="Times New Roman" w:hAnsi="Times New Roman" w:cs="Times New Roman"/>
          <w:color w:val="000000" w:themeColor="text1"/>
          <w:kern w:val="0"/>
          <w:lang w:val="sr-Cyrl-RS" w:eastAsia="de-CH"/>
          <w14:ligatures w14:val="none"/>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172"/>
        <w:gridCol w:w="2174"/>
        <w:gridCol w:w="1055"/>
        <w:gridCol w:w="1055"/>
        <w:gridCol w:w="1055"/>
        <w:gridCol w:w="1055"/>
        <w:gridCol w:w="1056"/>
      </w:tblGrid>
      <w:tr w:rsidR="00CF32C3" w:rsidRPr="00226F9D" w14:paraId="0A8CEF89" w14:textId="77777777" w:rsidTr="008A5A2C">
        <w:trPr>
          <w:tblHeader/>
        </w:trPr>
        <w:tc>
          <w:tcPr>
            <w:tcW w:w="2112" w:type="dxa"/>
            <w:shd w:val="clear" w:color="auto" w:fill="FFFF00"/>
            <w:vAlign w:val="center"/>
          </w:tcPr>
          <w:p w14:paraId="15D2D931" w14:textId="1DC91AC9" w:rsidR="008A5A2C" w:rsidRPr="00226F9D" w:rsidRDefault="00CF32C3" w:rsidP="00090884">
            <w:pPr>
              <w:jc w:val="both"/>
              <w:rPr>
                <w:rFonts w:ascii="Times New Roman" w:eastAsia="Times New Roman" w:hAnsi="Times New Roman" w:cs="Times New Roman"/>
                <w:b/>
                <w:bCs/>
                <w:sz w:val="20"/>
                <w:szCs w:val="20"/>
                <w:lang w:val="sr-Latn-RS" w:eastAsia="en-GB"/>
              </w:rPr>
            </w:pPr>
            <w:r w:rsidRPr="00226F9D">
              <w:rPr>
                <w:rFonts w:ascii="Times New Roman" w:eastAsia="Times New Roman" w:hAnsi="Times New Roman" w:cs="Times New Roman"/>
                <w:b/>
                <w:bCs/>
                <w:sz w:val="20"/>
                <w:szCs w:val="20"/>
                <w:lang w:val="sr-Cyrl-RS" w:eastAsia="en-GB"/>
              </w:rPr>
              <w:t>Показатељ исхода</w:t>
            </w:r>
          </w:p>
        </w:tc>
        <w:tc>
          <w:tcPr>
            <w:tcW w:w="2113" w:type="dxa"/>
            <w:shd w:val="clear" w:color="auto" w:fill="FFFF00"/>
            <w:vAlign w:val="center"/>
          </w:tcPr>
          <w:p w14:paraId="54E2F2EF"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Полазна вредност</w:t>
            </w:r>
          </w:p>
        </w:tc>
        <w:tc>
          <w:tcPr>
            <w:tcW w:w="1025" w:type="dxa"/>
            <w:shd w:val="clear" w:color="auto" w:fill="FFFF00"/>
            <w:vAlign w:val="center"/>
          </w:tcPr>
          <w:p w14:paraId="218E9544"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6</w:t>
            </w:r>
            <w:r w:rsidRPr="00226F9D">
              <w:rPr>
                <w:rFonts w:ascii="Times New Roman" w:eastAsia="Times New Roman" w:hAnsi="Times New Roman" w:cs="Times New Roman"/>
                <w:b/>
                <w:bCs/>
                <w:sz w:val="20"/>
                <w:szCs w:val="20"/>
                <w:lang w:val="sr-Cyrl-RS" w:eastAsia="en-GB"/>
              </w:rPr>
              <w:t>.</w:t>
            </w:r>
          </w:p>
        </w:tc>
        <w:tc>
          <w:tcPr>
            <w:tcW w:w="1025" w:type="dxa"/>
            <w:shd w:val="clear" w:color="auto" w:fill="FFFF00"/>
            <w:vAlign w:val="center"/>
          </w:tcPr>
          <w:p w14:paraId="76010E64"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7</w:t>
            </w:r>
            <w:r w:rsidRPr="00226F9D">
              <w:rPr>
                <w:rFonts w:ascii="Times New Roman" w:eastAsia="Times New Roman" w:hAnsi="Times New Roman" w:cs="Times New Roman"/>
                <w:b/>
                <w:bCs/>
                <w:sz w:val="20"/>
                <w:szCs w:val="20"/>
                <w:lang w:val="sr-Cyrl-RS" w:eastAsia="en-GB"/>
              </w:rPr>
              <w:t>.</w:t>
            </w:r>
          </w:p>
        </w:tc>
        <w:tc>
          <w:tcPr>
            <w:tcW w:w="1025" w:type="dxa"/>
            <w:shd w:val="clear" w:color="auto" w:fill="FFFF00"/>
            <w:vAlign w:val="center"/>
          </w:tcPr>
          <w:p w14:paraId="2192177A"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8</w:t>
            </w:r>
            <w:r w:rsidRPr="00226F9D">
              <w:rPr>
                <w:rFonts w:ascii="Times New Roman" w:eastAsia="Times New Roman" w:hAnsi="Times New Roman" w:cs="Times New Roman"/>
                <w:b/>
                <w:bCs/>
                <w:sz w:val="20"/>
                <w:szCs w:val="20"/>
                <w:lang w:val="sr-Cyrl-RS" w:eastAsia="en-GB"/>
              </w:rPr>
              <w:t>.</w:t>
            </w:r>
          </w:p>
        </w:tc>
        <w:tc>
          <w:tcPr>
            <w:tcW w:w="1025" w:type="dxa"/>
            <w:shd w:val="clear" w:color="auto" w:fill="FFFF00"/>
            <w:vAlign w:val="center"/>
          </w:tcPr>
          <w:p w14:paraId="7C9B749D"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202</w:t>
            </w:r>
            <w:r w:rsidRPr="00226F9D">
              <w:rPr>
                <w:rFonts w:ascii="Times New Roman" w:eastAsia="Times New Roman" w:hAnsi="Times New Roman" w:cs="Times New Roman"/>
                <w:b/>
                <w:sz w:val="20"/>
                <w:szCs w:val="20"/>
                <w:lang w:val="sr-Cyrl-RS" w:eastAsia="en-GB"/>
              </w:rPr>
              <w:t>9</w:t>
            </w:r>
            <w:r w:rsidRPr="00226F9D">
              <w:rPr>
                <w:rFonts w:ascii="Times New Roman" w:eastAsia="Times New Roman" w:hAnsi="Times New Roman" w:cs="Times New Roman"/>
                <w:b/>
                <w:bCs/>
                <w:sz w:val="20"/>
                <w:szCs w:val="20"/>
                <w:lang w:val="sr-Cyrl-RS" w:eastAsia="en-GB"/>
              </w:rPr>
              <w:t>.</w:t>
            </w:r>
          </w:p>
        </w:tc>
        <w:tc>
          <w:tcPr>
            <w:tcW w:w="1026" w:type="dxa"/>
            <w:shd w:val="clear" w:color="auto" w:fill="FFFF00"/>
            <w:vAlign w:val="center"/>
          </w:tcPr>
          <w:p w14:paraId="72D5AE4F" w14:textId="77777777" w:rsidR="00CF32C3" w:rsidRPr="00226F9D" w:rsidRDefault="00CF32C3" w:rsidP="00090884">
            <w:pPr>
              <w:jc w:val="both"/>
              <w:rPr>
                <w:rFonts w:ascii="Times New Roman" w:eastAsia="Times New Roman" w:hAnsi="Times New Roman" w:cs="Times New Roman"/>
                <w:b/>
                <w:bCs/>
                <w:sz w:val="20"/>
                <w:szCs w:val="20"/>
                <w:lang w:val="sr-Cyrl-RS" w:eastAsia="en-GB"/>
              </w:rPr>
            </w:pPr>
            <w:r w:rsidRPr="00226F9D">
              <w:rPr>
                <w:rFonts w:ascii="Times New Roman" w:eastAsia="Times New Roman" w:hAnsi="Times New Roman" w:cs="Times New Roman"/>
                <w:b/>
                <w:bCs/>
                <w:sz w:val="20"/>
                <w:szCs w:val="20"/>
                <w:lang w:val="sr-Cyrl-RS" w:eastAsia="en-GB"/>
              </w:rPr>
              <w:t>20</w:t>
            </w:r>
            <w:r w:rsidRPr="00226F9D">
              <w:rPr>
                <w:rFonts w:ascii="Times New Roman" w:eastAsia="Times New Roman" w:hAnsi="Times New Roman" w:cs="Times New Roman"/>
                <w:b/>
                <w:sz w:val="20"/>
                <w:szCs w:val="20"/>
                <w:lang w:val="sr-Cyrl-RS" w:eastAsia="en-GB"/>
              </w:rPr>
              <w:t>30</w:t>
            </w:r>
            <w:r w:rsidRPr="00226F9D">
              <w:rPr>
                <w:rFonts w:ascii="Times New Roman" w:eastAsia="Times New Roman" w:hAnsi="Times New Roman" w:cs="Times New Roman"/>
                <w:b/>
                <w:bCs/>
                <w:sz w:val="20"/>
                <w:szCs w:val="20"/>
                <w:lang w:val="sr-Cyrl-RS" w:eastAsia="en-GB"/>
              </w:rPr>
              <w:t>.</w:t>
            </w:r>
          </w:p>
        </w:tc>
      </w:tr>
      <w:tr w:rsidR="00CF32C3" w:rsidRPr="00226F9D" w14:paraId="05C195E1" w14:textId="77777777" w:rsidTr="008A5A2C">
        <w:tc>
          <w:tcPr>
            <w:tcW w:w="2112" w:type="dxa"/>
            <w:vAlign w:val="center"/>
          </w:tcPr>
          <w:p w14:paraId="5BCDFE5C" w14:textId="311DBD66" w:rsidR="00CF32C3" w:rsidRPr="00226F9D" w:rsidRDefault="00CF32C3"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Ниво функција за које су ЈЛС преузеле одговорност</w:t>
            </w:r>
          </w:p>
        </w:tc>
        <w:tc>
          <w:tcPr>
            <w:tcW w:w="2113" w:type="dxa"/>
            <w:vAlign w:val="center"/>
          </w:tcPr>
          <w:p w14:paraId="08A3F3FB" w14:textId="5CF7AC92" w:rsidR="00CF32C3" w:rsidRPr="00226F9D" w:rsidRDefault="00590E8F"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eastAsia="en-GB"/>
              </w:rPr>
              <w:t>7,5</w:t>
            </w:r>
            <w:r w:rsidR="00CF32C3" w:rsidRPr="00226F9D">
              <w:rPr>
                <w:rFonts w:ascii="Times New Roman" w:eastAsia="Times New Roman" w:hAnsi="Times New Roman" w:cs="Times New Roman"/>
                <w:sz w:val="20"/>
                <w:szCs w:val="20"/>
                <w:lang w:val="sr-Cyrl-RS" w:eastAsia="en-GB"/>
              </w:rPr>
              <w:t xml:space="preserve"> (2025)</w:t>
            </w:r>
          </w:p>
        </w:tc>
        <w:tc>
          <w:tcPr>
            <w:tcW w:w="1025" w:type="dxa"/>
            <w:vAlign w:val="center"/>
          </w:tcPr>
          <w:p w14:paraId="14D38E85" w14:textId="24A457EC" w:rsidR="00CF32C3" w:rsidRPr="00226F9D" w:rsidRDefault="00590E8F" w:rsidP="00090884">
            <w:pPr>
              <w:jc w:val="both"/>
              <w:rPr>
                <w:rFonts w:ascii="Times New Roman" w:eastAsia="Times New Roman" w:hAnsi="Times New Roman" w:cs="Times New Roman"/>
                <w:sz w:val="20"/>
                <w:szCs w:val="20"/>
                <w:lang w:eastAsia="en-GB"/>
              </w:rPr>
            </w:pPr>
            <w:r w:rsidRPr="00226F9D">
              <w:rPr>
                <w:rFonts w:ascii="Times New Roman" w:eastAsia="Times New Roman" w:hAnsi="Times New Roman" w:cs="Times New Roman"/>
                <w:sz w:val="20"/>
                <w:szCs w:val="20"/>
                <w:lang w:eastAsia="en-GB"/>
              </w:rPr>
              <w:t>7,5</w:t>
            </w:r>
          </w:p>
        </w:tc>
        <w:tc>
          <w:tcPr>
            <w:tcW w:w="1025" w:type="dxa"/>
            <w:vAlign w:val="center"/>
          </w:tcPr>
          <w:p w14:paraId="130F4FD9" w14:textId="4FCDCE60" w:rsidR="00CF32C3" w:rsidRPr="00226F9D" w:rsidRDefault="00590E8F" w:rsidP="00090884">
            <w:pPr>
              <w:jc w:val="both"/>
              <w:rPr>
                <w:rFonts w:ascii="Times New Roman" w:eastAsia="Times New Roman" w:hAnsi="Times New Roman" w:cs="Times New Roman"/>
                <w:sz w:val="20"/>
                <w:szCs w:val="20"/>
                <w:lang w:eastAsia="en-GB"/>
              </w:rPr>
            </w:pPr>
            <w:r w:rsidRPr="00226F9D">
              <w:rPr>
                <w:rFonts w:ascii="Times New Roman" w:eastAsia="Times New Roman" w:hAnsi="Times New Roman" w:cs="Times New Roman"/>
                <w:sz w:val="20"/>
                <w:szCs w:val="20"/>
                <w:lang w:eastAsia="en-GB"/>
              </w:rPr>
              <w:t>7,5</w:t>
            </w:r>
          </w:p>
        </w:tc>
        <w:tc>
          <w:tcPr>
            <w:tcW w:w="1025" w:type="dxa"/>
            <w:vAlign w:val="center"/>
          </w:tcPr>
          <w:p w14:paraId="4D76EEE7" w14:textId="25732A52" w:rsidR="00CF32C3" w:rsidRPr="00226F9D" w:rsidRDefault="00452252" w:rsidP="00090884">
            <w:pPr>
              <w:jc w:val="both"/>
              <w:rPr>
                <w:rFonts w:ascii="Times New Roman" w:eastAsia="Times New Roman" w:hAnsi="Times New Roman" w:cs="Times New Roman"/>
                <w:sz w:val="20"/>
                <w:szCs w:val="20"/>
                <w:lang w:eastAsia="en-GB"/>
              </w:rPr>
            </w:pPr>
            <w:r w:rsidRPr="00226F9D">
              <w:rPr>
                <w:rFonts w:ascii="Times New Roman" w:eastAsia="Times New Roman" w:hAnsi="Times New Roman" w:cs="Times New Roman"/>
                <w:sz w:val="20"/>
                <w:szCs w:val="20"/>
                <w:lang w:eastAsia="en-GB"/>
              </w:rPr>
              <w:t>7,75</w:t>
            </w:r>
          </w:p>
        </w:tc>
        <w:tc>
          <w:tcPr>
            <w:tcW w:w="1025" w:type="dxa"/>
            <w:vAlign w:val="center"/>
          </w:tcPr>
          <w:p w14:paraId="66B80129" w14:textId="4E2B3F6A" w:rsidR="00CF32C3" w:rsidRPr="00226F9D" w:rsidRDefault="00452252" w:rsidP="00090884">
            <w:pPr>
              <w:jc w:val="both"/>
              <w:rPr>
                <w:rFonts w:ascii="Times New Roman" w:eastAsia="Times New Roman" w:hAnsi="Times New Roman" w:cs="Times New Roman"/>
                <w:sz w:val="20"/>
                <w:szCs w:val="20"/>
                <w:lang w:eastAsia="en-GB"/>
              </w:rPr>
            </w:pPr>
            <w:r w:rsidRPr="00226F9D">
              <w:rPr>
                <w:rFonts w:ascii="Times New Roman" w:eastAsia="Times New Roman" w:hAnsi="Times New Roman" w:cs="Times New Roman"/>
                <w:sz w:val="20"/>
                <w:szCs w:val="20"/>
                <w:lang w:eastAsia="en-GB"/>
              </w:rPr>
              <w:t>8</w:t>
            </w:r>
          </w:p>
        </w:tc>
        <w:tc>
          <w:tcPr>
            <w:tcW w:w="1026" w:type="dxa"/>
            <w:vAlign w:val="center"/>
          </w:tcPr>
          <w:p w14:paraId="3C117BA7" w14:textId="6C2CA51D" w:rsidR="00CF32C3" w:rsidRPr="00226F9D" w:rsidRDefault="00452252" w:rsidP="00090884">
            <w:pPr>
              <w:jc w:val="both"/>
              <w:rPr>
                <w:rFonts w:ascii="Times New Roman" w:eastAsia="Times New Roman" w:hAnsi="Times New Roman" w:cs="Times New Roman"/>
                <w:sz w:val="20"/>
                <w:szCs w:val="20"/>
                <w:lang w:eastAsia="en-GB"/>
              </w:rPr>
            </w:pPr>
            <w:r w:rsidRPr="00226F9D">
              <w:rPr>
                <w:rFonts w:ascii="Times New Roman" w:eastAsia="Times New Roman" w:hAnsi="Times New Roman" w:cs="Times New Roman"/>
                <w:sz w:val="20"/>
                <w:szCs w:val="20"/>
                <w:lang w:eastAsia="en-GB"/>
              </w:rPr>
              <w:t>8,5</w:t>
            </w:r>
          </w:p>
        </w:tc>
      </w:tr>
      <w:tr w:rsidR="00EA27A6" w:rsidRPr="00226F9D" w14:paraId="2B579CEC" w14:textId="77777777" w:rsidTr="008A5A2C">
        <w:tc>
          <w:tcPr>
            <w:tcW w:w="2112" w:type="dxa"/>
            <w:vAlign w:val="center"/>
          </w:tcPr>
          <w:p w14:paraId="7B62B1FA" w14:textId="5EEEA7D6" w:rsidR="00EA27A6" w:rsidRPr="00226F9D" w:rsidRDefault="008C510B"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Удео ЈЛС које су успоставиле међуопштинску сарадњу у укупном броју ЈЛС</w:t>
            </w:r>
          </w:p>
        </w:tc>
        <w:tc>
          <w:tcPr>
            <w:tcW w:w="2113" w:type="dxa"/>
            <w:vAlign w:val="center"/>
          </w:tcPr>
          <w:p w14:paraId="1452CA9F" w14:textId="7EDF0101" w:rsidR="00EA27A6" w:rsidRPr="00226F9D" w:rsidRDefault="008C510B"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6</w:t>
            </w:r>
            <w:r w:rsidR="002D3D60" w:rsidRPr="00226F9D">
              <w:rPr>
                <w:rFonts w:ascii="Times New Roman" w:eastAsia="Times New Roman" w:hAnsi="Times New Roman" w:cs="Times New Roman"/>
                <w:sz w:val="20"/>
                <w:szCs w:val="20"/>
                <w:lang w:val="sr-Cyrl-RS" w:eastAsia="en-GB"/>
              </w:rPr>
              <w:t>2</w:t>
            </w:r>
            <w:r w:rsidRPr="00226F9D">
              <w:rPr>
                <w:rFonts w:ascii="Times New Roman" w:eastAsia="Times New Roman" w:hAnsi="Times New Roman" w:cs="Times New Roman"/>
                <w:sz w:val="20"/>
                <w:szCs w:val="20"/>
                <w:lang w:val="sr-Cyrl-RS" w:eastAsia="en-GB"/>
              </w:rPr>
              <w:t>%(2024)</w:t>
            </w:r>
          </w:p>
        </w:tc>
        <w:tc>
          <w:tcPr>
            <w:tcW w:w="1025" w:type="dxa"/>
            <w:vAlign w:val="center"/>
          </w:tcPr>
          <w:p w14:paraId="4733EC16" w14:textId="4C366F1C" w:rsidR="00EA27A6" w:rsidRPr="00226F9D" w:rsidRDefault="00D52E4A"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6</w:t>
            </w:r>
            <w:r w:rsidR="008960E8" w:rsidRPr="00226F9D">
              <w:rPr>
                <w:rFonts w:ascii="Times New Roman" w:eastAsia="Times New Roman" w:hAnsi="Times New Roman" w:cs="Times New Roman"/>
                <w:sz w:val="20"/>
                <w:szCs w:val="20"/>
                <w:lang w:val="sr-Cyrl-RS" w:eastAsia="en-GB"/>
              </w:rPr>
              <w:t>3</w:t>
            </w:r>
            <w:r w:rsidRPr="00226F9D">
              <w:rPr>
                <w:rFonts w:ascii="Times New Roman" w:eastAsia="Times New Roman" w:hAnsi="Times New Roman" w:cs="Times New Roman"/>
                <w:sz w:val="20"/>
                <w:szCs w:val="20"/>
                <w:lang w:val="sr-Cyrl-RS" w:eastAsia="en-GB"/>
              </w:rPr>
              <w:t>%</w:t>
            </w:r>
          </w:p>
        </w:tc>
        <w:tc>
          <w:tcPr>
            <w:tcW w:w="1025" w:type="dxa"/>
            <w:vAlign w:val="center"/>
          </w:tcPr>
          <w:p w14:paraId="2DF4D5EB" w14:textId="5F5166CD" w:rsidR="00EA27A6" w:rsidRPr="00226F9D" w:rsidRDefault="00D52E4A"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6</w:t>
            </w:r>
            <w:r w:rsidR="008960E8" w:rsidRPr="00226F9D">
              <w:rPr>
                <w:rFonts w:ascii="Times New Roman" w:eastAsia="Times New Roman" w:hAnsi="Times New Roman" w:cs="Times New Roman"/>
                <w:sz w:val="20"/>
                <w:szCs w:val="20"/>
                <w:lang w:val="sr-Cyrl-RS" w:eastAsia="en-GB"/>
              </w:rPr>
              <w:t>4</w:t>
            </w:r>
            <w:r w:rsidRPr="00226F9D">
              <w:rPr>
                <w:rFonts w:ascii="Times New Roman" w:eastAsia="Times New Roman" w:hAnsi="Times New Roman" w:cs="Times New Roman"/>
                <w:sz w:val="20"/>
                <w:szCs w:val="20"/>
                <w:lang w:val="sr-Cyrl-RS" w:eastAsia="en-GB"/>
              </w:rPr>
              <w:t>%</w:t>
            </w:r>
          </w:p>
        </w:tc>
        <w:tc>
          <w:tcPr>
            <w:tcW w:w="1025" w:type="dxa"/>
            <w:vAlign w:val="center"/>
          </w:tcPr>
          <w:p w14:paraId="24BF6E9E" w14:textId="50E1BA50" w:rsidR="00EA27A6" w:rsidRPr="00226F9D" w:rsidRDefault="00D52E4A"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6</w:t>
            </w:r>
            <w:r w:rsidR="008960E8" w:rsidRPr="00226F9D">
              <w:rPr>
                <w:rFonts w:ascii="Times New Roman" w:eastAsia="Times New Roman" w:hAnsi="Times New Roman" w:cs="Times New Roman"/>
                <w:sz w:val="20"/>
                <w:szCs w:val="20"/>
                <w:lang w:val="sr-Cyrl-RS" w:eastAsia="en-GB"/>
              </w:rPr>
              <w:t>5</w:t>
            </w:r>
            <w:r w:rsidRPr="00226F9D">
              <w:rPr>
                <w:rFonts w:ascii="Times New Roman" w:eastAsia="Times New Roman" w:hAnsi="Times New Roman" w:cs="Times New Roman"/>
                <w:sz w:val="20"/>
                <w:szCs w:val="20"/>
                <w:lang w:val="sr-Cyrl-RS" w:eastAsia="en-GB"/>
              </w:rPr>
              <w:t>%</w:t>
            </w:r>
          </w:p>
        </w:tc>
        <w:tc>
          <w:tcPr>
            <w:tcW w:w="1025" w:type="dxa"/>
            <w:vAlign w:val="center"/>
          </w:tcPr>
          <w:p w14:paraId="5F03597F" w14:textId="7EB561DB" w:rsidR="00EA27A6" w:rsidRPr="00226F9D" w:rsidRDefault="00D52E4A"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6</w:t>
            </w:r>
            <w:r w:rsidR="008960E8" w:rsidRPr="00226F9D">
              <w:rPr>
                <w:rFonts w:ascii="Times New Roman" w:eastAsia="Times New Roman" w:hAnsi="Times New Roman" w:cs="Times New Roman"/>
                <w:sz w:val="20"/>
                <w:szCs w:val="20"/>
                <w:lang w:val="sr-Cyrl-RS" w:eastAsia="en-GB"/>
              </w:rPr>
              <w:t>6</w:t>
            </w:r>
            <w:r w:rsidRPr="00226F9D">
              <w:rPr>
                <w:rFonts w:ascii="Times New Roman" w:eastAsia="Times New Roman" w:hAnsi="Times New Roman" w:cs="Times New Roman"/>
                <w:sz w:val="20"/>
                <w:szCs w:val="20"/>
                <w:lang w:val="sr-Cyrl-RS" w:eastAsia="en-GB"/>
              </w:rPr>
              <w:t>%</w:t>
            </w:r>
          </w:p>
        </w:tc>
        <w:tc>
          <w:tcPr>
            <w:tcW w:w="1026" w:type="dxa"/>
            <w:vAlign w:val="center"/>
          </w:tcPr>
          <w:p w14:paraId="1E8D3C86" w14:textId="0F7803C0" w:rsidR="00EA27A6" w:rsidRPr="00226F9D" w:rsidRDefault="00D52E4A" w:rsidP="00090884">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sz w:val="20"/>
                <w:szCs w:val="20"/>
                <w:lang w:val="sr-Cyrl-RS" w:eastAsia="en-GB"/>
              </w:rPr>
              <w:t>6</w:t>
            </w:r>
            <w:r w:rsidR="008960E8" w:rsidRPr="00226F9D">
              <w:rPr>
                <w:rFonts w:ascii="Times New Roman" w:eastAsia="Times New Roman" w:hAnsi="Times New Roman" w:cs="Times New Roman"/>
                <w:sz w:val="20"/>
                <w:szCs w:val="20"/>
                <w:lang w:val="sr-Cyrl-RS" w:eastAsia="en-GB"/>
              </w:rPr>
              <w:t>7</w:t>
            </w:r>
            <w:r w:rsidRPr="00226F9D">
              <w:rPr>
                <w:rFonts w:ascii="Times New Roman" w:eastAsia="Times New Roman" w:hAnsi="Times New Roman" w:cs="Times New Roman"/>
                <w:sz w:val="20"/>
                <w:szCs w:val="20"/>
                <w:lang w:val="sr-Cyrl-RS" w:eastAsia="en-GB"/>
              </w:rPr>
              <w:t>%</w:t>
            </w:r>
          </w:p>
        </w:tc>
      </w:tr>
    </w:tbl>
    <w:p w14:paraId="4F773EC7" w14:textId="77777777" w:rsidR="00CF32C3" w:rsidRPr="00226F9D" w:rsidRDefault="00CF32C3" w:rsidP="00090884">
      <w:pPr>
        <w:spacing w:after="0" w:line="240" w:lineRule="auto"/>
        <w:jc w:val="both"/>
        <w:rPr>
          <w:rFonts w:ascii="Times New Roman" w:eastAsia="Times New Roman" w:hAnsi="Times New Roman" w:cs="Times New Roman"/>
          <w:color w:val="000000" w:themeColor="text1"/>
          <w:kern w:val="0"/>
          <w:sz w:val="22"/>
          <w:szCs w:val="22"/>
          <w:lang w:val="sr-Cyrl-RS" w:eastAsia="de-CH"/>
          <w14:ligatures w14:val="none"/>
        </w:rPr>
      </w:pPr>
    </w:p>
    <w:p w14:paraId="03E364B0" w14:textId="5E32819F" w:rsidR="00B82EC8" w:rsidRPr="00226F9D" w:rsidRDefault="00B82EC8" w:rsidP="006B59F4">
      <w:pPr>
        <w:spacing w:after="0" w:line="240" w:lineRule="auto"/>
        <w:jc w:val="both"/>
        <w:rPr>
          <w:rFonts w:ascii="Times New Roman" w:eastAsia="Calibri" w:hAnsi="Times New Roman" w:cs="Times New Roman"/>
          <w:lang w:val="sr-Cyrl-RS"/>
        </w:rPr>
      </w:pPr>
      <w:r w:rsidRPr="00226F9D">
        <w:rPr>
          <w:rFonts w:ascii="Times New Roman" w:eastAsia="Calibri" w:hAnsi="Times New Roman" w:cs="Times New Roman"/>
          <w:noProof/>
          <w:u w:val="single"/>
        </w:rPr>
        <w:drawing>
          <wp:anchor distT="0" distB="0" distL="114300" distR="114300" simplePos="0" relativeHeight="251658255" behindDoc="0" locked="0" layoutInCell="1" allowOverlap="1" wp14:anchorId="7145152A" wp14:editId="0249DA08">
            <wp:simplePos x="0" y="0"/>
            <wp:positionH relativeFrom="column">
              <wp:posOffset>0</wp:posOffset>
            </wp:positionH>
            <wp:positionV relativeFrom="paragraph">
              <wp:posOffset>-2540</wp:posOffset>
            </wp:positionV>
            <wp:extent cx="801370" cy="611505"/>
            <wp:effectExtent l="0" t="0" r="0" b="0"/>
            <wp:wrapThrough wrapText="bothSides">
              <wp:wrapPolygon edited="0">
                <wp:start x="0" y="0"/>
                <wp:lineTo x="0" y="20860"/>
                <wp:lineTo x="21052" y="20860"/>
                <wp:lineTo x="21052" y="0"/>
                <wp:lineTo x="0" y="0"/>
              </wp:wrapPolygon>
            </wp:wrapThrough>
            <wp:docPr id="958044185" name="Picture 1" descr="A colorful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33888" name="Picture 1" descr="A colorful circle with text&#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1370" cy="611505"/>
                    </a:xfrm>
                    <a:prstGeom prst="rect">
                      <a:avLst/>
                    </a:prstGeom>
                  </pic:spPr>
                </pic:pic>
              </a:graphicData>
            </a:graphic>
          </wp:anchor>
        </w:drawing>
      </w:r>
      <w:r w:rsidRPr="00226F9D">
        <w:rPr>
          <w:rFonts w:ascii="Times New Roman" w:eastAsia="Calibri" w:hAnsi="Times New Roman" w:cs="Times New Roman"/>
          <w:lang w:val="sr-Cyrl-RS"/>
        </w:rPr>
        <w:t xml:space="preserve">У погледу доприноса Агенди 2030 на нивоу </w:t>
      </w:r>
      <w:r w:rsidR="00913813" w:rsidRPr="00226F9D">
        <w:rPr>
          <w:rFonts w:ascii="Times New Roman" w:eastAsia="Calibri" w:hAnsi="Times New Roman" w:cs="Times New Roman"/>
          <w:b/>
          <w:bCs/>
          <w:lang w:val="sr-Cyrl-RS"/>
        </w:rPr>
        <w:t>четвртог</w:t>
      </w:r>
      <w:r w:rsidRPr="00226F9D">
        <w:rPr>
          <w:rFonts w:ascii="Times New Roman" w:eastAsia="Calibri" w:hAnsi="Times New Roman" w:cs="Times New Roman"/>
          <w:b/>
          <w:bCs/>
          <w:lang w:val="sr-Cyrl-RS"/>
        </w:rPr>
        <w:t xml:space="preserve"> посебног циља</w:t>
      </w:r>
      <w:r w:rsidRPr="00226F9D">
        <w:rPr>
          <w:rFonts w:ascii="Times New Roman" w:eastAsia="Calibri" w:hAnsi="Times New Roman" w:cs="Times New Roman"/>
          <w:lang w:val="sr-Cyrl-RS"/>
        </w:rPr>
        <w:t xml:space="preserve"> ПРСЛС 2026-2030 - релевантан је посебно показатељ који </w:t>
      </w:r>
      <w:r w:rsidR="00A067DB" w:rsidRPr="00226F9D">
        <w:rPr>
          <w:rFonts w:ascii="Times New Roman" w:eastAsia="Calibri" w:hAnsi="Times New Roman" w:cs="Times New Roman"/>
          <w:lang w:val="sr-Cyrl-RS"/>
        </w:rPr>
        <w:t xml:space="preserve">указује </w:t>
      </w:r>
      <w:r w:rsidR="004E13C6" w:rsidRPr="00226F9D">
        <w:rPr>
          <w:rFonts w:ascii="Times New Roman" w:eastAsia="Calibri" w:hAnsi="Times New Roman" w:cs="Times New Roman"/>
          <w:lang w:val="sr-Cyrl-RS"/>
        </w:rPr>
        <w:t xml:space="preserve">на </w:t>
      </w:r>
      <w:r w:rsidR="005E21A0" w:rsidRPr="00226F9D">
        <w:rPr>
          <w:rFonts w:ascii="Times New Roman" w:eastAsia="Calibri" w:hAnsi="Times New Roman" w:cs="Times New Roman"/>
          <w:lang w:val="sr-Cyrl-RS"/>
        </w:rPr>
        <w:t>жеље</w:t>
      </w:r>
      <w:r w:rsidR="0092044D" w:rsidRPr="00226F9D">
        <w:rPr>
          <w:rFonts w:ascii="Times New Roman" w:eastAsia="Calibri" w:hAnsi="Times New Roman" w:cs="Times New Roman"/>
          <w:lang w:val="sr-Cyrl-RS"/>
        </w:rPr>
        <w:t xml:space="preserve">но повећање у </w:t>
      </w:r>
      <w:r w:rsidR="004E13C6" w:rsidRPr="00226F9D">
        <w:rPr>
          <w:rFonts w:ascii="Times New Roman" w:eastAsia="Calibri" w:hAnsi="Times New Roman" w:cs="Times New Roman"/>
          <w:lang w:val="sr-Cyrl-RS"/>
        </w:rPr>
        <w:t>ниво</w:t>
      </w:r>
      <w:r w:rsidR="0092044D" w:rsidRPr="00226F9D">
        <w:rPr>
          <w:rFonts w:ascii="Times New Roman" w:eastAsia="Calibri" w:hAnsi="Times New Roman" w:cs="Times New Roman"/>
          <w:lang w:val="sr-Cyrl-RS"/>
        </w:rPr>
        <w:t>у/обухвату</w:t>
      </w:r>
      <w:r w:rsidR="004E13C6" w:rsidRPr="00226F9D">
        <w:rPr>
          <w:rFonts w:ascii="Times New Roman" w:eastAsia="Calibri" w:hAnsi="Times New Roman" w:cs="Times New Roman"/>
          <w:lang w:val="sr-Cyrl-RS"/>
        </w:rPr>
        <w:t xml:space="preserve"> </w:t>
      </w:r>
      <w:r w:rsidR="00E66DA8" w:rsidRPr="00226F9D">
        <w:rPr>
          <w:rFonts w:ascii="Times New Roman" w:eastAsia="Calibri" w:hAnsi="Times New Roman" w:cs="Times New Roman"/>
          <w:lang w:val="sr-Cyrl-RS"/>
        </w:rPr>
        <w:t xml:space="preserve">функција </w:t>
      </w:r>
      <w:r w:rsidR="0092044D" w:rsidRPr="00226F9D">
        <w:rPr>
          <w:rFonts w:ascii="Times New Roman" w:eastAsia="Calibri" w:hAnsi="Times New Roman" w:cs="Times New Roman"/>
          <w:lang w:val="sr-Cyrl-RS"/>
        </w:rPr>
        <w:t>у надлежности ЈЛС</w:t>
      </w:r>
      <w:r w:rsidRPr="00226F9D">
        <w:rPr>
          <w:rFonts w:ascii="Times New Roman" w:eastAsia="Calibri" w:hAnsi="Times New Roman" w:cs="Times New Roman"/>
          <w:lang w:val="sr-Cyrl-RS"/>
        </w:rPr>
        <w:t xml:space="preserve">, </w:t>
      </w:r>
      <w:r w:rsidR="00D04200" w:rsidRPr="00226F9D">
        <w:rPr>
          <w:rFonts w:ascii="Times New Roman" w:eastAsia="Calibri" w:hAnsi="Times New Roman" w:cs="Times New Roman"/>
          <w:lang w:val="sr-Cyrl-RS"/>
        </w:rPr>
        <w:t xml:space="preserve">а </w:t>
      </w:r>
      <w:r w:rsidR="00591CA5" w:rsidRPr="00226F9D">
        <w:rPr>
          <w:rFonts w:ascii="Times New Roman" w:eastAsia="Calibri" w:hAnsi="Times New Roman" w:cs="Times New Roman"/>
          <w:lang w:val="sr-Cyrl-RS"/>
        </w:rPr>
        <w:t xml:space="preserve">што се </w:t>
      </w:r>
      <w:r w:rsidR="005B64F9" w:rsidRPr="00226F9D">
        <w:rPr>
          <w:rFonts w:ascii="Times New Roman" w:eastAsia="Calibri" w:hAnsi="Times New Roman" w:cs="Times New Roman"/>
          <w:lang w:val="sr-Cyrl-RS"/>
        </w:rPr>
        <w:t xml:space="preserve">у контексту ЦОР </w:t>
      </w:r>
      <w:r w:rsidR="00D85688" w:rsidRPr="00226F9D">
        <w:rPr>
          <w:rFonts w:ascii="Times New Roman" w:eastAsia="Calibri" w:hAnsi="Times New Roman" w:cs="Times New Roman"/>
          <w:lang w:val="sr-Cyrl-RS"/>
        </w:rPr>
        <w:t xml:space="preserve">прати из перспективе </w:t>
      </w:r>
      <w:r w:rsidR="0059076D" w:rsidRPr="00226F9D">
        <w:rPr>
          <w:rFonts w:ascii="Times New Roman" w:eastAsia="Calibri" w:hAnsi="Times New Roman" w:cs="Times New Roman"/>
          <w:lang w:val="sr-Cyrl-RS"/>
        </w:rPr>
        <w:t xml:space="preserve">корисника услуга које ЈЛС пружају, </w:t>
      </w:r>
      <w:r w:rsidRPr="00226F9D">
        <w:rPr>
          <w:rFonts w:ascii="Times New Roman" w:eastAsia="Calibri" w:hAnsi="Times New Roman" w:cs="Times New Roman"/>
          <w:lang w:val="sr-Cyrl-RS"/>
        </w:rPr>
        <w:t>тако да је основни приказ ових веза како следи:</w:t>
      </w:r>
    </w:p>
    <w:p w14:paraId="457B151A" w14:textId="77777777" w:rsidR="005E6EB0" w:rsidRPr="00226F9D" w:rsidRDefault="005E6EB0" w:rsidP="006B59F4">
      <w:pPr>
        <w:spacing w:after="0" w:line="240" w:lineRule="auto"/>
        <w:jc w:val="both"/>
        <w:rPr>
          <w:rFonts w:ascii="Times New Roman" w:eastAsia="Calibri" w:hAnsi="Times New Roman" w:cs="Times New Roman"/>
          <w:lang w:val="sr-Cyrl-RS"/>
        </w:rPr>
      </w:pPr>
    </w:p>
    <w:p w14:paraId="459A5DBF" w14:textId="77777777" w:rsidR="00B82EC8" w:rsidRPr="00226F9D" w:rsidRDefault="00B82EC8" w:rsidP="006B59F4">
      <w:pPr>
        <w:spacing w:after="0" w:line="240" w:lineRule="auto"/>
        <w:jc w:val="both"/>
        <w:rPr>
          <w:rFonts w:ascii="Times New Roman" w:eastAsia="Calibri" w:hAnsi="Times New Roman" w:cs="Times New Roman"/>
          <w:lang w:val="sr-Cyrl-RS"/>
        </w:rPr>
      </w:pPr>
    </w:p>
    <w:tbl>
      <w:tblPr>
        <w:tblW w:w="5000" w:type="pct"/>
        <w:tblInd w:w="-5" w:type="dxa"/>
        <w:tblCellMar>
          <w:top w:w="57" w:type="dxa"/>
          <w:bottom w:w="57" w:type="dxa"/>
        </w:tblCellMar>
        <w:tblLook w:val="04A0" w:firstRow="1" w:lastRow="0" w:firstColumn="1" w:lastColumn="0" w:noHBand="0" w:noVBand="1"/>
      </w:tblPr>
      <w:tblGrid>
        <w:gridCol w:w="1896"/>
        <w:gridCol w:w="1895"/>
        <w:gridCol w:w="2130"/>
        <w:gridCol w:w="3701"/>
      </w:tblGrid>
      <w:tr w:rsidR="00FB1C71" w:rsidRPr="00226F9D" w14:paraId="69C3D334" w14:textId="77777777" w:rsidTr="008A5A2C">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4E0B4FDD" w14:textId="77777777" w:rsidR="00B82EC8" w:rsidRPr="00226F9D" w:rsidRDefault="00B82EC8" w:rsidP="008A5A2C">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ПОСЕБНИ ЦИЉ ПРСЛС 2026-2030</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2303A535" w14:textId="77777777" w:rsidR="00B82EC8" w:rsidRPr="00226F9D" w:rsidRDefault="00B82EC8" w:rsidP="008A5A2C">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Показатељ циља у ПРСЛС</w:t>
            </w:r>
          </w:p>
        </w:tc>
        <w:tc>
          <w:tcPr>
            <w:tcW w:w="2071" w:type="dxa"/>
            <w:tcBorders>
              <w:top w:val="single" w:sz="4" w:space="0" w:color="auto"/>
              <w:left w:val="single" w:sz="4" w:space="0" w:color="auto"/>
              <w:bottom w:val="single" w:sz="4" w:space="0" w:color="auto"/>
              <w:right w:val="single" w:sz="4" w:space="0" w:color="auto"/>
            </w:tcBorders>
            <w:shd w:val="clear" w:color="auto" w:fill="FFFFFF"/>
            <w:hideMark/>
          </w:tcPr>
          <w:p w14:paraId="5DE5A683" w14:textId="38A94CEB" w:rsidR="00B82EC8" w:rsidRPr="00226F9D" w:rsidRDefault="00B82EC8" w:rsidP="008A5A2C">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Веза са потциљем одрживог развоја</w:t>
            </w:r>
          </w:p>
        </w:tc>
        <w:tc>
          <w:tcPr>
            <w:tcW w:w="3599" w:type="dxa"/>
            <w:tcBorders>
              <w:top w:val="single" w:sz="4" w:space="0" w:color="auto"/>
              <w:left w:val="single" w:sz="4" w:space="0" w:color="auto"/>
              <w:bottom w:val="single" w:sz="4" w:space="0" w:color="auto"/>
              <w:right w:val="single" w:sz="4" w:space="0" w:color="auto"/>
            </w:tcBorders>
            <w:shd w:val="clear" w:color="auto" w:fill="FFFFFF"/>
            <w:hideMark/>
          </w:tcPr>
          <w:p w14:paraId="4E31DBA3" w14:textId="77777777" w:rsidR="00B82EC8" w:rsidRPr="00226F9D" w:rsidRDefault="00B82EC8" w:rsidP="008A5A2C">
            <w:pPr>
              <w:spacing w:after="0" w:line="240" w:lineRule="auto"/>
              <w:rPr>
                <w:rFonts w:ascii="Times New Roman" w:eastAsia="Times New Roman" w:hAnsi="Times New Roman" w:cs="Times New Roman"/>
                <w:b/>
                <w:bCs/>
                <w:i/>
                <w:iCs/>
                <w:color w:val="000000"/>
                <w:kern w:val="0"/>
                <w:sz w:val="20"/>
                <w:szCs w:val="20"/>
                <w:lang w:val="sr-Cyrl-RS" w:eastAsia="en-GB"/>
                <w14:ligatures w14:val="none"/>
              </w:rPr>
            </w:pPr>
            <w:r w:rsidRPr="00226F9D">
              <w:rPr>
                <w:rFonts w:ascii="Times New Roman" w:eastAsia="Times New Roman" w:hAnsi="Times New Roman" w:cs="Times New Roman"/>
                <w:b/>
                <w:bCs/>
                <w:i/>
                <w:iCs/>
                <w:color w:val="000000"/>
                <w:kern w:val="0"/>
                <w:sz w:val="20"/>
                <w:szCs w:val="20"/>
                <w:lang w:val="sr-Cyrl-RS" w:eastAsia="en-GB"/>
                <w14:ligatures w14:val="none"/>
              </w:rPr>
              <w:t xml:space="preserve">     Веза са показатељем ЦОР</w:t>
            </w:r>
          </w:p>
        </w:tc>
      </w:tr>
      <w:tr w:rsidR="00E80D7D" w:rsidRPr="00226F9D" w14:paraId="7B406A90" w14:textId="77777777" w:rsidTr="008A5A2C">
        <w:trPr>
          <w:trHeight w:val="2151"/>
        </w:trPr>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119E3C06" w14:textId="081B9730" w:rsidR="00B82EC8" w:rsidRPr="00226F9D" w:rsidRDefault="007B3970"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4</w:t>
            </w:r>
            <w:r w:rsidR="00B82EC8" w:rsidRPr="00226F9D">
              <w:rPr>
                <w:rFonts w:ascii="Times New Roman" w:eastAsia="Times New Roman" w:hAnsi="Times New Roman" w:cs="Times New Roman"/>
                <w:i/>
                <w:iCs/>
                <w:color w:val="000000"/>
                <w:kern w:val="0"/>
                <w:sz w:val="20"/>
                <w:szCs w:val="20"/>
                <w:lang w:val="sr-Cyrl-RS" w:eastAsia="en-GB"/>
                <w14:ligatures w14:val="none"/>
              </w:rPr>
              <w:t>:</w:t>
            </w:r>
            <w:r w:rsidR="005E6EB0" w:rsidRPr="00226F9D">
              <w:rPr>
                <w:rFonts w:ascii="Times New Roman" w:eastAsia="Times New Roman" w:hAnsi="Times New Roman" w:cs="Times New Roman"/>
                <w:i/>
                <w:iCs/>
                <w:color w:val="000000"/>
                <w:kern w:val="0"/>
                <w:sz w:val="20"/>
                <w:szCs w:val="20"/>
                <w:lang w:val="sr-Cyrl-RS" w:eastAsia="en-GB"/>
                <w14:ligatures w14:val="none"/>
              </w:rPr>
              <w:t xml:space="preserve"> </w:t>
            </w:r>
            <w:r w:rsidR="00153EAC" w:rsidRPr="00226F9D">
              <w:rPr>
                <w:rFonts w:ascii="Times New Roman" w:eastAsia="Times New Roman" w:hAnsi="Times New Roman" w:cs="Times New Roman"/>
                <w:i/>
                <w:iCs/>
                <w:color w:val="000000"/>
                <w:kern w:val="0"/>
                <w:sz w:val="20"/>
                <w:szCs w:val="20"/>
                <w:lang w:val="sr-Cyrl-RS" w:eastAsia="en-GB"/>
                <w14:ligatures w14:val="none"/>
              </w:rPr>
              <w:t>Унапређење квалитета и доступности услуга локалних органа управе, комуналних услуга и услуга јавних установа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CB2BAF" w14:textId="77777777" w:rsidR="00C454A8" w:rsidRPr="00226F9D" w:rsidRDefault="00C454A8"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p>
          <w:p w14:paraId="6135BA1B" w14:textId="43A4367D" w:rsidR="00B82EC8" w:rsidRPr="00226F9D" w:rsidRDefault="002D096B" w:rsidP="00090884">
            <w:pPr>
              <w:spacing w:after="0" w:line="240" w:lineRule="auto"/>
              <w:jc w:val="both"/>
              <w:rPr>
                <w:rFonts w:ascii="Times New Roman" w:eastAsia="Calibri" w:hAnsi="Times New Roman" w:cs="Times New Roman"/>
                <w:i/>
                <w:iCs/>
                <w:color w:val="000000"/>
                <w:kern w:val="0"/>
                <w:sz w:val="20"/>
                <w:szCs w:val="20"/>
                <w:lang w:val="sr-Cyrl-RS"/>
                <w14:ligatures w14:val="none"/>
              </w:rPr>
            </w:pPr>
            <w:r w:rsidRPr="00226F9D">
              <w:rPr>
                <w:rFonts w:ascii="Times New Roman" w:eastAsia="Calibri" w:hAnsi="Times New Roman" w:cs="Times New Roman"/>
                <w:i/>
                <w:iCs/>
                <w:color w:val="000000"/>
                <w:kern w:val="0"/>
                <w:sz w:val="20"/>
                <w:szCs w:val="20"/>
                <w:lang w:val="sr-Cyrl-RS"/>
                <w14:ligatures w14:val="none"/>
              </w:rPr>
              <w:t xml:space="preserve">Ниво функција за које су ЈЛС преузеле одговорност </w:t>
            </w:r>
          </w:p>
        </w:tc>
        <w:tc>
          <w:tcPr>
            <w:tcW w:w="2071" w:type="dxa"/>
            <w:tcBorders>
              <w:top w:val="single" w:sz="4" w:space="0" w:color="auto"/>
              <w:left w:val="single" w:sz="4" w:space="0" w:color="auto"/>
              <w:bottom w:val="single" w:sz="4" w:space="0" w:color="auto"/>
              <w:right w:val="single" w:sz="4" w:space="0" w:color="auto"/>
            </w:tcBorders>
            <w:shd w:val="clear" w:color="auto" w:fill="FFFFFF"/>
          </w:tcPr>
          <w:p w14:paraId="3391EF26" w14:textId="77777777" w:rsidR="00B82EC8" w:rsidRPr="00226F9D" w:rsidRDefault="00B82EC8"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0176CEB4" w14:textId="77777777" w:rsidR="00BD6C5E" w:rsidRPr="00226F9D" w:rsidRDefault="00BD6C5E"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2A14B711" w14:textId="77777777" w:rsidR="00BD6C5E" w:rsidRPr="00226F9D" w:rsidRDefault="00BD6C5E"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28F0A6D1" w14:textId="2D6F7D17" w:rsidR="00BD6C5E" w:rsidRPr="00226F9D" w:rsidRDefault="005F40DF" w:rsidP="0009088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16.6</w:t>
            </w:r>
          </w:p>
        </w:tc>
        <w:tc>
          <w:tcPr>
            <w:tcW w:w="3599" w:type="dxa"/>
            <w:tcBorders>
              <w:top w:val="single" w:sz="4" w:space="0" w:color="auto"/>
              <w:left w:val="single" w:sz="4" w:space="0" w:color="auto"/>
              <w:bottom w:val="single" w:sz="4" w:space="0" w:color="auto"/>
              <w:right w:val="single" w:sz="4" w:space="0" w:color="auto"/>
            </w:tcBorders>
            <w:shd w:val="clear" w:color="auto" w:fill="FFFFFF"/>
          </w:tcPr>
          <w:p w14:paraId="733E8E4C" w14:textId="77777777" w:rsidR="00BD6C5E" w:rsidRPr="00226F9D" w:rsidRDefault="00BD6C5E"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588DB579" w14:textId="77777777" w:rsidR="00BD6C5E" w:rsidRPr="00226F9D" w:rsidRDefault="00BD6C5E"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p>
          <w:p w14:paraId="7382C805" w14:textId="0768BFAB" w:rsidR="00B82EC8" w:rsidRPr="00226F9D" w:rsidRDefault="00BD6C5E" w:rsidP="006B59F4">
            <w:pPr>
              <w:spacing w:after="0" w:line="240" w:lineRule="auto"/>
              <w:jc w:val="both"/>
              <w:rPr>
                <w:rFonts w:ascii="Times New Roman" w:eastAsia="Times New Roman" w:hAnsi="Times New Roman" w:cs="Times New Roman"/>
                <w:i/>
                <w:iCs/>
                <w:color w:val="000000"/>
                <w:kern w:val="0"/>
                <w:sz w:val="20"/>
                <w:szCs w:val="20"/>
                <w:lang w:val="sr-Cyrl-RS" w:eastAsia="en-GB"/>
                <w14:ligatures w14:val="none"/>
              </w:rPr>
            </w:pPr>
            <w:r w:rsidRPr="00226F9D">
              <w:rPr>
                <w:rFonts w:ascii="Times New Roman" w:eastAsia="Times New Roman" w:hAnsi="Times New Roman" w:cs="Times New Roman"/>
                <w:i/>
                <w:iCs/>
                <w:color w:val="000000"/>
                <w:kern w:val="0"/>
                <w:sz w:val="20"/>
                <w:szCs w:val="20"/>
                <w:lang w:val="sr-Cyrl-RS" w:eastAsia="en-GB"/>
                <w14:ligatures w14:val="none"/>
              </w:rPr>
              <w:t>16.6.2 Удео становништва које је задовољно својим последњим искуством са јавним службама</w:t>
            </w:r>
          </w:p>
        </w:tc>
      </w:tr>
    </w:tbl>
    <w:p w14:paraId="77F76573" w14:textId="77777777" w:rsidR="00B82EC8" w:rsidRPr="00226F9D" w:rsidRDefault="00B82EC8" w:rsidP="00090884">
      <w:pPr>
        <w:spacing w:after="0" w:line="240" w:lineRule="auto"/>
        <w:jc w:val="both"/>
        <w:rPr>
          <w:rFonts w:ascii="Times New Roman" w:eastAsia="Arial" w:hAnsi="Times New Roman" w:cs="Times New Roman"/>
          <w:b/>
          <w:color w:val="000000" w:themeColor="text1"/>
          <w:kern w:val="0"/>
          <w:lang w:val="sr-Cyrl-RS"/>
          <w14:ligatures w14:val="none"/>
        </w:rPr>
      </w:pPr>
    </w:p>
    <w:p w14:paraId="7F60910C" w14:textId="16DE34B8" w:rsidR="000457A0" w:rsidRPr="00226F9D" w:rsidRDefault="000457A0" w:rsidP="000457A0">
      <w:pPr>
        <w:spacing w:after="0" w:line="240" w:lineRule="auto"/>
        <w:jc w:val="both"/>
        <w:rPr>
          <w:rFonts w:ascii="Times New Roman" w:eastAsia="Times New Roman" w:hAnsi="Times New Roman" w:cs="Times New Roman"/>
          <w:lang w:val="sr-Cyrl-RS" w:eastAsia="de-CH"/>
        </w:rPr>
      </w:pPr>
      <w:r w:rsidRPr="00226F9D">
        <w:rPr>
          <w:rFonts w:ascii="Times New Roman" w:eastAsia="Times New Roman" w:hAnsi="Times New Roman" w:cs="Times New Roman"/>
          <w:u w:val="single"/>
          <w:lang w:val="sr-Cyrl-RS" w:eastAsia="de-CH"/>
        </w:rPr>
        <w:t>Опције за достизање Посебног циља 4 – приказ адаптације у односу на претходни програмски период и одговор прилагођеног сета мера на препознате ризике</w:t>
      </w:r>
      <w:r w:rsidRPr="00226F9D">
        <w:rPr>
          <w:rFonts w:ascii="Times New Roman" w:eastAsia="Times New Roman" w:hAnsi="Times New Roman" w:cs="Times New Roman"/>
          <w:lang w:val="sr-Cyrl-RS" w:eastAsia="de-CH"/>
        </w:rPr>
        <w:t>:</w:t>
      </w:r>
    </w:p>
    <w:p w14:paraId="36A97EA8" w14:textId="77777777" w:rsidR="000457A0" w:rsidRPr="00226F9D" w:rsidRDefault="000457A0" w:rsidP="000457A0">
      <w:pPr>
        <w:spacing w:after="0" w:line="240" w:lineRule="auto"/>
        <w:jc w:val="both"/>
        <w:rPr>
          <w:rFonts w:ascii="Times New Roman" w:eastAsia="Times New Roman" w:hAnsi="Times New Roman" w:cs="Times New Roman"/>
          <w:kern w:val="0"/>
          <w:lang w:val="sr-Cyrl-RS" w:eastAsia="de-CH"/>
          <w14:ligatures w14:val="none"/>
        </w:rPr>
      </w:pPr>
    </w:p>
    <w:p w14:paraId="5F865295" w14:textId="0DDCDAB6" w:rsidR="006A532B" w:rsidRPr="00226F9D" w:rsidRDefault="000457A0" w:rsidP="00286BB2">
      <w:pPr>
        <w:spacing w:after="0" w:line="240" w:lineRule="auto"/>
        <w:jc w:val="both"/>
        <w:rPr>
          <w:rFonts w:ascii="Times New Roman" w:eastAsia="Times New Roman" w:hAnsi="Times New Roman" w:cs="Times New Roman"/>
          <w:kern w:val="0"/>
          <w:lang w:val="sr-Latn-RS" w:eastAsia="de-CH"/>
          <w14:ligatures w14:val="none"/>
        </w:rPr>
      </w:pPr>
      <w:r w:rsidRPr="00226F9D">
        <w:rPr>
          <w:rFonts w:ascii="Times New Roman" w:eastAsia="Times New Roman" w:hAnsi="Times New Roman" w:cs="Times New Roman"/>
          <w:kern w:val="0"/>
          <w:lang w:val="sr-Cyrl-RS" w:eastAsia="de-CH"/>
          <w14:ligatures w14:val="none"/>
        </w:rPr>
        <w:t>У детаљном разматрању опција и анализи ефеката на нивоу овог циља у оквиру ПРСЛС 2021-2025, аргументован је и опредељен избор опције усмерене на</w:t>
      </w:r>
      <w:r w:rsidR="00F5774D" w:rsidRPr="00226F9D">
        <w:rPr>
          <w:rFonts w:ascii="Times New Roman" w:hAnsi="Times New Roman" w:cs="Times New Roman"/>
          <w:lang w:val="sr-Cyrl-RS"/>
        </w:rPr>
        <w:t xml:space="preserve"> </w:t>
      </w:r>
      <w:r w:rsidR="00F5774D" w:rsidRPr="00226F9D">
        <w:rPr>
          <w:rFonts w:ascii="Times New Roman" w:eastAsia="Times New Roman" w:hAnsi="Times New Roman" w:cs="Times New Roman"/>
          <w:i/>
          <w:iCs/>
          <w:kern w:val="0"/>
          <w:lang w:val="sr-Cyrl-RS" w:eastAsia="de-CH"/>
          <w14:ligatures w14:val="none"/>
        </w:rPr>
        <w:t>измене законског оквира који уређује пружање услуга уз појачано коришћење постојећих институционалних механизама</w:t>
      </w:r>
      <w:r w:rsidRPr="00226F9D">
        <w:rPr>
          <w:rFonts w:ascii="Times New Roman" w:eastAsia="Times New Roman" w:hAnsi="Times New Roman" w:cs="Times New Roman"/>
          <w:kern w:val="0"/>
          <w:lang w:val="sr-Cyrl-RS" w:eastAsia="de-CH"/>
          <w14:ligatures w14:val="none"/>
        </w:rPr>
        <w:t>. Ова опција остаје валидна за нови програмски период, уз адаптације и одређено иновирање сета мера руковођено:</w:t>
      </w:r>
      <w:r w:rsidR="005F2BDB" w:rsidRPr="00226F9D">
        <w:rPr>
          <w:rFonts w:ascii="Times New Roman" w:eastAsia="Times New Roman" w:hAnsi="Times New Roman" w:cs="Times New Roman"/>
          <w:kern w:val="0"/>
          <w:lang w:val="sr-Cyrl-RS" w:eastAsia="de-CH"/>
          <w14:ligatures w14:val="none"/>
        </w:rPr>
        <w:t xml:space="preserve"> </w:t>
      </w:r>
      <w:r w:rsidR="000E2E85" w:rsidRPr="00226F9D">
        <w:rPr>
          <w:rFonts w:ascii="Times New Roman" w:eastAsia="Times New Roman" w:hAnsi="Times New Roman" w:cs="Times New Roman"/>
          <w:kern w:val="0"/>
          <w:lang w:val="sr-Cyrl-RS" w:eastAsia="de-CH"/>
          <w14:ligatures w14:val="none"/>
        </w:rPr>
        <w:t>1)</w:t>
      </w:r>
      <w:r w:rsidR="00286BB2" w:rsidRPr="00226F9D">
        <w:rPr>
          <w:rFonts w:ascii="Times New Roman" w:eastAsia="Times New Roman" w:hAnsi="Times New Roman" w:cs="Times New Roman"/>
          <w:kern w:val="0"/>
          <w:lang w:val="sr-Cyrl-RS" w:eastAsia="de-CH"/>
          <w14:ligatures w14:val="none"/>
        </w:rPr>
        <w:t>искуствима стеченим у спровођењу претходног Програма</w:t>
      </w:r>
      <w:r w:rsidR="00377027" w:rsidRPr="00226F9D">
        <w:rPr>
          <w:rFonts w:ascii="Times New Roman" w:eastAsia="Times New Roman" w:hAnsi="Times New Roman" w:cs="Times New Roman"/>
          <w:kern w:val="0"/>
          <w:lang w:val="sr-Cyrl-RS" w:eastAsia="de-CH"/>
          <w14:ligatures w14:val="none"/>
        </w:rPr>
        <w:t xml:space="preserve">, а посебно </w:t>
      </w:r>
      <w:r w:rsidR="005C6B11" w:rsidRPr="00226F9D">
        <w:rPr>
          <w:rFonts w:ascii="Times New Roman" w:eastAsia="Times New Roman" w:hAnsi="Times New Roman" w:cs="Times New Roman"/>
          <w:kern w:val="0"/>
          <w:lang w:val="sr-Cyrl-RS" w:eastAsia="de-CH"/>
          <w14:ligatures w14:val="none"/>
        </w:rPr>
        <w:t xml:space="preserve">препознавањем потребе </w:t>
      </w:r>
      <w:r w:rsidR="001B400E" w:rsidRPr="00226F9D">
        <w:rPr>
          <w:rFonts w:ascii="Times New Roman" w:eastAsia="Times New Roman" w:hAnsi="Times New Roman" w:cs="Times New Roman"/>
          <w:kern w:val="0"/>
          <w:lang w:val="sr-Cyrl-RS" w:eastAsia="de-CH"/>
          <w14:ligatures w14:val="none"/>
        </w:rPr>
        <w:t xml:space="preserve">да се осигура шира аналитичка </w:t>
      </w:r>
      <w:r w:rsidR="00413DB9" w:rsidRPr="00226F9D">
        <w:rPr>
          <w:rFonts w:ascii="Times New Roman" w:eastAsia="Times New Roman" w:hAnsi="Times New Roman" w:cs="Times New Roman"/>
          <w:kern w:val="0"/>
          <w:lang w:val="sr-Cyrl-RS" w:eastAsia="de-CH"/>
          <w14:ligatures w14:val="none"/>
        </w:rPr>
        <w:t xml:space="preserve">подлога </w:t>
      </w:r>
      <w:r w:rsidR="002161A8" w:rsidRPr="00226F9D">
        <w:rPr>
          <w:rFonts w:ascii="Times New Roman" w:eastAsia="Times New Roman" w:hAnsi="Times New Roman" w:cs="Times New Roman"/>
          <w:kern w:val="0"/>
          <w:lang w:val="sr-Cyrl-RS" w:eastAsia="de-CH"/>
          <w14:ligatures w14:val="none"/>
        </w:rPr>
        <w:t xml:space="preserve">за </w:t>
      </w:r>
      <w:r w:rsidR="00E301ED" w:rsidRPr="00226F9D">
        <w:rPr>
          <w:rFonts w:ascii="Times New Roman" w:eastAsia="Times New Roman" w:hAnsi="Times New Roman" w:cs="Times New Roman"/>
          <w:kern w:val="0"/>
          <w:lang w:val="sr-Cyrl-RS" w:eastAsia="de-CH"/>
          <w14:ligatures w14:val="none"/>
        </w:rPr>
        <w:t xml:space="preserve">разматрање могућности </w:t>
      </w:r>
      <w:r w:rsidR="002161A8" w:rsidRPr="00226F9D">
        <w:rPr>
          <w:rFonts w:ascii="Times New Roman" w:eastAsia="Times New Roman" w:hAnsi="Times New Roman" w:cs="Times New Roman"/>
          <w:kern w:val="0"/>
          <w:lang w:val="sr-Cyrl-RS" w:eastAsia="de-CH"/>
          <w14:ligatures w14:val="none"/>
        </w:rPr>
        <w:t>ефикасниј</w:t>
      </w:r>
      <w:r w:rsidR="00E301ED" w:rsidRPr="00226F9D">
        <w:rPr>
          <w:rFonts w:ascii="Times New Roman" w:eastAsia="Times New Roman" w:hAnsi="Times New Roman" w:cs="Times New Roman"/>
          <w:kern w:val="0"/>
          <w:lang w:val="sr-Cyrl-RS" w:eastAsia="de-CH"/>
          <w14:ligatures w14:val="none"/>
        </w:rPr>
        <w:t>е</w:t>
      </w:r>
      <w:r w:rsidR="002161A8" w:rsidRPr="00226F9D">
        <w:rPr>
          <w:rFonts w:ascii="Times New Roman" w:eastAsia="Times New Roman" w:hAnsi="Times New Roman" w:cs="Times New Roman"/>
          <w:kern w:val="0"/>
          <w:lang w:val="sr-Cyrl-RS" w:eastAsia="de-CH"/>
          <w14:ligatures w14:val="none"/>
        </w:rPr>
        <w:t xml:space="preserve"> расподел</w:t>
      </w:r>
      <w:r w:rsidR="00E301ED" w:rsidRPr="00226F9D">
        <w:rPr>
          <w:rFonts w:ascii="Times New Roman" w:eastAsia="Times New Roman" w:hAnsi="Times New Roman" w:cs="Times New Roman"/>
          <w:kern w:val="0"/>
          <w:lang w:val="sr-Cyrl-RS" w:eastAsia="de-CH"/>
          <w14:ligatures w14:val="none"/>
        </w:rPr>
        <w:t>е</w:t>
      </w:r>
      <w:r w:rsidR="002161A8" w:rsidRPr="00226F9D">
        <w:rPr>
          <w:rFonts w:ascii="Times New Roman" w:eastAsia="Times New Roman" w:hAnsi="Times New Roman" w:cs="Times New Roman"/>
          <w:kern w:val="0"/>
          <w:lang w:val="sr-Cyrl-RS" w:eastAsia="de-CH"/>
          <w14:ligatures w14:val="none"/>
        </w:rPr>
        <w:t xml:space="preserve"> надлежности за јавне услуге и послове</w:t>
      </w:r>
      <w:r w:rsidR="000977C5" w:rsidRPr="00226F9D">
        <w:rPr>
          <w:rFonts w:ascii="Times New Roman" w:eastAsia="Times New Roman" w:hAnsi="Times New Roman" w:cs="Times New Roman"/>
          <w:kern w:val="0"/>
          <w:lang w:val="sr-Cyrl-RS" w:eastAsia="de-CH"/>
          <w14:ligatures w14:val="none"/>
        </w:rPr>
        <w:t>;</w:t>
      </w:r>
      <w:r w:rsidR="00916A74" w:rsidRPr="00226F9D">
        <w:rPr>
          <w:rFonts w:ascii="Times New Roman" w:eastAsia="Times New Roman" w:hAnsi="Times New Roman" w:cs="Times New Roman"/>
          <w:kern w:val="0"/>
          <w:lang w:val="sr-Cyrl-RS" w:eastAsia="de-CH"/>
          <w14:ligatures w14:val="none"/>
        </w:rPr>
        <w:t xml:space="preserve"> </w:t>
      </w:r>
      <w:r w:rsidR="000E2E85" w:rsidRPr="00226F9D">
        <w:rPr>
          <w:rFonts w:ascii="Times New Roman" w:eastAsia="Times New Roman" w:hAnsi="Times New Roman" w:cs="Times New Roman"/>
          <w:kern w:val="0"/>
          <w:lang w:val="sr-Cyrl-RS" w:eastAsia="de-CH"/>
          <w14:ligatures w14:val="none"/>
        </w:rPr>
        <w:t>2)</w:t>
      </w:r>
      <w:r w:rsidR="00286BB2" w:rsidRPr="00226F9D">
        <w:rPr>
          <w:rFonts w:ascii="Times New Roman" w:eastAsia="Times New Roman" w:hAnsi="Times New Roman" w:cs="Times New Roman"/>
          <w:kern w:val="0"/>
          <w:lang w:val="sr-Cyrl-RS" w:eastAsia="de-CH"/>
          <w14:ligatures w14:val="none"/>
        </w:rPr>
        <w:t>бољим фокусирањем планова и ресурса,</w:t>
      </w:r>
      <w:r w:rsidR="005A1906" w:rsidRPr="00226F9D">
        <w:rPr>
          <w:rFonts w:ascii="Times New Roman" w:eastAsia="Times New Roman" w:hAnsi="Times New Roman" w:cs="Times New Roman"/>
          <w:kern w:val="0"/>
          <w:lang w:val="sr-Cyrl-RS" w:eastAsia="de-CH"/>
          <w14:ligatures w14:val="none"/>
        </w:rPr>
        <w:t xml:space="preserve"> уз мањи обухват секторских области</w:t>
      </w:r>
      <w:r w:rsidR="009E3ECA" w:rsidRPr="00226F9D">
        <w:rPr>
          <w:rFonts w:ascii="Times New Roman" w:eastAsia="Times New Roman" w:hAnsi="Times New Roman" w:cs="Times New Roman"/>
          <w:kern w:val="0"/>
          <w:lang w:val="sr-Cyrl-RS" w:eastAsia="de-CH"/>
          <w14:ligatures w14:val="none"/>
        </w:rPr>
        <w:t xml:space="preserve">; </w:t>
      </w:r>
      <w:r w:rsidR="000E2E85" w:rsidRPr="00226F9D">
        <w:rPr>
          <w:rFonts w:ascii="Times New Roman" w:eastAsia="Times New Roman" w:hAnsi="Times New Roman" w:cs="Times New Roman"/>
          <w:kern w:val="0"/>
          <w:lang w:val="sr-Cyrl-RS" w:eastAsia="de-CH"/>
          <w14:ligatures w14:val="none"/>
        </w:rPr>
        <w:t>3)</w:t>
      </w:r>
      <w:r w:rsidR="00006650" w:rsidRPr="00226F9D">
        <w:rPr>
          <w:rFonts w:ascii="Times New Roman" w:eastAsia="Times New Roman" w:hAnsi="Times New Roman" w:cs="Times New Roman"/>
          <w:kern w:val="0"/>
          <w:lang w:val="sr-Cyrl-RS" w:eastAsia="de-CH"/>
          <w14:ligatures w14:val="none"/>
        </w:rPr>
        <w:t xml:space="preserve">логичнијим </w:t>
      </w:r>
      <w:r w:rsidR="004F0F83" w:rsidRPr="00226F9D">
        <w:rPr>
          <w:rFonts w:ascii="Times New Roman" w:eastAsia="Times New Roman" w:hAnsi="Times New Roman" w:cs="Times New Roman"/>
          <w:kern w:val="0"/>
          <w:lang w:val="sr-Cyrl-RS" w:eastAsia="de-CH"/>
          <w14:ligatures w14:val="none"/>
        </w:rPr>
        <w:t xml:space="preserve">груписањем </w:t>
      </w:r>
      <w:r w:rsidR="00B92CD3" w:rsidRPr="00226F9D">
        <w:rPr>
          <w:rFonts w:ascii="Times New Roman" w:eastAsia="Times New Roman" w:hAnsi="Times New Roman" w:cs="Times New Roman"/>
          <w:kern w:val="0"/>
          <w:lang w:val="sr-Cyrl-RS" w:eastAsia="de-CH"/>
          <w14:ligatures w14:val="none"/>
        </w:rPr>
        <w:t xml:space="preserve">и </w:t>
      </w:r>
      <w:r w:rsidR="00284A67" w:rsidRPr="00226F9D">
        <w:rPr>
          <w:rFonts w:ascii="Times New Roman" w:eastAsia="Times New Roman" w:hAnsi="Times New Roman" w:cs="Times New Roman"/>
          <w:kern w:val="0"/>
          <w:lang w:val="sr-Cyrl-RS" w:eastAsia="de-CH"/>
          <w14:ligatures w14:val="none"/>
        </w:rPr>
        <w:t xml:space="preserve">потенцирањем </w:t>
      </w:r>
      <w:r w:rsidR="00FC4488" w:rsidRPr="00226F9D">
        <w:rPr>
          <w:rFonts w:ascii="Times New Roman" w:eastAsia="Times New Roman" w:hAnsi="Times New Roman" w:cs="Times New Roman"/>
          <w:kern w:val="0"/>
          <w:lang w:val="sr-Cyrl-RS" w:eastAsia="de-CH"/>
          <w14:ligatures w14:val="none"/>
        </w:rPr>
        <w:t xml:space="preserve">расположивих </w:t>
      </w:r>
      <w:r w:rsidR="00284A67" w:rsidRPr="00226F9D">
        <w:rPr>
          <w:rFonts w:ascii="Times New Roman" w:eastAsia="Times New Roman" w:hAnsi="Times New Roman" w:cs="Times New Roman"/>
          <w:kern w:val="0"/>
          <w:lang w:val="sr-Cyrl-RS" w:eastAsia="de-CH"/>
          <w14:ligatures w14:val="none"/>
        </w:rPr>
        <w:t xml:space="preserve">механизама </w:t>
      </w:r>
      <w:r w:rsidR="001B3E33" w:rsidRPr="00226F9D">
        <w:rPr>
          <w:rFonts w:ascii="Times New Roman" w:eastAsia="Times New Roman" w:hAnsi="Times New Roman" w:cs="Times New Roman"/>
          <w:kern w:val="0"/>
          <w:lang w:val="sr-Cyrl-RS" w:eastAsia="de-CH"/>
          <w14:ligatures w14:val="none"/>
        </w:rPr>
        <w:t>у функцији</w:t>
      </w:r>
      <w:r w:rsidR="00284A67" w:rsidRPr="00226F9D">
        <w:rPr>
          <w:rFonts w:ascii="Times New Roman" w:eastAsia="Times New Roman" w:hAnsi="Times New Roman" w:cs="Times New Roman"/>
          <w:kern w:val="0"/>
          <w:lang w:val="sr-Cyrl-RS" w:eastAsia="de-CH"/>
          <w14:ligatures w14:val="none"/>
        </w:rPr>
        <w:t xml:space="preserve"> </w:t>
      </w:r>
      <w:r w:rsidR="00FC4488" w:rsidRPr="00226F9D">
        <w:rPr>
          <w:rFonts w:ascii="Times New Roman" w:eastAsia="Times New Roman" w:hAnsi="Times New Roman" w:cs="Times New Roman"/>
          <w:kern w:val="0"/>
          <w:lang w:val="sr-Cyrl-RS" w:eastAsia="de-CH"/>
          <w14:ligatures w14:val="none"/>
        </w:rPr>
        <w:t>унапређено</w:t>
      </w:r>
      <w:r w:rsidR="001B3E33" w:rsidRPr="00226F9D">
        <w:rPr>
          <w:rFonts w:ascii="Times New Roman" w:eastAsia="Times New Roman" w:hAnsi="Times New Roman" w:cs="Times New Roman"/>
          <w:kern w:val="0"/>
          <w:lang w:val="sr-Cyrl-RS" w:eastAsia="de-CH"/>
          <w14:ligatures w14:val="none"/>
        </w:rPr>
        <w:t>г</w:t>
      </w:r>
      <w:r w:rsidR="00FC4488" w:rsidRPr="00226F9D">
        <w:rPr>
          <w:rFonts w:ascii="Times New Roman" w:eastAsia="Times New Roman" w:hAnsi="Times New Roman" w:cs="Times New Roman"/>
          <w:kern w:val="0"/>
          <w:lang w:val="sr-Cyrl-RS" w:eastAsia="de-CH"/>
          <w14:ligatures w14:val="none"/>
        </w:rPr>
        <w:t xml:space="preserve"> пружањ</w:t>
      </w:r>
      <w:r w:rsidR="001B3E33" w:rsidRPr="00226F9D">
        <w:rPr>
          <w:rFonts w:ascii="Times New Roman" w:eastAsia="Times New Roman" w:hAnsi="Times New Roman" w:cs="Times New Roman"/>
          <w:kern w:val="0"/>
          <w:lang w:val="sr-Cyrl-RS" w:eastAsia="de-CH"/>
          <w14:ligatures w14:val="none"/>
        </w:rPr>
        <w:t>а</w:t>
      </w:r>
      <w:r w:rsidR="00FC4488" w:rsidRPr="00226F9D">
        <w:rPr>
          <w:rFonts w:ascii="Times New Roman" w:eastAsia="Times New Roman" w:hAnsi="Times New Roman" w:cs="Times New Roman"/>
          <w:kern w:val="0"/>
          <w:lang w:val="sr-Cyrl-RS" w:eastAsia="de-CH"/>
          <w14:ligatures w14:val="none"/>
        </w:rPr>
        <w:t xml:space="preserve"> услуга</w:t>
      </w:r>
      <w:r w:rsidR="004C43A3" w:rsidRPr="00226F9D">
        <w:rPr>
          <w:rFonts w:ascii="Times New Roman" w:eastAsia="Times New Roman" w:hAnsi="Times New Roman" w:cs="Times New Roman"/>
          <w:kern w:val="0"/>
          <w:lang w:val="sr-Cyrl-RS" w:eastAsia="de-CH"/>
          <w14:ligatures w14:val="none"/>
        </w:rPr>
        <w:t>.</w:t>
      </w:r>
      <w:r w:rsidR="00FC4488" w:rsidRPr="00226F9D">
        <w:rPr>
          <w:rFonts w:ascii="Times New Roman" w:eastAsia="Times New Roman" w:hAnsi="Times New Roman" w:cs="Times New Roman"/>
          <w:kern w:val="0"/>
          <w:lang w:val="sr-Cyrl-RS" w:eastAsia="de-CH"/>
          <w14:ligatures w14:val="none"/>
        </w:rPr>
        <w:t xml:space="preserve"> </w:t>
      </w:r>
    </w:p>
    <w:p w14:paraId="39C6A1A7" w14:textId="77777777" w:rsidR="007E1BCC" w:rsidRPr="00226F9D" w:rsidRDefault="007E1BCC" w:rsidP="00286BB2">
      <w:pPr>
        <w:spacing w:after="0" w:line="240" w:lineRule="auto"/>
        <w:jc w:val="both"/>
        <w:rPr>
          <w:rFonts w:ascii="Times New Roman" w:eastAsia="Times New Roman" w:hAnsi="Times New Roman" w:cs="Times New Roman"/>
          <w:kern w:val="0"/>
          <w:lang w:val="sr-Latn-RS" w:eastAsia="de-CH"/>
          <w14:ligatures w14:val="none"/>
        </w:rPr>
      </w:pPr>
    </w:p>
    <w:p w14:paraId="11F23FFA" w14:textId="1BAC398E" w:rsidR="00286BB2" w:rsidRPr="00226F9D" w:rsidRDefault="004C43A3" w:rsidP="000457A0">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lastRenderedPageBreak/>
        <w:t>У</w:t>
      </w:r>
      <w:r w:rsidR="00286BB2" w:rsidRPr="00226F9D">
        <w:rPr>
          <w:rFonts w:ascii="Times New Roman" w:eastAsia="Times New Roman" w:hAnsi="Times New Roman" w:cs="Times New Roman"/>
          <w:kern w:val="0"/>
          <w:lang w:val="sr-Cyrl-RS" w:eastAsia="de-CH"/>
          <w14:ligatures w14:val="none"/>
        </w:rPr>
        <w:t>поредни преглед сетова мера као опција претходног и новог Програма за достизање Посебног циља 4 је како следи:</w:t>
      </w:r>
    </w:p>
    <w:p w14:paraId="4108055F" w14:textId="77777777" w:rsidR="008F57E8" w:rsidRPr="00226F9D" w:rsidRDefault="008F57E8" w:rsidP="000457A0">
      <w:pPr>
        <w:spacing w:after="0" w:line="240" w:lineRule="auto"/>
        <w:jc w:val="both"/>
        <w:rPr>
          <w:rFonts w:ascii="Times New Roman" w:eastAsia="Times New Roman" w:hAnsi="Times New Roman" w:cs="Times New Roman"/>
          <w:kern w:val="0"/>
          <w:lang w:val="sr-Cyrl-RS" w:eastAsia="de-CH"/>
          <w14:ligatures w14:val="none"/>
        </w:rPr>
      </w:pPr>
    </w:p>
    <w:tbl>
      <w:tblPr>
        <w:tblStyle w:val="TableGrid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672"/>
        <w:gridCol w:w="285"/>
        <w:gridCol w:w="4665"/>
      </w:tblGrid>
      <w:tr w:rsidR="008F57E8" w:rsidRPr="00226F9D" w14:paraId="16829DB8" w14:textId="77777777" w:rsidTr="007E1BCC">
        <w:trPr>
          <w:tblHeader/>
        </w:trPr>
        <w:tc>
          <w:tcPr>
            <w:tcW w:w="5000" w:type="pct"/>
            <w:gridSpan w:val="3"/>
            <w:shd w:val="clear" w:color="auto" w:fill="FFCE3C"/>
          </w:tcPr>
          <w:p w14:paraId="27522C84" w14:textId="46C68A7F" w:rsidR="008F57E8" w:rsidRPr="00226F9D" w:rsidRDefault="008F57E8" w:rsidP="00C026E7">
            <w:pPr>
              <w:jc w:val="center"/>
              <w:rPr>
                <w:rFonts w:ascii="Times New Roman" w:eastAsia="Times New Roman" w:hAnsi="Times New Roman" w:cs="Times New Roman"/>
                <w:i/>
                <w:iCs/>
                <w:sz w:val="20"/>
                <w:szCs w:val="20"/>
                <w:lang w:val="sr-Cyrl-RS" w:eastAsia="en-GB"/>
              </w:rPr>
            </w:pPr>
            <w:r w:rsidRPr="00226F9D">
              <w:rPr>
                <w:rFonts w:ascii="Times New Roman" w:eastAsia="Times New Roman" w:hAnsi="Times New Roman" w:cs="Times New Roman"/>
                <w:i/>
                <w:iCs/>
                <w:sz w:val="20"/>
                <w:szCs w:val="20"/>
                <w:lang w:val="sr-Cyrl-RS" w:eastAsia="en-GB"/>
              </w:rPr>
              <w:t>Опција: измене законског оквира који уређује пружање услуга уз појачано коришћење постојећих институционалних механизама</w:t>
            </w:r>
          </w:p>
        </w:tc>
      </w:tr>
      <w:tr w:rsidR="008F57E8" w:rsidRPr="00226F9D" w14:paraId="2EB2F710" w14:textId="77777777" w:rsidTr="007E1BCC">
        <w:trPr>
          <w:tblHeader/>
        </w:trPr>
        <w:tc>
          <w:tcPr>
            <w:tcW w:w="2428" w:type="pct"/>
            <w:shd w:val="clear" w:color="auto" w:fill="FFCE3C"/>
          </w:tcPr>
          <w:p w14:paraId="2BE9668C" w14:textId="4BB52DB8" w:rsidR="008F57E8" w:rsidRPr="00226F9D" w:rsidRDefault="008F57E8"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i/>
                <w:iCs/>
                <w:sz w:val="20"/>
                <w:szCs w:val="20"/>
                <w:lang w:val="sr-Latn-RS" w:eastAsia="en-GB"/>
              </w:rPr>
              <w:t>Status quo</w:t>
            </w:r>
            <w:r w:rsidRPr="00226F9D">
              <w:rPr>
                <w:rFonts w:ascii="Times New Roman" w:eastAsia="Times New Roman" w:hAnsi="Times New Roman" w:cs="Times New Roman"/>
                <w:sz w:val="20"/>
                <w:szCs w:val="20"/>
                <w:lang w:val="sr-Latn-RS" w:eastAsia="en-GB"/>
              </w:rPr>
              <w:t xml:space="preserve"> – </w:t>
            </w:r>
            <w:r w:rsidRPr="00226F9D">
              <w:rPr>
                <w:rFonts w:ascii="Times New Roman" w:eastAsia="Times New Roman" w:hAnsi="Times New Roman" w:cs="Times New Roman"/>
                <w:sz w:val="20"/>
                <w:szCs w:val="20"/>
                <w:lang w:val="sr-Cyrl-RS" w:eastAsia="en-GB"/>
              </w:rPr>
              <w:t>сет мера за ПЦ 4 ПРСЛС 2021-2025</w:t>
            </w:r>
          </w:p>
        </w:tc>
        <w:tc>
          <w:tcPr>
            <w:tcW w:w="148" w:type="pct"/>
            <w:vMerge w:val="restart"/>
            <w:tcBorders>
              <w:bottom w:val="nil"/>
            </w:tcBorders>
          </w:tcPr>
          <w:p w14:paraId="340FE65F" w14:textId="77777777" w:rsidR="008F57E8" w:rsidRPr="00226F9D" w:rsidRDefault="008F57E8" w:rsidP="00C026E7">
            <w:pPr>
              <w:jc w:val="both"/>
              <w:rPr>
                <w:rFonts w:ascii="Times New Roman" w:eastAsia="Times New Roman" w:hAnsi="Times New Roman" w:cs="Times New Roman"/>
                <w:i/>
                <w:iCs/>
                <w:sz w:val="20"/>
                <w:szCs w:val="20"/>
                <w:lang w:val="sr-Cyrl-RS" w:eastAsia="en-GB"/>
              </w:rPr>
            </w:pPr>
          </w:p>
        </w:tc>
        <w:tc>
          <w:tcPr>
            <w:tcW w:w="2424" w:type="pct"/>
            <w:shd w:val="clear" w:color="auto" w:fill="FFCE3C"/>
          </w:tcPr>
          <w:p w14:paraId="6105985C" w14:textId="3E38292E" w:rsidR="008F57E8" w:rsidRPr="00226F9D" w:rsidRDefault="008F57E8" w:rsidP="00C026E7">
            <w:pPr>
              <w:jc w:val="both"/>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i/>
                <w:iCs/>
                <w:sz w:val="20"/>
                <w:szCs w:val="20"/>
                <w:lang w:val="sr-Cyrl-RS" w:eastAsia="en-GB"/>
              </w:rPr>
              <w:t xml:space="preserve">Умерени даљи реформски приступ – </w:t>
            </w:r>
            <w:r w:rsidRPr="00226F9D">
              <w:rPr>
                <w:rFonts w:ascii="Times New Roman" w:eastAsia="Times New Roman" w:hAnsi="Times New Roman" w:cs="Times New Roman"/>
                <w:sz w:val="20"/>
                <w:szCs w:val="20"/>
                <w:lang w:val="sr-Cyrl-RS" w:eastAsia="en-GB"/>
              </w:rPr>
              <w:t>сет мера за ПЦ 4 ПРСЛС 2026-2030</w:t>
            </w:r>
          </w:p>
        </w:tc>
      </w:tr>
      <w:tr w:rsidR="008F57E8" w:rsidRPr="00226F9D" w14:paraId="68B31C52" w14:textId="77777777" w:rsidTr="007E1BCC">
        <w:tc>
          <w:tcPr>
            <w:tcW w:w="2428" w:type="pct"/>
          </w:tcPr>
          <w:p w14:paraId="22BCDB09" w14:textId="68127AAD" w:rsidR="008F57E8" w:rsidRPr="00226F9D" w:rsidRDefault="008F57E8" w:rsidP="00E12190">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4.1</w:t>
            </w:r>
            <w:r w:rsidRPr="00226F9D">
              <w:rPr>
                <w:rFonts w:ascii="Times New Roman" w:eastAsia="Times New Roman" w:hAnsi="Times New Roman" w:cs="Times New Roman"/>
                <w:sz w:val="20"/>
                <w:szCs w:val="20"/>
                <w:lang w:val="sr-Cyrl-RS" w:eastAsia="en-GB"/>
              </w:rPr>
              <w:t xml:space="preserve">: </w:t>
            </w:r>
            <w:r w:rsidR="00E12190" w:rsidRPr="00226F9D">
              <w:rPr>
                <w:rFonts w:ascii="Times New Roman" w:eastAsia="Times New Roman" w:hAnsi="Times New Roman" w:cs="Times New Roman"/>
                <w:sz w:val="20"/>
                <w:szCs w:val="20"/>
                <w:lang w:val="sr-Cyrl-RS" w:eastAsia="en-GB"/>
              </w:rPr>
              <w:t>Израда и унапређење основне методологије и алата за праћење остваривања надлежности и послова локалне самоуправе</w:t>
            </w:r>
          </w:p>
        </w:tc>
        <w:tc>
          <w:tcPr>
            <w:tcW w:w="148" w:type="pct"/>
            <w:vMerge/>
            <w:tcBorders>
              <w:bottom w:val="nil"/>
            </w:tcBorders>
          </w:tcPr>
          <w:p w14:paraId="422BA0EA" w14:textId="77777777" w:rsidR="008F57E8" w:rsidRPr="00226F9D" w:rsidRDefault="008F57E8" w:rsidP="00C026E7">
            <w:pPr>
              <w:jc w:val="both"/>
              <w:rPr>
                <w:rFonts w:ascii="Times New Roman" w:eastAsia="Times New Roman" w:hAnsi="Times New Roman" w:cs="Times New Roman"/>
                <w:sz w:val="20"/>
                <w:szCs w:val="20"/>
                <w:lang w:val="sr-Cyrl-RS" w:eastAsia="en-GB"/>
              </w:rPr>
            </w:pPr>
          </w:p>
        </w:tc>
        <w:tc>
          <w:tcPr>
            <w:tcW w:w="2424" w:type="pct"/>
            <w:vMerge w:val="restart"/>
          </w:tcPr>
          <w:p w14:paraId="2389634C" w14:textId="6BF37B34" w:rsidR="008F57E8" w:rsidRPr="00226F9D" w:rsidRDefault="008F57E8" w:rsidP="00D27C38">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4.1:</w:t>
            </w:r>
            <w:r w:rsidRPr="00226F9D">
              <w:rPr>
                <w:rFonts w:ascii="Times New Roman" w:eastAsia="Times New Roman" w:hAnsi="Times New Roman" w:cs="Times New Roman"/>
                <w:sz w:val="20"/>
                <w:szCs w:val="20"/>
                <w:lang w:val="sr-Cyrl-RS" w:eastAsia="en-GB"/>
              </w:rPr>
              <w:t xml:space="preserve"> </w:t>
            </w:r>
            <w:r w:rsidR="00D27C38" w:rsidRPr="00226F9D">
              <w:rPr>
                <w:rFonts w:ascii="Times New Roman" w:eastAsia="Times New Roman" w:hAnsi="Times New Roman" w:cs="Times New Roman"/>
                <w:sz w:val="20"/>
                <w:szCs w:val="20"/>
                <w:lang w:val="sr-Cyrl-RS" w:eastAsia="en-GB"/>
              </w:rPr>
              <w:t>Подршка ефикаснoм спровођењу услуга и послова локалне самоуправе</w:t>
            </w:r>
          </w:p>
        </w:tc>
      </w:tr>
      <w:tr w:rsidR="008F57E8" w:rsidRPr="00226F9D" w14:paraId="6E4D80C4" w14:textId="77777777" w:rsidTr="007E1BCC">
        <w:tc>
          <w:tcPr>
            <w:tcW w:w="2428" w:type="pct"/>
          </w:tcPr>
          <w:p w14:paraId="3A525B18" w14:textId="4ADB6BB1" w:rsidR="008F57E8" w:rsidRPr="00226F9D" w:rsidRDefault="008F57E8" w:rsidP="002A48B8">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4.2</w:t>
            </w:r>
            <w:r w:rsidRPr="00226F9D">
              <w:rPr>
                <w:rFonts w:ascii="Times New Roman" w:eastAsia="Times New Roman" w:hAnsi="Times New Roman" w:cs="Times New Roman"/>
                <w:sz w:val="20"/>
                <w:szCs w:val="20"/>
                <w:lang w:val="sr-Cyrl-RS" w:eastAsia="en-GB"/>
              </w:rPr>
              <w:t xml:space="preserve">: </w:t>
            </w:r>
            <w:r w:rsidR="002A48B8" w:rsidRPr="00226F9D">
              <w:rPr>
                <w:rFonts w:ascii="Times New Roman" w:eastAsia="Times New Roman" w:hAnsi="Times New Roman" w:cs="Times New Roman"/>
                <w:sz w:val="20"/>
                <w:szCs w:val="20"/>
                <w:lang w:val="sr-Cyrl-RS" w:eastAsia="en-GB"/>
              </w:rPr>
              <w:t>Унапређење капацитета локалне самоуправе за пружање управних услуга</w:t>
            </w:r>
          </w:p>
        </w:tc>
        <w:tc>
          <w:tcPr>
            <w:tcW w:w="148" w:type="pct"/>
            <w:vMerge/>
            <w:tcBorders>
              <w:bottom w:val="nil"/>
            </w:tcBorders>
          </w:tcPr>
          <w:p w14:paraId="047D7161" w14:textId="77777777" w:rsidR="008F57E8" w:rsidRPr="00226F9D" w:rsidRDefault="008F57E8" w:rsidP="00C026E7">
            <w:pPr>
              <w:jc w:val="both"/>
              <w:rPr>
                <w:rFonts w:ascii="Times New Roman" w:eastAsia="Times New Roman" w:hAnsi="Times New Roman" w:cs="Times New Roman"/>
                <w:sz w:val="20"/>
                <w:szCs w:val="20"/>
                <w:lang w:val="sr-Cyrl-RS" w:eastAsia="en-GB"/>
              </w:rPr>
            </w:pPr>
          </w:p>
        </w:tc>
        <w:tc>
          <w:tcPr>
            <w:tcW w:w="2424" w:type="pct"/>
            <w:vMerge/>
          </w:tcPr>
          <w:p w14:paraId="5B73388E" w14:textId="77777777" w:rsidR="008F57E8" w:rsidRPr="00226F9D" w:rsidRDefault="008F57E8" w:rsidP="00C026E7">
            <w:pPr>
              <w:jc w:val="both"/>
              <w:rPr>
                <w:rFonts w:ascii="Times New Roman" w:eastAsia="Times New Roman" w:hAnsi="Times New Roman" w:cs="Times New Roman"/>
                <w:sz w:val="20"/>
                <w:szCs w:val="20"/>
                <w:lang w:val="sr-Cyrl-RS" w:eastAsia="en-GB"/>
              </w:rPr>
            </w:pPr>
          </w:p>
        </w:tc>
      </w:tr>
      <w:tr w:rsidR="008F57E8" w:rsidRPr="00226F9D" w14:paraId="4C7D07D2" w14:textId="77777777" w:rsidTr="007E1BCC">
        <w:tc>
          <w:tcPr>
            <w:tcW w:w="2428" w:type="pct"/>
          </w:tcPr>
          <w:p w14:paraId="2E51CF99" w14:textId="6DD83921" w:rsidR="008F57E8" w:rsidRPr="00226F9D" w:rsidRDefault="008F57E8" w:rsidP="002A1D37">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4.3</w:t>
            </w:r>
            <w:r w:rsidRPr="00226F9D">
              <w:rPr>
                <w:rFonts w:ascii="Times New Roman" w:eastAsia="Times New Roman" w:hAnsi="Times New Roman" w:cs="Times New Roman"/>
                <w:sz w:val="20"/>
                <w:szCs w:val="20"/>
                <w:lang w:val="sr-Cyrl-RS" w:eastAsia="en-GB"/>
              </w:rPr>
              <w:t xml:space="preserve">: </w:t>
            </w:r>
            <w:r w:rsidR="002A1D37" w:rsidRPr="00226F9D">
              <w:rPr>
                <w:rFonts w:ascii="Times New Roman" w:eastAsia="Times New Roman" w:hAnsi="Times New Roman" w:cs="Times New Roman"/>
                <w:sz w:val="20"/>
                <w:szCs w:val="20"/>
                <w:lang w:val="sr-Cyrl-RS" w:eastAsia="en-GB"/>
              </w:rPr>
              <w:t>Покретање системских реформи комуналних делатности и услуга</w:t>
            </w:r>
          </w:p>
        </w:tc>
        <w:tc>
          <w:tcPr>
            <w:tcW w:w="148" w:type="pct"/>
            <w:vMerge/>
            <w:tcBorders>
              <w:bottom w:val="nil"/>
            </w:tcBorders>
          </w:tcPr>
          <w:p w14:paraId="1395E5BE" w14:textId="77777777" w:rsidR="008F57E8" w:rsidRPr="00226F9D" w:rsidRDefault="008F57E8" w:rsidP="00C026E7">
            <w:pPr>
              <w:jc w:val="both"/>
              <w:rPr>
                <w:rFonts w:ascii="Times New Roman" w:eastAsia="Times New Roman" w:hAnsi="Times New Roman" w:cs="Times New Roman"/>
                <w:sz w:val="20"/>
                <w:szCs w:val="20"/>
                <w:lang w:val="sr-Cyrl-RS" w:eastAsia="en-GB"/>
              </w:rPr>
            </w:pPr>
          </w:p>
        </w:tc>
        <w:tc>
          <w:tcPr>
            <w:tcW w:w="2424" w:type="pct"/>
            <w:vMerge w:val="restart"/>
          </w:tcPr>
          <w:p w14:paraId="7F21BDD8" w14:textId="62F5C5E4" w:rsidR="008F57E8" w:rsidRPr="00226F9D" w:rsidRDefault="008F57E8" w:rsidP="007C2D7E">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4.2:</w:t>
            </w:r>
            <w:r w:rsidRPr="00226F9D">
              <w:rPr>
                <w:rFonts w:ascii="Times New Roman" w:eastAsia="Times New Roman" w:hAnsi="Times New Roman" w:cs="Times New Roman"/>
                <w:sz w:val="20"/>
                <w:szCs w:val="20"/>
                <w:lang w:val="sr-Cyrl-RS" w:eastAsia="en-GB"/>
              </w:rPr>
              <w:t xml:space="preserve"> </w:t>
            </w:r>
            <w:r w:rsidR="007C2D7E" w:rsidRPr="00226F9D">
              <w:rPr>
                <w:rFonts w:ascii="Times New Roman" w:eastAsia="Times New Roman" w:hAnsi="Times New Roman" w:cs="Times New Roman"/>
                <w:sz w:val="20"/>
                <w:szCs w:val="20"/>
                <w:lang w:val="sr-Cyrl-RS" w:eastAsia="en-GB"/>
              </w:rPr>
              <w:t>Подршка даљем развоју међуопштинских услуга</w:t>
            </w:r>
          </w:p>
        </w:tc>
      </w:tr>
      <w:tr w:rsidR="008F57E8" w:rsidRPr="00226F9D" w14:paraId="5C8BC50F" w14:textId="77777777" w:rsidTr="007E1BCC">
        <w:tc>
          <w:tcPr>
            <w:tcW w:w="2428" w:type="pct"/>
          </w:tcPr>
          <w:p w14:paraId="73A1E2F8" w14:textId="402A937B" w:rsidR="008F57E8" w:rsidRPr="00226F9D" w:rsidRDefault="008F57E8" w:rsidP="006D0B74">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4.4</w:t>
            </w:r>
            <w:r w:rsidRPr="00226F9D">
              <w:rPr>
                <w:rFonts w:ascii="Times New Roman" w:eastAsia="Times New Roman" w:hAnsi="Times New Roman" w:cs="Times New Roman"/>
                <w:sz w:val="20"/>
                <w:szCs w:val="20"/>
                <w:lang w:val="sr-Cyrl-RS" w:eastAsia="en-GB"/>
              </w:rPr>
              <w:t xml:space="preserve">: </w:t>
            </w:r>
            <w:r w:rsidR="006D0B74" w:rsidRPr="00226F9D">
              <w:rPr>
                <w:rFonts w:ascii="Times New Roman" w:eastAsia="Times New Roman" w:hAnsi="Times New Roman" w:cs="Times New Roman"/>
                <w:sz w:val="20"/>
                <w:szCs w:val="20"/>
                <w:lang w:val="sr-Cyrl-RS" w:eastAsia="en-GB"/>
              </w:rPr>
              <w:t>Унапређење локалних јавних услуга кроз локални економски развој и примену модела јавно-приватног партнерства</w:t>
            </w:r>
          </w:p>
        </w:tc>
        <w:tc>
          <w:tcPr>
            <w:tcW w:w="148" w:type="pct"/>
            <w:vMerge/>
            <w:tcBorders>
              <w:bottom w:val="nil"/>
            </w:tcBorders>
          </w:tcPr>
          <w:p w14:paraId="248D4293" w14:textId="77777777" w:rsidR="008F57E8" w:rsidRPr="00226F9D" w:rsidRDefault="008F57E8" w:rsidP="00C026E7">
            <w:pPr>
              <w:jc w:val="both"/>
              <w:rPr>
                <w:rFonts w:ascii="Times New Roman" w:eastAsia="Times New Roman" w:hAnsi="Times New Roman" w:cs="Times New Roman"/>
                <w:sz w:val="20"/>
                <w:szCs w:val="20"/>
                <w:lang w:val="sr-Cyrl-RS" w:eastAsia="en-GB"/>
              </w:rPr>
            </w:pPr>
          </w:p>
        </w:tc>
        <w:tc>
          <w:tcPr>
            <w:tcW w:w="2424" w:type="pct"/>
            <w:vMerge/>
          </w:tcPr>
          <w:p w14:paraId="5A3FCC41" w14:textId="77777777" w:rsidR="008F57E8" w:rsidRPr="00226F9D" w:rsidRDefault="008F57E8" w:rsidP="00C026E7">
            <w:pPr>
              <w:jc w:val="both"/>
              <w:rPr>
                <w:rFonts w:ascii="Times New Roman" w:eastAsia="Times New Roman" w:hAnsi="Times New Roman" w:cs="Times New Roman"/>
                <w:sz w:val="20"/>
                <w:szCs w:val="20"/>
                <w:lang w:val="sr-Cyrl-RS" w:eastAsia="en-GB"/>
              </w:rPr>
            </w:pPr>
          </w:p>
        </w:tc>
      </w:tr>
      <w:tr w:rsidR="008F57E8" w:rsidRPr="00226F9D" w14:paraId="01BB301E" w14:textId="77777777" w:rsidTr="007E1BCC">
        <w:tc>
          <w:tcPr>
            <w:tcW w:w="2428" w:type="pct"/>
          </w:tcPr>
          <w:p w14:paraId="7913BC6B" w14:textId="4AA1DCB4" w:rsidR="008F57E8" w:rsidRPr="00226F9D" w:rsidRDefault="008F57E8" w:rsidP="00D659DB">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4.5</w:t>
            </w:r>
            <w:r w:rsidRPr="00226F9D">
              <w:rPr>
                <w:rFonts w:ascii="Times New Roman" w:eastAsia="Times New Roman" w:hAnsi="Times New Roman" w:cs="Times New Roman"/>
                <w:sz w:val="20"/>
                <w:szCs w:val="20"/>
                <w:lang w:val="sr-Cyrl-RS" w:eastAsia="en-GB"/>
              </w:rPr>
              <w:t xml:space="preserve">: </w:t>
            </w:r>
            <w:r w:rsidR="00D659DB" w:rsidRPr="00226F9D">
              <w:rPr>
                <w:rFonts w:ascii="Times New Roman" w:eastAsia="Times New Roman" w:hAnsi="Times New Roman" w:cs="Times New Roman"/>
                <w:sz w:val="20"/>
                <w:szCs w:val="20"/>
                <w:lang w:val="sr-Cyrl-RS" w:eastAsia="en-GB"/>
              </w:rPr>
              <w:t>Израда методолошких и аналитичких алата за спровођење праћења услуга ЈЛС и задовољства грађана њиховим квалитетом</w:t>
            </w:r>
          </w:p>
        </w:tc>
        <w:tc>
          <w:tcPr>
            <w:tcW w:w="148" w:type="pct"/>
            <w:vMerge/>
            <w:tcBorders>
              <w:bottom w:val="nil"/>
            </w:tcBorders>
          </w:tcPr>
          <w:p w14:paraId="05304B43" w14:textId="77777777" w:rsidR="008F57E8" w:rsidRPr="00226F9D" w:rsidRDefault="008F57E8" w:rsidP="00C026E7">
            <w:pPr>
              <w:jc w:val="both"/>
              <w:rPr>
                <w:rFonts w:ascii="Times New Roman" w:eastAsia="Times New Roman" w:hAnsi="Times New Roman" w:cs="Times New Roman"/>
                <w:sz w:val="20"/>
                <w:szCs w:val="20"/>
                <w:lang w:val="sr-Cyrl-RS" w:eastAsia="en-GB"/>
              </w:rPr>
            </w:pPr>
          </w:p>
        </w:tc>
        <w:tc>
          <w:tcPr>
            <w:tcW w:w="2424" w:type="pct"/>
          </w:tcPr>
          <w:p w14:paraId="28C3FC85" w14:textId="0B0D134B" w:rsidR="008F57E8" w:rsidRPr="00226F9D" w:rsidRDefault="008F57E8" w:rsidP="007C2D7E">
            <w:pPr>
              <w:rPr>
                <w:rFonts w:ascii="Times New Roman" w:eastAsia="Times New Roman" w:hAnsi="Times New Roman" w:cs="Times New Roman"/>
                <w:sz w:val="20"/>
                <w:szCs w:val="20"/>
                <w:lang w:val="sr-Cyrl-RS" w:eastAsia="en-GB"/>
              </w:rPr>
            </w:pPr>
            <w:r w:rsidRPr="00226F9D">
              <w:rPr>
                <w:rFonts w:ascii="Times New Roman" w:eastAsia="Times New Roman" w:hAnsi="Times New Roman" w:cs="Times New Roman"/>
                <w:b/>
                <w:bCs/>
                <w:sz w:val="20"/>
                <w:szCs w:val="20"/>
                <w:lang w:val="sr-Cyrl-RS" w:eastAsia="en-GB"/>
              </w:rPr>
              <w:t>Мера 4.3:</w:t>
            </w:r>
            <w:r w:rsidRPr="00226F9D">
              <w:rPr>
                <w:rFonts w:ascii="Times New Roman" w:eastAsia="Times New Roman" w:hAnsi="Times New Roman" w:cs="Times New Roman"/>
                <w:sz w:val="20"/>
                <w:szCs w:val="20"/>
                <w:lang w:val="sr-Cyrl-RS" w:eastAsia="en-GB"/>
              </w:rPr>
              <w:t xml:space="preserve"> </w:t>
            </w:r>
            <w:r w:rsidR="007C2D7E" w:rsidRPr="00226F9D">
              <w:rPr>
                <w:rFonts w:ascii="Times New Roman" w:eastAsia="Times New Roman" w:hAnsi="Times New Roman" w:cs="Times New Roman"/>
                <w:sz w:val="20"/>
                <w:szCs w:val="20"/>
                <w:lang w:val="sr-Cyrl-RS" w:eastAsia="en-GB"/>
              </w:rPr>
              <w:t>Подршка развоју система комуналних делатности локалне самоуправе</w:t>
            </w:r>
          </w:p>
        </w:tc>
      </w:tr>
    </w:tbl>
    <w:p w14:paraId="0D49A349" w14:textId="77777777" w:rsidR="008F57E8" w:rsidRPr="00226F9D" w:rsidRDefault="008F57E8" w:rsidP="008F57E8">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  </w:t>
      </w:r>
    </w:p>
    <w:p w14:paraId="2D761D63" w14:textId="4BDACAA4" w:rsidR="008F57E8" w:rsidRPr="00226F9D" w:rsidRDefault="00543CF1" w:rsidP="000457A0">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Поставка мера новог Програма за П</w:t>
      </w:r>
      <w:r w:rsidR="004C43A3" w:rsidRPr="00226F9D">
        <w:rPr>
          <w:rFonts w:ascii="Times New Roman" w:eastAsia="Times New Roman" w:hAnsi="Times New Roman" w:cs="Times New Roman"/>
          <w:kern w:val="0"/>
          <w:lang w:val="sr-Cyrl-RS" w:eastAsia="de-CH"/>
          <w14:ligatures w14:val="none"/>
        </w:rPr>
        <w:t xml:space="preserve">осебни циљ </w:t>
      </w:r>
      <w:r w:rsidRPr="00226F9D">
        <w:rPr>
          <w:rFonts w:ascii="Times New Roman" w:eastAsia="Times New Roman" w:hAnsi="Times New Roman" w:cs="Times New Roman"/>
          <w:kern w:val="0"/>
          <w:lang w:val="sr-Cyrl-RS" w:eastAsia="de-CH"/>
          <w14:ligatures w14:val="none"/>
        </w:rPr>
        <w:t>4</w:t>
      </w:r>
      <w:r w:rsidR="004E234B" w:rsidRPr="00226F9D">
        <w:rPr>
          <w:rFonts w:ascii="Times New Roman" w:eastAsia="Times New Roman" w:hAnsi="Times New Roman" w:cs="Times New Roman"/>
          <w:kern w:val="0"/>
          <w:lang w:val="sr-Cyrl-RS" w:eastAsia="de-CH"/>
          <w14:ligatures w14:val="none"/>
        </w:rPr>
        <w:t xml:space="preserve"> </w:t>
      </w:r>
      <w:r w:rsidR="00263257" w:rsidRPr="00226F9D">
        <w:rPr>
          <w:rFonts w:ascii="Times New Roman" w:eastAsia="Times New Roman" w:hAnsi="Times New Roman" w:cs="Times New Roman"/>
          <w:kern w:val="0"/>
          <w:lang w:val="sr-Cyrl-RS" w:eastAsia="de-CH"/>
          <w14:ligatures w14:val="none"/>
        </w:rPr>
        <w:t>предвиђа</w:t>
      </w:r>
      <w:r w:rsidR="004E234B" w:rsidRPr="00226F9D">
        <w:rPr>
          <w:rFonts w:ascii="Times New Roman" w:eastAsia="Times New Roman" w:hAnsi="Times New Roman" w:cs="Times New Roman"/>
          <w:kern w:val="0"/>
          <w:lang w:val="sr-Cyrl-RS" w:eastAsia="de-CH"/>
          <w14:ligatures w14:val="none"/>
        </w:rPr>
        <w:t>: 1)</w:t>
      </w:r>
      <w:r w:rsidR="00263257" w:rsidRPr="00226F9D">
        <w:rPr>
          <w:rFonts w:ascii="Times New Roman" w:eastAsia="Times New Roman" w:hAnsi="Times New Roman" w:cs="Times New Roman"/>
          <w:kern w:val="0"/>
          <w:lang w:val="sr-Cyrl-RS" w:eastAsia="de-CH"/>
          <w14:ligatures w14:val="none"/>
        </w:rPr>
        <w:t xml:space="preserve"> сагледавање </w:t>
      </w:r>
      <w:r w:rsidR="00ED35CF" w:rsidRPr="00226F9D">
        <w:rPr>
          <w:rFonts w:ascii="Times New Roman" w:eastAsia="Times New Roman" w:hAnsi="Times New Roman" w:cs="Times New Roman"/>
          <w:kern w:val="0"/>
          <w:lang w:val="sr-Cyrl-RS" w:eastAsia="de-CH"/>
          <w14:ligatures w14:val="none"/>
        </w:rPr>
        <w:t xml:space="preserve">(анализу) </w:t>
      </w:r>
      <w:r w:rsidR="00263257" w:rsidRPr="00226F9D">
        <w:rPr>
          <w:rFonts w:ascii="Times New Roman" w:eastAsia="Times New Roman" w:hAnsi="Times New Roman" w:cs="Times New Roman"/>
          <w:kern w:val="0"/>
          <w:lang w:val="sr-Cyrl-RS" w:eastAsia="de-CH"/>
          <w14:ligatures w14:val="none"/>
        </w:rPr>
        <w:t>упоредн</w:t>
      </w:r>
      <w:r w:rsidR="00ED35CF" w:rsidRPr="00226F9D">
        <w:rPr>
          <w:rFonts w:ascii="Times New Roman" w:eastAsia="Times New Roman" w:hAnsi="Times New Roman" w:cs="Times New Roman"/>
          <w:kern w:val="0"/>
          <w:lang w:val="sr-Cyrl-RS" w:eastAsia="de-CH"/>
          <w14:ligatures w14:val="none"/>
        </w:rPr>
        <w:t>их</w:t>
      </w:r>
      <w:r w:rsidR="00263257" w:rsidRPr="00226F9D">
        <w:rPr>
          <w:rFonts w:ascii="Times New Roman" w:eastAsia="Times New Roman" w:hAnsi="Times New Roman" w:cs="Times New Roman"/>
          <w:kern w:val="0"/>
          <w:lang w:val="sr-Cyrl-RS" w:eastAsia="de-CH"/>
          <w14:ligatures w14:val="none"/>
        </w:rPr>
        <w:t xml:space="preserve"> пракс</w:t>
      </w:r>
      <w:r w:rsidR="00ED35CF" w:rsidRPr="00226F9D">
        <w:rPr>
          <w:rFonts w:ascii="Times New Roman" w:eastAsia="Times New Roman" w:hAnsi="Times New Roman" w:cs="Times New Roman"/>
          <w:kern w:val="0"/>
          <w:lang w:val="sr-Cyrl-RS" w:eastAsia="de-CH"/>
          <w14:ligatures w14:val="none"/>
        </w:rPr>
        <w:t>и</w:t>
      </w:r>
      <w:r w:rsidR="00263257" w:rsidRPr="00226F9D">
        <w:rPr>
          <w:rFonts w:ascii="Times New Roman" w:eastAsia="Times New Roman" w:hAnsi="Times New Roman" w:cs="Times New Roman"/>
          <w:kern w:val="0"/>
          <w:lang w:val="sr-Cyrl-RS" w:eastAsia="de-CH"/>
          <w14:ligatures w14:val="none"/>
        </w:rPr>
        <w:t xml:space="preserve"> </w:t>
      </w:r>
      <w:r w:rsidR="009270BE" w:rsidRPr="00226F9D">
        <w:rPr>
          <w:rFonts w:ascii="Times New Roman" w:eastAsia="Times New Roman" w:hAnsi="Times New Roman" w:cs="Times New Roman"/>
          <w:kern w:val="0"/>
          <w:lang w:val="sr-Cyrl-RS" w:eastAsia="de-CH"/>
          <w14:ligatures w14:val="none"/>
        </w:rPr>
        <w:t>за ефикасн</w:t>
      </w:r>
      <w:r w:rsidR="007E424B" w:rsidRPr="00226F9D">
        <w:rPr>
          <w:rFonts w:ascii="Times New Roman" w:eastAsia="Times New Roman" w:hAnsi="Times New Roman" w:cs="Times New Roman"/>
          <w:kern w:val="0"/>
          <w:lang w:val="sr-Cyrl-RS" w:eastAsia="de-CH"/>
          <w14:ligatures w14:val="none"/>
        </w:rPr>
        <w:t>у</w:t>
      </w:r>
      <w:r w:rsidR="009270BE" w:rsidRPr="00226F9D">
        <w:rPr>
          <w:rFonts w:ascii="Times New Roman" w:eastAsia="Times New Roman" w:hAnsi="Times New Roman" w:cs="Times New Roman"/>
          <w:kern w:val="0"/>
          <w:lang w:val="sr-Cyrl-RS" w:eastAsia="de-CH"/>
          <w14:ligatures w14:val="none"/>
        </w:rPr>
        <w:t xml:space="preserve"> расподел</w:t>
      </w:r>
      <w:r w:rsidR="007E424B" w:rsidRPr="00226F9D">
        <w:rPr>
          <w:rFonts w:ascii="Times New Roman" w:eastAsia="Times New Roman" w:hAnsi="Times New Roman" w:cs="Times New Roman"/>
          <w:kern w:val="0"/>
          <w:lang w:val="sr-Cyrl-RS" w:eastAsia="de-CH"/>
          <w14:ligatures w14:val="none"/>
        </w:rPr>
        <w:t>у</w:t>
      </w:r>
      <w:r w:rsidR="009270BE" w:rsidRPr="00226F9D">
        <w:rPr>
          <w:rFonts w:ascii="Times New Roman" w:eastAsia="Times New Roman" w:hAnsi="Times New Roman" w:cs="Times New Roman"/>
          <w:kern w:val="0"/>
          <w:lang w:val="sr-Cyrl-RS" w:eastAsia="de-CH"/>
          <w14:ligatures w14:val="none"/>
        </w:rPr>
        <w:t xml:space="preserve"> послова јавне управе </w:t>
      </w:r>
      <w:r w:rsidR="00F63D2A" w:rsidRPr="00226F9D">
        <w:rPr>
          <w:rFonts w:ascii="Times New Roman" w:eastAsia="Times New Roman" w:hAnsi="Times New Roman" w:cs="Times New Roman"/>
          <w:kern w:val="0"/>
          <w:lang w:val="sr-Cyrl-RS" w:eastAsia="de-CH"/>
          <w14:ligatures w14:val="none"/>
        </w:rPr>
        <w:t xml:space="preserve">и израду пратеће мапе пута </w:t>
      </w:r>
      <w:r w:rsidR="002676C5" w:rsidRPr="00226F9D">
        <w:rPr>
          <w:rFonts w:ascii="Times New Roman" w:eastAsia="Times New Roman" w:hAnsi="Times New Roman" w:cs="Times New Roman"/>
          <w:kern w:val="0"/>
          <w:lang w:val="sr-Cyrl-RS" w:eastAsia="de-CH"/>
          <w14:ligatures w14:val="none"/>
        </w:rPr>
        <w:t xml:space="preserve">за деловање </w:t>
      </w:r>
      <w:r w:rsidR="009270BE" w:rsidRPr="00226F9D">
        <w:rPr>
          <w:rFonts w:ascii="Times New Roman" w:eastAsia="Times New Roman" w:hAnsi="Times New Roman" w:cs="Times New Roman"/>
          <w:kern w:val="0"/>
          <w:lang w:val="sr-Cyrl-RS" w:eastAsia="de-CH"/>
          <w14:ligatures w14:val="none"/>
        </w:rPr>
        <w:t xml:space="preserve">у правцу повећања значаја </w:t>
      </w:r>
      <w:r w:rsidR="00F278CA" w:rsidRPr="00226F9D">
        <w:rPr>
          <w:rFonts w:ascii="Times New Roman" w:eastAsia="Times New Roman" w:hAnsi="Times New Roman" w:cs="Times New Roman"/>
          <w:kern w:val="0"/>
          <w:lang w:val="sr-Cyrl-RS" w:eastAsia="de-CH"/>
          <w14:ligatures w14:val="none"/>
        </w:rPr>
        <w:t>ЛС</w:t>
      </w:r>
      <w:r w:rsidR="009270BE" w:rsidRPr="00226F9D">
        <w:rPr>
          <w:rFonts w:ascii="Times New Roman" w:eastAsia="Times New Roman" w:hAnsi="Times New Roman" w:cs="Times New Roman"/>
          <w:kern w:val="0"/>
          <w:lang w:val="sr-Cyrl-RS" w:eastAsia="de-CH"/>
          <w14:ligatures w14:val="none"/>
        </w:rPr>
        <w:t xml:space="preserve"> у систему јавне управе</w:t>
      </w:r>
      <w:r w:rsidR="008516AF" w:rsidRPr="00226F9D">
        <w:rPr>
          <w:rFonts w:ascii="Times New Roman" w:eastAsia="Times New Roman" w:hAnsi="Times New Roman" w:cs="Times New Roman"/>
          <w:kern w:val="0"/>
          <w:lang w:val="sr-Cyrl-RS" w:eastAsia="de-CH"/>
          <w14:ligatures w14:val="none"/>
        </w:rPr>
        <w:t xml:space="preserve">, уз </w:t>
      </w:r>
      <w:r w:rsidR="00E5263A" w:rsidRPr="00226F9D">
        <w:rPr>
          <w:rFonts w:ascii="Times New Roman" w:eastAsia="Times New Roman" w:hAnsi="Times New Roman" w:cs="Times New Roman"/>
          <w:kern w:val="0"/>
          <w:lang w:val="sr-Cyrl-RS" w:eastAsia="de-CH"/>
          <w14:ligatures w14:val="none"/>
        </w:rPr>
        <w:t>паралелан наставак подршке за ефективниј</w:t>
      </w:r>
      <w:r w:rsidR="003D34E9" w:rsidRPr="00226F9D">
        <w:rPr>
          <w:rFonts w:ascii="Times New Roman" w:eastAsia="Times New Roman" w:hAnsi="Times New Roman" w:cs="Times New Roman"/>
          <w:kern w:val="0"/>
          <w:lang w:val="sr-Cyrl-RS" w:eastAsia="de-CH"/>
          <w14:ligatures w14:val="none"/>
        </w:rPr>
        <w:t xml:space="preserve">е организовање административних поступака </w:t>
      </w:r>
      <w:r w:rsidR="00814193" w:rsidRPr="00226F9D">
        <w:rPr>
          <w:rFonts w:ascii="Times New Roman" w:eastAsia="Times New Roman" w:hAnsi="Times New Roman" w:cs="Times New Roman"/>
          <w:kern w:val="0"/>
          <w:lang w:val="sr-Cyrl-RS" w:eastAsia="de-CH"/>
          <w14:ligatures w14:val="none"/>
        </w:rPr>
        <w:t xml:space="preserve">и </w:t>
      </w:r>
      <w:r w:rsidR="00A259AB" w:rsidRPr="00226F9D">
        <w:rPr>
          <w:rFonts w:ascii="Times New Roman" w:eastAsia="Times New Roman" w:hAnsi="Times New Roman" w:cs="Times New Roman"/>
          <w:kern w:val="0"/>
          <w:lang w:val="sr-Cyrl-RS" w:eastAsia="de-CH"/>
          <w14:ligatures w14:val="none"/>
        </w:rPr>
        <w:t>услуга</w:t>
      </w:r>
      <w:r w:rsidR="002B715E" w:rsidRPr="00226F9D">
        <w:rPr>
          <w:rFonts w:ascii="Times New Roman" w:eastAsia="Times New Roman" w:hAnsi="Times New Roman" w:cs="Times New Roman"/>
          <w:kern w:val="0"/>
          <w:lang w:val="sr-Cyrl-RS" w:eastAsia="de-CH"/>
          <w14:ligatures w14:val="none"/>
        </w:rPr>
        <w:t xml:space="preserve"> (мера 4.1)</w:t>
      </w:r>
      <w:r w:rsidR="00A259AB" w:rsidRPr="00226F9D">
        <w:rPr>
          <w:rFonts w:ascii="Times New Roman" w:eastAsia="Times New Roman" w:hAnsi="Times New Roman" w:cs="Times New Roman"/>
          <w:kern w:val="0"/>
          <w:lang w:val="sr-Cyrl-RS" w:eastAsia="de-CH"/>
          <w14:ligatures w14:val="none"/>
        </w:rPr>
        <w:t xml:space="preserve">; </w:t>
      </w:r>
      <w:r w:rsidR="004E234B" w:rsidRPr="00226F9D">
        <w:rPr>
          <w:rFonts w:ascii="Times New Roman" w:eastAsia="Times New Roman" w:hAnsi="Times New Roman" w:cs="Times New Roman"/>
          <w:kern w:val="0"/>
          <w:lang w:val="sr-Cyrl-RS" w:eastAsia="de-CH"/>
          <w14:ligatures w14:val="none"/>
        </w:rPr>
        <w:t>2)</w:t>
      </w:r>
      <w:r w:rsidR="00A537C3" w:rsidRPr="00226F9D">
        <w:rPr>
          <w:rFonts w:ascii="Times New Roman" w:eastAsia="Times New Roman" w:hAnsi="Times New Roman" w:cs="Times New Roman"/>
          <w:kern w:val="0"/>
          <w:lang w:val="sr-Cyrl-RS" w:eastAsia="de-CH"/>
          <w14:ligatures w14:val="none"/>
        </w:rPr>
        <w:t xml:space="preserve">стимулише и функционално подржава </w:t>
      </w:r>
      <w:r w:rsidR="00494144" w:rsidRPr="00226F9D">
        <w:rPr>
          <w:rFonts w:ascii="Times New Roman" w:eastAsia="Times New Roman" w:hAnsi="Times New Roman" w:cs="Times New Roman"/>
          <w:kern w:val="0"/>
          <w:lang w:val="sr-Cyrl-RS" w:eastAsia="de-CH"/>
          <w14:ligatures w14:val="none"/>
        </w:rPr>
        <w:t>унапређење</w:t>
      </w:r>
      <w:r w:rsidR="00E54950" w:rsidRPr="00226F9D">
        <w:rPr>
          <w:rFonts w:ascii="Times New Roman" w:eastAsia="Times New Roman" w:hAnsi="Times New Roman" w:cs="Times New Roman"/>
          <w:kern w:val="0"/>
          <w:lang w:val="sr-Cyrl-RS" w:eastAsia="de-CH"/>
          <w14:ligatures w14:val="none"/>
        </w:rPr>
        <w:t xml:space="preserve"> међуопштинске сарадње за спровођење услуга </w:t>
      </w:r>
      <w:r w:rsidR="00494144" w:rsidRPr="00226F9D">
        <w:rPr>
          <w:rFonts w:ascii="Times New Roman" w:eastAsia="Times New Roman" w:hAnsi="Times New Roman" w:cs="Times New Roman"/>
          <w:kern w:val="0"/>
          <w:lang w:val="sr-Cyrl-RS" w:eastAsia="de-CH"/>
          <w14:ligatures w14:val="none"/>
        </w:rPr>
        <w:t xml:space="preserve">ЛС (мера 4.2); </w:t>
      </w:r>
      <w:r w:rsidR="004E234B" w:rsidRPr="00226F9D">
        <w:rPr>
          <w:rFonts w:ascii="Times New Roman" w:eastAsia="Times New Roman" w:hAnsi="Times New Roman" w:cs="Times New Roman"/>
          <w:kern w:val="0"/>
          <w:lang w:val="sr-Cyrl-RS" w:eastAsia="de-CH"/>
          <w14:ligatures w14:val="none"/>
        </w:rPr>
        <w:t>3)</w:t>
      </w:r>
      <w:r w:rsidR="00E909B9" w:rsidRPr="00226F9D">
        <w:rPr>
          <w:rFonts w:ascii="Times New Roman" w:eastAsia="Times New Roman" w:hAnsi="Times New Roman" w:cs="Times New Roman"/>
          <w:kern w:val="0"/>
          <w:lang w:val="sr-Cyrl-RS" w:eastAsia="de-CH"/>
          <w14:ligatures w14:val="none"/>
        </w:rPr>
        <w:t xml:space="preserve">осигурава </w:t>
      </w:r>
      <w:r w:rsidR="007850FB" w:rsidRPr="00226F9D">
        <w:rPr>
          <w:rFonts w:ascii="Times New Roman" w:eastAsia="Times New Roman" w:hAnsi="Times New Roman" w:cs="Times New Roman"/>
          <w:kern w:val="0"/>
          <w:lang w:val="sr-Cyrl-RS" w:eastAsia="de-CH"/>
          <w14:ligatures w14:val="none"/>
        </w:rPr>
        <w:t xml:space="preserve">широку сарадњу надлежних актера и пружање </w:t>
      </w:r>
      <w:r w:rsidR="002643B7" w:rsidRPr="00226F9D">
        <w:rPr>
          <w:rFonts w:ascii="Times New Roman" w:eastAsia="Times New Roman" w:hAnsi="Times New Roman" w:cs="Times New Roman"/>
          <w:kern w:val="0"/>
          <w:lang w:val="sr-Cyrl-RS" w:eastAsia="de-CH"/>
          <w14:ligatures w14:val="none"/>
        </w:rPr>
        <w:t xml:space="preserve">подршке ЛС за ефективно спровођење реформисаног правног оквира </w:t>
      </w:r>
      <w:r w:rsidR="00225F6A" w:rsidRPr="00226F9D">
        <w:rPr>
          <w:rFonts w:ascii="Times New Roman" w:eastAsia="Times New Roman" w:hAnsi="Times New Roman" w:cs="Times New Roman"/>
          <w:kern w:val="0"/>
          <w:lang w:val="sr-Cyrl-RS" w:eastAsia="de-CH"/>
          <w14:ligatures w14:val="none"/>
        </w:rPr>
        <w:t>комуналних делатности</w:t>
      </w:r>
      <w:r w:rsidR="00ED3D13" w:rsidRPr="00226F9D">
        <w:rPr>
          <w:rFonts w:ascii="Times New Roman" w:eastAsia="Times New Roman" w:hAnsi="Times New Roman" w:cs="Times New Roman"/>
          <w:kern w:val="0"/>
          <w:lang w:val="sr-Cyrl-RS" w:eastAsia="de-CH"/>
          <w14:ligatures w14:val="none"/>
        </w:rPr>
        <w:t xml:space="preserve">, као и наставак рада на </w:t>
      </w:r>
      <w:r w:rsidR="00E21BDE" w:rsidRPr="00226F9D">
        <w:rPr>
          <w:rFonts w:ascii="Times New Roman" w:eastAsia="Times New Roman" w:hAnsi="Times New Roman" w:cs="Times New Roman"/>
          <w:kern w:val="0"/>
          <w:lang w:val="sr-Cyrl-RS" w:eastAsia="de-CH"/>
          <w14:ligatures w14:val="none"/>
        </w:rPr>
        <w:t xml:space="preserve">регулативи </w:t>
      </w:r>
      <w:r w:rsidR="007C0C6D">
        <w:rPr>
          <w:rFonts w:ascii="Times New Roman" w:eastAsia="Times New Roman" w:hAnsi="Times New Roman" w:cs="Times New Roman"/>
          <w:kern w:val="0"/>
          <w:lang w:val="sr-Cyrl-RS" w:eastAsia="de-CH"/>
          <w14:ligatures w14:val="none"/>
        </w:rPr>
        <w:t xml:space="preserve">у </w:t>
      </w:r>
      <w:r w:rsidR="003D6653" w:rsidRPr="00226F9D">
        <w:rPr>
          <w:rFonts w:ascii="Times New Roman" w:eastAsia="Times New Roman" w:hAnsi="Times New Roman" w:cs="Times New Roman"/>
          <w:kern w:val="0"/>
          <w:lang w:val="sr-Cyrl-RS" w:eastAsia="de-CH"/>
          <w14:ligatures w14:val="none"/>
        </w:rPr>
        <w:t xml:space="preserve">погледу циљаних тема од значаја </w:t>
      </w:r>
      <w:r w:rsidR="00780D25" w:rsidRPr="00226F9D">
        <w:rPr>
          <w:rFonts w:ascii="Times New Roman" w:eastAsia="Times New Roman" w:hAnsi="Times New Roman" w:cs="Times New Roman"/>
          <w:kern w:val="0"/>
          <w:lang w:val="sr-Cyrl-RS" w:eastAsia="de-CH"/>
          <w14:ligatures w14:val="none"/>
        </w:rPr>
        <w:t xml:space="preserve">за ЛС </w:t>
      </w:r>
      <w:r w:rsidR="001374DE" w:rsidRPr="00226F9D">
        <w:rPr>
          <w:rFonts w:ascii="Times New Roman" w:eastAsia="Times New Roman" w:hAnsi="Times New Roman" w:cs="Times New Roman"/>
          <w:kern w:val="0"/>
          <w:lang w:val="sr-Cyrl-RS" w:eastAsia="de-CH"/>
          <w14:ligatures w14:val="none"/>
        </w:rPr>
        <w:t>(мера 4.3).</w:t>
      </w:r>
      <w:r w:rsidR="00225F6A" w:rsidRPr="00226F9D">
        <w:rPr>
          <w:rFonts w:ascii="Times New Roman" w:eastAsia="Times New Roman" w:hAnsi="Times New Roman" w:cs="Times New Roman"/>
          <w:kern w:val="0"/>
          <w:lang w:val="sr-Cyrl-RS" w:eastAsia="de-CH"/>
          <w14:ligatures w14:val="none"/>
        </w:rPr>
        <w:t xml:space="preserve"> </w:t>
      </w:r>
      <w:r w:rsidR="009270BE" w:rsidRPr="00226F9D">
        <w:rPr>
          <w:rFonts w:ascii="Times New Roman" w:eastAsia="Times New Roman" w:hAnsi="Times New Roman" w:cs="Times New Roman"/>
          <w:kern w:val="0"/>
          <w:lang w:val="sr-Cyrl-RS" w:eastAsia="de-CH"/>
          <w14:ligatures w14:val="none"/>
        </w:rPr>
        <w:t xml:space="preserve"> </w:t>
      </w:r>
    </w:p>
    <w:p w14:paraId="0DFE1FF9" w14:textId="77777777" w:rsidR="0028775A" w:rsidRPr="00226F9D" w:rsidRDefault="0028775A" w:rsidP="000457A0">
      <w:pPr>
        <w:spacing w:after="0" w:line="240" w:lineRule="auto"/>
        <w:jc w:val="both"/>
        <w:rPr>
          <w:rFonts w:ascii="Times New Roman" w:eastAsia="Times New Roman" w:hAnsi="Times New Roman" w:cs="Times New Roman"/>
          <w:kern w:val="0"/>
          <w:lang w:val="sr-Cyrl-RS" w:eastAsia="de-CH"/>
          <w14:ligatures w14:val="none"/>
        </w:rPr>
      </w:pPr>
    </w:p>
    <w:p w14:paraId="3EFC1F9C" w14:textId="447F1706" w:rsidR="0028775A" w:rsidRPr="00226F9D" w:rsidRDefault="0028775A" w:rsidP="0028775A">
      <w:pPr>
        <w:spacing w:after="0" w:line="240" w:lineRule="auto"/>
        <w:jc w:val="both"/>
        <w:rPr>
          <w:rFonts w:ascii="Times New Roman" w:eastAsia="Times New Roman" w:hAnsi="Times New Roman" w:cs="Times New Roman"/>
          <w:kern w:val="0"/>
          <w:highlight w:val="yellow"/>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За ефективну реализацију мера и остваривање Посебног циља 4, </w:t>
      </w:r>
      <w:r w:rsidRPr="00226F9D">
        <w:rPr>
          <w:rFonts w:ascii="Times New Roman" w:eastAsia="Times New Roman" w:hAnsi="Times New Roman" w:cs="Times New Roman"/>
          <w:b/>
          <w:bCs/>
          <w:i/>
          <w:iCs/>
          <w:kern w:val="0"/>
          <w:lang w:val="sr-Cyrl-RS" w:eastAsia="de-CH"/>
          <w14:ligatures w14:val="none"/>
        </w:rPr>
        <w:t>кључни препознати ризик</w:t>
      </w:r>
      <w:r w:rsidRPr="00226F9D">
        <w:rPr>
          <w:rFonts w:ascii="Times New Roman" w:eastAsia="Times New Roman" w:hAnsi="Times New Roman" w:cs="Times New Roman"/>
          <w:kern w:val="0"/>
          <w:lang w:val="sr-Cyrl-RS" w:eastAsia="de-CH"/>
          <w14:ligatures w14:val="none"/>
        </w:rPr>
        <w:t xml:space="preserve"> који треба да буде праћен и адекватно адресиран у оквиру ПРСЛС 2026-2030 је како следи:</w:t>
      </w:r>
    </w:p>
    <w:p w14:paraId="69558035" w14:textId="77777777" w:rsidR="0028775A" w:rsidRPr="00226F9D" w:rsidRDefault="0028775A" w:rsidP="0028775A">
      <w:pPr>
        <w:spacing w:after="0" w:line="240" w:lineRule="auto"/>
        <w:jc w:val="both"/>
        <w:rPr>
          <w:rFonts w:ascii="Times New Roman" w:eastAsia="Calibri" w:hAnsi="Times New Roman" w:cs="Times New Roman"/>
          <w:highlight w:val="yellow"/>
          <w:lang w:val="sr-Cyrl-RS"/>
        </w:rPr>
      </w:pPr>
      <w:r w:rsidRPr="00226F9D">
        <w:rPr>
          <w:rFonts w:ascii="Times New Roman" w:eastAsia="Calibri" w:hAnsi="Times New Roman" w:cs="Times New Roman"/>
          <w:highlight w:val="yellow"/>
          <w:lang w:val="sr-Cyrl-RS"/>
        </w:rPr>
        <w:t xml:space="preserve">  </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A0" w:firstRow="1" w:lastRow="0" w:firstColumn="1" w:lastColumn="0" w:noHBand="1" w:noVBand="1"/>
      </w:tblPr>
      <w:tblGrid>
        <w:gridCol w:w="4518"/>
        <w:gridCol w:w="5104"/>
      </w:tblGrid>
      <w:tr w:rsidR="0028775A" w:rsidRPr="00226F9D" w14:paraId="3C9B4E75" w14:textId="77777777" w:rsidTr="007E1BCC">
        <w:tc>
          <w:tcPr>
            <w:tcW w:w="2348" w:type="pct"/>
            <w:shd w:val="clear" w:color="auto" w:fill="FFFFFF" w:themeFill="background1"/>
          </w:tcPr>
          <w:p w14:paraId="1024579C" w14:textId="77777777" w:rsidR="0028775A" w:rsidRPr="00226F9D" w:rsidRDefault="0028775A" w:rsidP="00C026E7">
            <w:pPr>
              <w:spacing w:after="0" w:line="240" w:lineRule="auto"/>
              <w:jc w:val="center"/>
              <w:rPr>
                <w:rFonts w:ascii="Times New Roman" w:eastAsia="Times New Roman"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опис ризика</w:t>
            </w:r>
          </w:p>
        </w:tc>
        <w:tc>
          <w:tcPr>
            <w:tcW w:w="2652" w:type="pct"/>
            <w:shd w:val="clear" w:color="auto" w:fill="FFFFFF" w:themeFill="background1"/>
          </w:tcPr>
          <w:p w14:paraId="5D41B3CB" w14:textId="77777777" w:rsidR="0028775A" w:rsidRPr="00226F9D" w:rsidRDefault="0028775A" w:rsidP="00C026E7">
            <w:pPr>
              <w:spacing w:after="0" w:line="240" w:lineRule="auto"/>
              <w:jc w:val="center"/>
              <w:rPr>
                <w:rFonts w:ascii="Times New Roman" w:eastAsia="Calibri" w:hAnsi="Times New Roman" w:cs="Times New Roman"/>
                <w:b/>
                <w:bCs/>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ублажавање ризика</w:t>
            </w:r>
          </w:p>
        </w:tc>
      </w:tr>
      <w:tr w:rsidR="0028775A" w:rsidRPr="00226F9D" w14:paraId="5320BF99" w14:textId="77777777" w:rsidTr="007E1BCC">
        <w:tc>
          <w:tcPr>
            <w:tcW w:w="2348" w:type="pct"/>
          </w:tcPr>
          <w:p w14:paraId="2D1DC4EF" w14:textId="07E105F3" w:rsidR="0028775A" w:rsidRPr="00226F9D" w:rsidRDefault="00491E1B" w:rsidP="00C026E7">
            <w:pPr>
              <w:spacing w:after="0" w:line="240" w:lineRule="auto"/>
              <w:rPr>
                <w:rFonts w:ascii="Times New Roman" w:eastAsia="Times New Roman" w:hAnsi="Times New Roman" w:cs="Times New Roman"/>
                <w:kern w:val="0"/>
                <w:sz w:val="20"/>
                <w:szCs w:val="20"/>
                <w:highlight w:val="yellow"/>
                <w:lang w:val="sr-Cyrl-RS"/>
                <w14:ligatures w14:val="none"/>
              </w:rPr>
            </w:pPr>
            <w:r w:rsidRPr="00226F9D">
              <w:rPr>
                <w:rFonts w:ascii="Times New Roman" w:eastAsia="Times New Roman" w:hAnsi="Times New Roman" w:cs="Times New Roman"/>
                <w:kern w:val="0"/>
                <w:sz w:val="20"/>
                <w:szCs w:val="20"/>
                <w:lang w:val="sr-Cyrl-RS"/>
                <w14:ligatures w14:val="none"/>
              </w:rPr>
              <w:t>Не</w:t>
            </w:r>
            <w:r w:rsidR="00CF4FA5" w:rsidRPr="00226F9D">
              <w:rPr>
                <w:rFonts w:ascii="Times New Roman" w:eastAsia="Times New Roman" w:hAnsi="Times New Roman" w:cs="Times New Roman"/>
                <w:kern w:val="0"/>
                <w:sz w:val="20"/>
                <w:szCs w:val="20"/>
                <w:lang w:val="sr-Cyrl-RS"/>
                <w14:ligatures w14:val="none"/>
              </w:rPr>
              <w:t>дов</w:t>
            </w:r>
            <w:r w:rsidR="00726A9B" w:rsidRPr="00226F9D">
              <w:rPr>
                <w:rFonts w:ascii="Times New Roman" w:eastAsia="Times New Roman" w:hAnsi="Times New Roman" w:cs="Times New Roman"/>
                <w:kern w:val="0"/>
                <w:sz w:val="20"/>
                <w:szCs w:val="20"/>
                <w:lang w:val="sr-Cyrl-RS"/>
                <w14:ligatures w14:val="none"/>
              </w:rPr>
              <w:t xml:space="preserve">ољни капацитети </w:t>
            </w:r>
            <w:r w:rsidR="00CA4707" w:rsidRPr="00226F9D">
              <w:rPr>
                <w:rFonts w:ascii="Times New Roman" w:eastAsia="Times New Roman" w:hAnsi="Times New Roman" w:cs="Times New Roman"/>
                <w:kern w:val="0"/>
                <w:sz w:val="20"/>
                <w:szCs w:val="20"/>
                <w:lang w:val="sr-Cyrl-RS"/>
                <w14:ligatures w14:val="none"/>
              </w:rPr>
              <w:t xml:space="preserve">за пружање </w:t>
            </w:r>
            <w:r w:rsidR="000830F1" w:rsidRPr="00226F9D">
              <w:rPr>
                <w:rFonts w:ascii="Times New Roman" w:eastAsia="Times New Roman" w:hAnsi="Times New Roman" w:cs="Times New Roman"/>
                <w:kern w:val="0"/>
                <w:sz w:val="20"/>
                <w:szCs w:val="20"/>
                <w:lang w:val="sr-Cyrl-RS"/>
                <w14:ligatures w14:val="none"/>
              </w:rPr>
              <w:t>и не</w:t>
            </w:r>
            <w:r w:rsidRPr="00226F9D">
              <w:rPr>
                <w:rFonts w:ascii="Times New Roman" w:eastAsia="Times New Roman" w:hAnsi="Times New Roman" w:cs="Times New Roman"/>
                <w:kern w:val="0"/>
                <w:sz w:val="20"/>
                <w:szCs w:val="20"/>
                <w:lang w:val="sr-Cyrl-RS"/>
                <w14:ligatures w14:val="none"/>
              </w:rPr>
              <w:t xml:space="preserve">уједначеност </w:t>
            </w:r>
            <w:r w:rsidR="001564EA" w:rsidRPr="00226F9D">
              <w:rPr>
                <w:rFonts w:ascii="Times New Roman" w:eastAsia="Times New Roman" w:hAnsi="Times New Roman" w:cs="Times New Roman"/>
                <w:kern w:val="0"/>
                <w:sz w:val="20"/>
                <w:szCs w:val="20"/>
                <w:lang w:val="sr-Cyrl-RS"/>
                <w14:ligatures w14:val="none"/>
              </w:rPr>
              <w:t>квалитета</w:t>
            </w:r>
            <w:r w:rsidR="003E3907" w:rsidRPr="00226F9D">
              <w:rPr>
                <w:rFonts w:ascii="Times New Roman" w:eastAsia="Times New Roman" w:hAnsi="Times New Roman" w:cs="Times New Roman"/>
                <w:kern w:val="0"/>
                <w:sz w:val="20"/>
                <w:szCs w:val="20"/>
                <w:lang w:val="sr-Cyrl-RS"/>
                <w14:ligatures w14:val="none"/>
              </w:rPr>
              <w:t xml:space="preserve">, обима и доступности </w:t>
            </w:r>
            <w:r w:rsidR="00304967" w:rsidRPr="00226F9D">
              <w:rPr>
                <w:rFonts w:ascii="Times New Roman" w:eastAsia="Times New Roman" w:hAnsi="Times New Roman" w:cs="Times New Roman"/>
                <w:kern w:val="0"/>
                <w:sz w:val="20"/>
                <w:szCs w:val="20"/>
                <w:lang w:val="sr-Cyrl-RS"/>
                <w14:ligatures w14:val="none"/>
              </w:rPr>
              <w:t>услуг</w:t>
            </w:r>
            <w:r w:rsidR="00CA4707" w:rsidRPr="00226F9D">
              <w:rPr>
                <w:rFonts w:ascii="Times New Roman" w:eastAsia="Times New Roman" w:hAnsi="Times New Roman" w:cs="Times New Roman"/>
                <w:kern w:val="0"/>
                <w:sz w:val="20"/>
                <w:szCs w:val="20"/>
                <w:lang w:val="sr-Cyrl-RS"/>
                <w14:ligatures w14:val="none"/>
              </w:rPr>
              <w:t>а</w:t>
            </w:r>
            <w:r w:rsidR="00304967" w:rsidRPr="00226F9D">
              <w:rPr>
                <w:rFonts w:ascii="Times New Roman" w:eastAsia="Times New Roman" w:hAnsi="Times New Roman" w:cs="Times New Roman"/>
                <w:kern w:val="0"/>
                <w:sz w:val="20"/>
                <w:szCs w:val="20"/>
                <w:lang w:val="sr-Cyrl-RS"/>
                <w14:ligatures w14:val="none"/>
              </w:rPr>
              <w:t xml:space="preserve"> које пружају локални органи управе, комуналн</w:t>
            </w:r>
            <w:r w:rsidR="00CA4707" w:rsidRPr="00226F9D">
              <w:rPr>
                <w:rFonts w:ascii="Times New Roman" w:eastAsia="Times New Roman" w:hAnsi="Times New Roman" w:cs="Times New Roman"/>
                <w:kern w:val="0"/>
                <w:sz w:val="20"/>
                <w:szCs w:val="20"/>
                <w:lang w:val="sr-Cyrl-RS"/>
                <w14:ligatures w14:val="none"/>
              </w:rPr>
              <w:t>их</w:t>
            </w:r>
            <w:r w:rsidR="00304967" w:rsidRPr="00226F9D">
              <w:rPr>
                <w:rFonts w:ascii="Times New Roman" w:eastAsia="Times New Roman" w:hAnsi="Times New Roman" w:cs="Times New Roman"/>
                <w:kern w:val="0"/>
                <w:sz w:val="20"/>
                <w:szCs w:val="20"/>
                <w:lang w:val="sr-Cyrl-RS"/>
                <w14:ligatures w14:val="none"/>
              </w:rPr>
              <w:t xml:space="preserve"> услуг</w:t>
            </w:r>
            <w:r w:rsidR="00CA4707" w:rsidRPr="00226F9D">
              <w:rPr>
                <w:rFonts w:ascii="Times New Roman" w:eastAsia="Times New Roman" w:hAnsi="Times New Roman" w:cs="Times New Roman"/>
                <w:kern w:val="0"/>
                <w:sz w:val="20"/>
                <w:szCs w:val="20"/>
                <w:lang w:val="sr-Cyrl-RS"/>
                <w14:ligatures w14:val="none"/>
              </w:rPr>
              <w:t>а</w:t>
            </w:r>
            <w:r w:rsidR="00304967" w:rsidRPr="00226F9D">
              <w:rPr>
                <w:rFonts w:ascii="Times New Roman" w:eastAsia="Times New Roman" w:hAnsi="Times New Roman" w:cs="Times New Roman"/>
                <w:kern w:val="0"/>
                <w:sz w:val="20"/>
                <w:szCs w:val="20"/>
                <w:lang w:val="sr-Cyrl-RS"/>
                <w14:ligatures w14:val="none"/>
              </w:rPr>
              <w:t xml:space="preserve"> и услуг</w:t>
            </w:r>
            <w:r w:rsidR="00CA4707" w:rsidRPr="00226F9D">
              <w:rPr>
                <w:rFonts w:ascii="Times New Roman" w:eastAsia="Times New Roman" w:hAnsi="Times New Roman" w:cs="Times New Roman"/>
                <w:kern w:val="0"/>
                <w:sz w:val="20"/>
                <w:szCs w:val="20"/>
                <w:lang w:val="sr-Cyrl-RS"/>
                <w14:ligatures w14:val="none"/>
              </w:rPr>
              <w:t>а</w:t>
            </w:r>
            <w:r w:rsidR="00304967" w:rsidRPr="00226F9D">
              <w:rPr>
                <w:rFonts w:ascii="Times New Roman" w:eastAsia="Times New Roman" w:hAnsi="Times New Roman" w:cs="Times New Roman"/>
                <w:kern w:val="0"/>
                <w:sz w:val="20"/>
                <w:szCs w:val="20"/>
                <w:lang w:val="sr-Cyrl-RS"/>
                <w14:ligatures w14:val="none"/>
              </w:rPr>
              <w:t xml:space="preserve"> јавних установа</w:t>
            </w:r>
          </w:p>
        </w:tc>
        <w:tc>
          <w:tcPr>
            <w:tcW w:w="2652" w:type="pct"/>
          </w:tcPr>
          <w:p w14:paraId="6A18C3E9" w14:textId="0FCB13C8" w:rsidR="0028775A" w:rsidRPr="00226F9D" w:rsidRDefault="00124C6C" w:rsidP="00C026E7">
            <w:pPr>
              <w:spacing w:after="0" w:line="240" w:lineRule="auto"/>
              <w:jc w:val="both"/>
              <w:rPr>
                <w:rFonts w:ascii="Times New Roman" w:eastAsia="Times New Roman" w:hAnsi="Times New Roman" w:cs="Times New Roman"/>
                <w:kern w:val="0"/>
                <w:sz w:val="20"/>
                <w:szCs w:val="20"/>
                <w:highlight w:val="yellow"/>
                <w:lang w:val="sr-Cyrl-RS"/>
                <w14:ligatures w14:val="none"/>
              </w:rPr>
            </w:pPr>
            <w:r w:rsidRPr="00226F9D">
              <w:rPr>
                <w:rFonts w:ascii="Times New Roman" w:eastAsia="Times New Roman" w:hAnsi="Times New Roman" w:cs="Times New Roman"/>
                <w:kern w:val="0"/>
                <w:sz w:val="20"/>
                <w:szCs w:val="20"/>
                <w:lang w:val="sr-Cyrl-RS"/>
                <w14:ligatures w14:val="none"/>
              </w:rPr>
              <w:t xml:space="preserve">Расположивост подршке за </w:t>
            </w:r>
            <w:r w:rsidR="00583D4C" w:rsidRPr="00226F9D">
              <w:rPr>
                <w:rFonts w:ascii="Times New Roman" w:eastAsia="Times New Roman" w:hAnsi="Times New Roman" w:cs="Times New Roman"/>
                <w:kern w:val="0"/>
                <w:sz w:val="20"/>
                <w:szCs w:val="20"/>
                <w:lang w:val="sr-Cyrl-RS"/>
                <w14:ligatures w14:val="none"/>
              </w:rPr>
              <w:t>е</w:t>
            </w:r>
            <w:r w:rsidR="003F2E36" w:rsidRPr="00226F9D">
              <w:rPr>
                <w:rFonts w:ascii="Times New Roman" w:eastAsia="Times New Roman" w:hAnsi="Times New Roman" w:cs="Times New Roman"/>
                <w:kern w:val="0"/>
                <w:sz w:val="20"/>
                <w:szCs w:val="20"/>
                <w:lang w:val="sr-Cyrl-RS"/>
                <w14:ligatures w14:val="none"/>
              </w:rPr>
              <w:t xml:space="preserve">фикасно окончање </w:t>
            </w:r>
            <w:r w:rsidR="004C75FD" w:rsidRPr="00226F9D">
              <w:rPr>
                <w:rFonts w:ascii="Times New Roman" w:eastAsia="Times New Roman" w:hAnsi="Times New Roman" w:cs="Times New Roman"/>
                <w:kern w:val="0"/>
                <w:sz w:val="20"/>
                <w:szCs w:val="20"/>
                <w:lang w:val="sr-Cyrl-RS"/>
                <w14:ligatures w14:val="none"/>
              </w:rPr>
              <w:t>ун</w:t>
            </w:r>
            <w:r w:rsidR="00B4157A" w:rsidRPr="00226F9D">
              <w:rPr>
                <w:rFonts w:ascii="Times New Roman" w:eastAsia="Times New Roman" w:hAnsi="Times New Roman" w:cs="Times New Roman"/>
                <w:kern w:val="0"/>
                <w:sz w:val="20"/>
                <w:szCs w:val="20"/>
                <w:lang w:val="sr-Cyrl-RS"/>
                <w14:ligatures w14:val="none"/>
              </w:rPr>
              <w:t>оса</w:t>
            </w:r>
            <w:r w:rsidR="004C75FD" w:rsidRPr="00226F9D">
              <w:rPr>
                <w:rFonts w:ascii="Times New Roman" w:eastAsia="Times New Roman" w:hAnsi="Times New Roman" w:cs="Times New Roman"/>
                <w:kern w:val="0"/>
                <w:sz w:val="20"/>
                <w:szCs w:val="20"/>
                <w:lang w:val="sr-Cyrl-RS"/>
                <w14:ligatures w14:val="none"/>
              </w:rPr>
              <w:t xml:space="preserve"> посту</w:t>
            </w:r>
            <w:r w:rsidR="00B4157A" w:rsidRPr="00226F9D">
              <w:rPr>
                <w:rFonts w:ascii="Times New Roman" w:eastAsia="Times New Roman" w:hAnsi="Times New Roman" w:cs="Times New Roman"/>
                <w:kern w:val="0"/>
                <w:sz w:val="20"/>
                <w:szCs w:val="20"/>
                <w:lang w:val="sr-Cyrl-RS"/>
                <w14:ligatures w14:val="none"/>
              </w:rPr>
              <w:t xml:space="preserve">пака </w:t>
            </w:r>
            <w:r w:rsidR="004C75FD" w:rsidRPr="00226F9D">
              <w:rPr>
                <w:rFonts w:ascii="Times New Roman" w:eastAsia="Times New Roman" w:hAnsi="Times New Roman" w:cs="Times New Roman"/>
                <w:kern w:val="0"/>
                <w:sz w:val="20"/>
                <w:szCs w:val="20"/>
                <w:lang w:val="sr-Cyrl-RS"/>
                <w14:ligatures w14:val="none"/>
              </w:rPr>
              <w:t>у Регистар административних поступака</w:t>
            </w:r>
            <w:r w:rsidR="00B4157A" w:rsidRPr="00226F9D">
              <w:rPr>
                <w:rFonts w:ascii="Times New Roman" w:eastAsia="Times New Roman" w:hAnsi="Times New Roman" w:cs="Times New Roman"/>
                <w:kern w:val="0"/>
                <w:sz w:val="20"/>
                <w:szCs w:val="20"/>
                <w:lang w:val="sr-Cyrl-RS"/>
                <w14:ligatures w14:val="none"/>
              </w:rPr>
              <w:t xml:space="preserve"> </w:t>
            </w:r>
            <w:r w:rsidR="0006272A" w:rsidRPr="00226F9D">
              <w:rPr>
                <w:rFonts w:ascii="Times New Roman" w:eastAsia="Times New Roman" w:hAnsi="Times New Roman" w:cs="Times New Roman"/>
                <w:kern w:val="0"/>
                <w:sz w:val="20"/>
                <w:szCs w:val="20"/>
                <w:lang w:val="sr-Cyrl-RS"/>
                <w14:ligatures w14:val="none"/>
              </w:rPr>
              <w:t xml:space="preserve">од стране ЈЛС </w:t>
            </w:r>
            <w:r w:rsidR="007970C2" w:rsidRPr="00226F9D">
              <w:rPr>
                <w:rFonts w:ascii="Times New Roman" w:eastAsia="Times New Roman" w:hAnsi="Times New Roman" w:cs="Times New Roman"/>
                <w:kern w:val="0"/>
                <w:sz w:val="20"/>
                <w:szCs w:val="20"/>
                <w:lang w:val="sr-Cyrl-RS"/>
                <w14:ligatures w14:val="none"/>
              </w:rPr>
              <w:t xml:space="preserve">и </w:t>
            </w:r>
            <w:r w:rsidRPr="00226F9D">
              <w:rPr>
                <w:rFonts w:ascii="Times New Roman" w:eastAsia="Times New Roman" w:hAnsi="Times New Roman" w:cs="Times New Roman"/>
                <w:kern w:val="0"/>
                <w:sz w:val="20"/>
                <w:szCs w:val="20"/>
                <w:lang w:val="sr-Cyrl-RS"/>
                <w14:ligatures w14:val="none"/>
              </w:rPr>
              <w:t xml:space="preserve">за </w:t>
            </w:r>
            <w:r w:rsidR="007970C2" w:rsidRPr="00226F9D">
              <w:rPr>
                <w:rFonts w:ascii="Times New Roman" w:eastAsia="Times New Roman" w:hAnsi="Times New Roman" w:cs="Times New Roman"/>
                <w:kern w:val="0"/>
                <w:sz w:val="20"/>
                <w:szCs w:val="20"/>
                <w:lang w:val="sr-Cyrl-RS"/>
                <w14:ligatures w14:val="none"/>
              </w:rPr>
              <w:t>његово коришћење</w:t>
            </w:r>
            <w:r w:rsidR="00B4157A" w:rsidRPr="00226F9D">
              <w:rPr>
                <w:rFonts w:ascii="Times New Roman" w:eastAsia="Times New Roman" w:hAnsi="Times New Roman" w:cs="Times New Roman"/>
                <w:kern w:val="0"/>
                <w:sz w:val="20"/>
                <w:szCs w:val="20"/>
                <w:lang w:val="sr-Cyrl-RS"/>
                <w14:ligatures w14:val="none"/>
              </w:rPr>
              <w:t xml:space="preserve">; </w:t>
            </w:r>
            <w:r w:rsidR="00881C47" w:rsidRPr="00226F9D">
              <w:rPr>
                <w:rFonts w:ascii="Times New Roman" w:eastAsia="Times New Roman" w:hAnsi="Times New Roman" w:cs="Times New Roman"/>
                <w:kern w:val="0"/>
                <w:sz w:val="20"/>
                <w:szCs w:val="20"/>
                <w:lang w:val="sr-Cyrl-RS"/>
                <w14:ligatures w14:val="none"/>
              </w:rPr>
              <w:t xml:space="preserve"> </w:t>
            </w:r>
            <w:r w:rsidR="000F78FD" w:rsidRPr="00226F9D">
              <w:rPr>
                <w:rFonts w:ascii="Times New Roman" w:eastAsia="Times New Roman" w:hAnsi="Times New Roman" w:cs="Times New Roman"/>
                <w:kern w:val="0"/>
                <w:sz w:val="20"/>
                <w:szCs w:val="20"/>
                <w:lang w:val="sr-Cyrl-RS"/>
                <w14:ligatures w14:val="none"/>
              </w:rPr>
              <w:t xml:space="preserve">анализа и моделовање приступа </w:t>
            </w:r>
            <w:r w:rsidR="00450456" w:rsidRPr="00226F9D">
              <w:rPr>
                <w:rFonts w:ascii="Times New Roman" w:eastAsia="Times New Roman" w:hAnsi="Times New Roman" w:cs="Times New Roman"/>
                <w:kern w:val="0"/>
                <w:sz w:val="20"/>
                <w:szCs w:val="20"/>
                <w:lang w:val="sr-Cyrl-RS"/>
                <w14:ligatures w14:val="none"/>
              </w:rPr>
              <w:t xml:space="preserve">ЈЛС </w:t>
            </w:r>
            <w:r w:rsidR="000F78FD" w:rsidRPr="00226F9D">
              <w:rPr>
                <w:rFonts w:ascii="Times New Roman" w:eastAsia="Times New Roman" w:hAnsi="Times New Roman" w:cs="Times New Roman"/>
                <w:kern w:val="0"/>
                <w:sz w:val="20"/>
                <w:szCs w:val="20"/>
                <w:lang w:val="sr-Cyrl-RS"/>
                <w14:ligatures w14:val="none"/>
              </w:rPr>
              <w:t xml:space="preserve">за </w:t>
            </w:r>
            <w:r w:rsidR="00881C47" w:rsidRPr="00226F9D">
              <w:rPr>
                <w:rFonts w:ascii="Times New Roman" w:eastAsia="Times New Roman" w:hAnsi="Times New Roman" w:cs="Times New Roman"/>
                <w:kern w:val="0"/>
                <w:sz w:val="20"/>
                <w:szCs w:val="20"/>
                <w:lang w:val="sr-Cyrl-RS"/>
                <w14:ligatures w14:val="none"/>
              </w:rPr>
              <w:t>поједно</w:t>
            </w:r>
            <w:r w:rsidR="000F78FD" w:rsidRPr="00226F9D">
              <w:rPr>
                <w:rFonts w:ascii="Times New Roman" w:eastAsia="Times New Roman" w:hAnsi="Times New Roman" w:cs="Times New Roman"/>
                <w:kern w:val="0"/>
                <w:sz w:val="20"/>
                <w:szCs w:val="20"/>
                <w:lang w:val="sr-Cyrl-RS"/>
                <w14:ligatures w14:val="none"/>
              </w:rPr>
              <w:t>стављење</w:t>
            </w:r>
            <w:r w:rsidR="00881C47" w:rsidRPr="00226F9D">
              <w:rPr>
                <w:rFonts w:ascii="Times New Roman" w:eastAsia="Times New Roman" w:hAnsi="Times New Roman" w:cs="Times New Roman"/>
                <w:kern w:val="0"/>
                <w:sz w:val="20"/>
                <w:szCs w:val="20"/>
                <w:lang w:val="sr-Cyrl-RS"/>
                <w14:ligatures w14:val="none"/>
              </w:rPr>
              <w:t xml:space="preserve"> и обједињ</w:t>
            </w:r>
            <w:r w:rsidR="000F78FD" w:rsidRPr="00226F9D">
              <w:rPr>
                <w:rFonts w:ascii="Times New Roman" w:eastAsia="Times New Roman" w:hAnsi="Times New Roman" w:cs="Times New Roman"/>
                <w:kern w:val="0"/>
                <w:sz w:val="20"/>
                <w:szCs w:val="20"/>
                <w:lang w:val="sr-Cyrl-RS"/>
                <w14:ligatures w14:val="none"/>
              </w:rPr>
              <w:t>авање</w:t>
            </w:r>
            <w:r w:rsidR="00881C47" w:rsidRPr="00226F9D">
              <w:rPr>
                <w:rFonts w:ascii="Times New Roman" w:eastAsia="Times New Roman" w:hAnsi="Times New Roman" w:cs="Times New Roman"/>
                <w:kern w:val="0"/>
                <w:sz w:val="20"/>
                <w:szCs w:val="20"/>
                <w:lang w:val="sr-Cyrl-RS"/>
                <w14:ligatures w14:val="none"/>
              </w:rPr>
              <w:t xml:space="preserve"> административних поступака </w:t>
            </w:r>
            <w:r w:rsidR="00D5228F" w:rsidRPr="00226F9D">
              <w:rPr>
                <w:rFonts w:ascii="Times New Roman" w:eastAsia="Times New Roman" w:hAnsi="Times New Roman" w:cs="Times New Roman"/>
                <w:kern w:val="0"/>
                <w:sz w:val="20"/>
                <w:szCs w:val="20"/>
                <w:lang w:val="sr-Cyrl-RS"/>
                <w14:ligatures w14:val="none"/>
              </w:rPr>
              <w:t xml:space="preserve">и за </w:t>
            </w:r>
            <w:r w:rsidR="00881C47" w:rsidRPr="00226F9D">
              <w:rPr>
                <w:rFonts w:ascii="Times New Roman" w:eastAsia="Times New Roman" w:hAnsi="Times New Roman" w:cs="Times New Roman"/>
                <w:kern w:val="0"/>
                <w:sz w:val="20"/>
                <w:szCs w:val="20"/>
                <w:lang w:val="sr-Cyrl-RS"/>
                <w14:ligatures w14:val="none"/>
              </w:rPr>
              <w:t>унапређењ</w:t>
            </w:r>
            <w:r w:rsidR="00D5228F" w:rsidRPr="00226F9D">
              <w:rPr>
                <w:rFonts w:ascii="Times New Roman" w:eastAsia="Times New Roman" w:hAnsi="Times New Roman" w:cs="Times New Roman"/>
                <w:kern w:val="0"/>
                <w:sz w:val="20"/>
                <w:szCs w:val="20"/>
                <w:lang w:val="sr-Cyrl-RS"/>
                <w14:ligatures w14:val="none"/>
              </w:rPr>
              <w:t>е</w:t>
            </w:r>
            <w:r w:rsidR="00881C47" w:rsidRPr="00226F9D">
              <w:rPr>
                <w:rFonts w:ascii="Times New Roman" w:eastAsia="Times New Roman" w:hAnsi="Times New Roman" w:cs="Times New Roman"/>
                <w:kern w:val="0"/>
                <w:sz w:val="20"/>
                <w:szCs w:val="20"/>
                <w:lang w:val="sr-Cyrl-RS"/>
                <w14:ligatures w14:val="none"/>
              </w:rPr>
              <w:t xml:space="preserve"> доступности услуга</w:t>
            </w:r>
            <w:r w:rsidR="00EA19E1" w:rsidRPr="00226F9D">
              <w:rPr>
                <w:rFonts w:ascii="Times New Roman" w:eastAsia="Times New Roman" w:hAnsi="Times New Roman" w:cs="Times New Roman"/>
                <w:kern w:val="0"/>
                <w:sz w:val="20"/>
                <w:szCs w:val="20"/>
                <w:lang w:val="sr-Cyrl-RS"/>
                <w14:ligatures w14:val="none"/>
              </w:rPr>
              <w:t xml:space="preserve">; </w:t>
            </w:r>
            <w:r w:rsidR="008C2BAB" w:rsidRPr="00226F9D">
              <w:rPr>
                <w:rFonts w:ascii="Times New Roman" w:eastAsia="Times New Roman" w:hAnsi="Times New Roman" w:cs="Times New Roman"/>
                <w:kern w:val="0"/>
                <w:sz w:val="20"/>
                <w:szCs w:val="20"/>
                <w:lang w:val="sr-Cyrl-RS"/>
                <w14:ligatures w14:val="none"/>
              </w:rPr>
              <w:t xml:space="preserve">потенцирање </w:t>
            </w:r>
            <w:r w:rsidR="00C31124" w:rsidRPr="00226F9D">
              <w:rPr>
                <w:rFonts w:ascii="Times New Roman" w:eastAsia="Times New Roman" w:hAnsi="Times New Roman" w:cs="Times New Roman"/>
                <w:kern w:val="0"/>
                <w:sz w:val="20"/>
                <w:szCs w:val="20"/>
                <w:lang w:val="sr-Cyrl-RS"/>
                <w14:ligatures w14:val="none"/>
              </w:rPr>
              <w:t>међуопштинских услуга</w:t>
            </w:r>
            <w:r w:rsidR="00CB5C9A" w:rsidRPr="00226F9D">
              <w:rPr>
                <w:rFonts w:ascii="Times New Roman" w:eastAsia="Times New Roman" w:hAnsi="Times New Roman" w:cs="Times New Roman"/>
                <w:kern w:val="0"/>
                <w:sz w:val="20"/>
                <w:szCs w:val="20"/>
                <w:lang w:val="sr-Cyrl-RS"/>
                <w14:ligatures w14:val="none"/>
              </w:rPr>
              <w:t xml:space="preserve">; као и методолошко  </w:t>
            </w:r>
            <w:r w:rsidR="00583D4C" w:rsidRPr="00226F9D">
              <w:rPr>
                <w:rFonts w:ascii="Times New Roman" w:eastAsia="Times New Roman" w:hAnsi="Times New Roman" w:cs="Times New Roman"/>
                <w:kern w:val="0"/>
                <w:sz w:val="20"/>
                <w:szCs w:val="20"/>
                <w:lang w:val="sr-Cyrl-RS"/>
                <w14:ligatures w14:val="none"/>
              </w:rPr>
              <w:t xml:space="preserve">и </w:t>
            </w:r>
            <w:r w:rsidR="00CB5C9A" w:rsidRPr="00226F9D">
              <w:rPr>
                <w:rFonts w:ascii="Times New Roman" w:eastAsia="Times New Roman" w:hAnsi="Times New Roman" w:cs="Times New Roman"/>
                <w:kern w:val="0"/>
                <w:sz w:val="20"/>
                <w:szCs w:val="20"/>
                <w:lang w:val="sr-Cyrl-RS"/>
                <w14:ligatures w14:val="none"/>
              </w:rPr>
              <w:t xml:space="preserve">стручно усмеравање ЈЛС за </w:t>
            </w:r>
            <w:r w:rsidR="00583D4C" w:rsidRPr="00226F9D">
              <w:rPr>
                <w:rFonts w:ascii="Times New Roman" w:eastAsia="Times New Roman" w:hAnsi="Times New Roman" w:cs="Times New Roman"/>
                <w:kern w:val="0"/>
                <w:sz w:val="20"/>
                <w:szCs w:val="20"/>
                <w:lang w:val="sr-Cyrl-RS"/>
                <w14:ligatures w14:val="none"/>
              </w:rPr>
              <w:t>ефективније</w:t>
            </w:r>
            <w:r w:rsidR="00C74E28" w:rsidRPr="00226F9D">
              <w:rPr>
                <w:rFonts w:ascii="Times New Roman" w:eastAsia="Times New Roman" w:hAnsi="Times New Roman" w:cs="Times New Roman"/>
                <w:kern w:val="0"/>
                <w:sz w:val="20"/>
                <w:szCs w:val="20"/>
                <w:lang w:val="sr-Cyrl-RS"/>
                <w14:ligatures w14:val="none"/>
              </w:rPr>
              <w:t xml:space="preserve"> обављање комуналнх делатности</w:t>
            </w:r>
            <w:r w:rsidR="00C31124" w:rsidRPr="00226F9D">
              <w:rPr>
                <w:rFonts w:ascii="Times New Roman" w:eastAsia="Times New Roman" w:hAnsi="Times New Roman" w:cs="Times New Roman"/>
                <w:kern w:val="0"/>
                <w:sz w:val="20"/>
                <w:szCs w:val="20"/>
                <w:lang w:val="sr-Cyrl-RS"/>
                <w14:ligatures w14:val="none"/>
              </w:rPr>
              <w:t xml:space="preserve"> </w:t>
            </w:r>
          </w:p>
        </w:tc>
      </w:tr>
    </w:tbl>
    <w:p w14:paraId="2A633763" w14:textId="77777777" w:rsidR="0028775A" w:rsidRPr="00226F9D" w:rsidRDefault="0028775A" w:rsidP="0028775A">
      <w:pPr>
        <w:spacing w:after="0" w:line="240" w:lineRule="auto"/>
        <w:jc w:val="both"/>
        <w:rPr>
          <w:rFonts w:ascii="Times New Roman" w:eastAsia="Times New Roman" w:hAnsi="Times New Roman" w:cs="Times New Roman"/>
          <w:kern w:val="0"/>
          <w:lang w:val="sr-Cyrl-RS" w:eastAsia="de-CH"/>
          <w14:ligatures w14:val="none"/>
        </w:rPr>
      </w:pPr>
    </w:p>
    <w:p w14:paraId="3B508C89" w14:textId="77777777" w:rsidR="0028775A" w:rsidRPr="00226F9D" w:rsidRDefault="0028775A" w:rsidP="0028775A">
      <w:pPr>
        <w:spacing w:after="0" w:line="240" w:lineRule="auto"/>
        <w:jc w:val="both"/>
        <w:rPr>
          <w:rFonts w:ascii="Times New Roman" w:eastAsia="Times New Roman" w:hAnsi="Times New Roman" w:cs="Times New Roman"/>
          <w:kern w:val="0"/>
          <w:lang w:val="sr-Cyrl-RS" w:eastAsia="de-CH"/>
          <w14:ligatures w14:val="none"/>
        </w:rPr>
      </w:pPr>
      <w:r w:rsidRPr="00226F9D">
        <w:rPr>
          <w:rFonts w:ascii="Times New Roman" w:eastAsia="Times New Roman" w:hAnsi="Times New Roman" w:cs="Times New Roman"/>
          <w:kern w:val="0"/>
          <w:lang w:val="sr-Cyrl-RS" w:eastAsia="de-CH"/>
          <w14:ligatures w14:val="none"/>
        </w:rPr>
        <w:t xml:space="preserve">Описима мера у наставку и пратећим Акционим планом, комплетирају се информације о роковима, носиоцима реализације, потребним ресурсима и очекиваним променама у фунцији остваривања опредељене опције.     </w:t>
      </w:r>
    </w:p>
    <w:p w14:paraId="53F36ED2" w14:textId="77777777" w:rsidR="00705031" w:rsidRPr="00226F9D" w:rsidRDefault="00705031" w:rsidP="00090884">
      <w:pPr>
        <w:spacing w:after="0" w:line="240" w:lineRule="auto"/>
        <w:jc w:val="both"/>
        <w:rPr>
          <w:rFonts w:ascii="Times New Roman" w:eastAsia="Calibri" w:hAnsi="Times New Roman" w:cs="Times New Roman"/>
          <w:lang w:val="sr-Cyrl-RS"/>
        </w:rPr>
      </w:pPr>
    </w:p>
    <w:p w14:paraId="281E0D30" w14:textId="0DC97BCE" w:rsidR="00335E1F" w:rsidRPr="00226F9D" w:rsidRDefault="00335E1F" w:rsidP="00A4310E">
      <w:pPr>
        <w:pStyle w:val="Heading4"/>
        <w:rPr>
          <w:rFonts w:ascii="Times New Roman" w:eastAsia="Arial" w:hAnsi="Times New Roman" w:cs="Times New Roman"/>
          <w:lang w:val="sr-Cyrl-RS" w:eastAsia="de-CH"/>
        </w:rPr>
      </w:pPr>
      <w:r w:rsidRPr="00226F9D">
        <w:rPr>
          <w:rFonts w:ascii="Times New Roman" w:eastAsia="Arial" w:hAnsi="Times New Roman" w:cs="Times New Roman"/>
          <w:lang w:val="sr-Cyrl-RS" w:eastAsia="de-CH"/>
        </w:rPr>
        <w:t>Мера 4.1: Подршка ефикаснoм спровођењу услуга и послова локалне самоуправе</w:t>
      </w:r>
    </w:p>
    <w:p w14:paraId="23ECC1BB" w14:textId="68A7BD84" w:rsidR="00335E1F" w:rsidRPr="00226F9D" w:rsidRDefault="00335E1F" w:rsidP="00090884">
      <w:pPr>
        <w:spacing w:after="0" w:line="240" w:lineRule="auto"/>
        <w:jc w:val="both"/>
        <w:rPr>
          <w:rFonts w:ascii="Times New Roman" w:eastAsia="Times New Roman" w:hAnsi="Times New Roman" w:cs="Times New Roman"/>
          <w:color w:val="000000" w:themeColor="text1"/>
          <w:kern w:val="0"/>
          <w:lang w:val="sr-Cyrl-RS"/>
          <w14:ligatures w14:val="none"/>
        </w:rPr>
      </w:pPr>
      <w:r w:rsidRPr="00226F9D">
        <w:rPr>
          <w:rFonts w:ascii="Times New Roman" w:eastAsia="Times New Roman" w:hAnsi="Times New Roman" w:cs="Times New Roman"/>
          <w:color w:val="000000" w:themeColor="text1"/>
          <w:kern w:val="0"/>
          <w:lang w:val="sr-Cyrl-RS"/>
          <w14:ligatures w14:val="none"/>
        </w:rPr>
        <w:t>У процесу даље трансформације локалне самоуправе као сервиса грађана, праћење и унапређење ефикасности обављања послова ЈЛС представља један од кључних приоритета. У оквиру тога, а имајући у виду и налазе СИГМА извештаја за 2025.</w:t>
      </w:r>
      <w:r w:rsidR="0033756B" w:rsidRPr="00226F9D">
        <w:rPr>
          <w:rFonts w:ascii="Times New Roman" w:eastAsia="Times New Roman" w:hAnsi="Times New Roman" w:cs="Times New Roman"/>
          <w:color w:val="000000" w:themeColor="text1"/>
          <w:kern w:val="0"/>
          <w:lang w:val="sr-Cyrl-RS"/>
          <w14:ligatures w14:val="none"/>
        </w:rPr>
        <w:t xml:space="preserve"> </w:t>
      </w:r>
      <w:r w:rsidRPr="00226F9D">
        <w:rPr>
          <w:rFonts w:ascii="Times New Roman" w:eastAsia="Times New Roman" w:hAnsi="Times New Roman" w:cs="Times New Roman"/>
          <w:color w:val="000000" w:themeColor="text1"/>
          <w:kern w:val="0"/>
          <w:lang w:val="sr-Cyrl-RS"/>
          <w14:ligatures w14:val="none"/>
        </w:rPr>
        <w:t xml:space="preserve">годину, биће предузете </w:t>
      </w:r>
      <w:r w:rsidRPr="00226F9D">
        <w:rPr>
          <w:rFonts w:ascii="Times New Roman" w:eastAsia="Times New Roman" w:hAnsi="Times New Roman" w:cs="Times New Roman"/>
          <w:color w:val="000000" w:themeColor="text1"/>
          <w:kern w:val="0"/>
          <w:lang w:val="sr-Cyrl-RS"/>
          <w14:ligatures w14:val="none"/>
        </w:rPr>
        <w:lastRenderedPageBreak/>
        <w:t>активности усмерене на идентификовање могућности за ефикаснију прерасподелу надлежности и послова између различитих нивоа јавне управе. Идентификоване могућности биће преточене у мапу пута која ће дати смернице за потребна нормативна унапређења секторског правног оквира, а са циљем ефикаснијег обављања појединих надлежности, а тиме унапређења доступности и квалитета услуга за грађане и привреду. Поред тога, ради лакшег праћења конкретних надлежности приступиће се формирању дигиталне платформе Јединственог пописа послова на локалном нивоу који је формиран 2019. године. Ова платформа омогућиће редовно ажурирање података у складу са изменама законског оквира и вођење ове евиденције на транспарентан начин. Поред тога, подаци приказани у оквиру платформе могу се користити и као аналитичка база за функционалнију расподелу послова између различитих нивоа власти.</w:t>
      </w:r>
    </w:p>
    <w:p w14:paraId="4CD0EDDD" w14:textId="77777777" w:rsidR="00335E1F" w:rsidRPr="00226F9D" w:rsidRDefault="00335E1F" w:rsidP="00090884">
      <w:pPr>
        <w:spacing w:after="0" w:line="240" w:lineRule="auto"/>
        <w:jc w:val="both"/>
        <w:rPr>
          <w:rFonts w:ascii="Times New Roman" w:eastAsia="Times New Roman" w:hAnsi="Times New Roman" w:cs="Times New Roman"/>
          <w:color w:val="000000" w:themeColor="text1"/>
          <w:kern w:val="0"/>
          <w:lang w:val="sr-Cyrl-RS"/>
          <w14:ligatures w14:val="none"/>
        </w:rPr>
      </w:pPr>
    </w:p>
    <w:p w14:paraId="06420357" w14:textId="688D0B8D" w:rsidR="00335E1F" w:rsidRPr="00226F9D" w:rsidRDefault="00335E1F" w:rsidP="00090884">
      <w:pPr>
        <w:spacing w:after="0" w:line="240" w:lineRule="auto"/>
        <w:jc w:val="both"/>
        <w:rPr>
          <w:rFonts w:ascii="Times New Roman" w:eastAsia="Times New Roman" w:hAnsi="Times New Roman" w:cs="Times New Roman"/>
          <w:color w:val="000000" w:themeColor="text1"/>
          <w:kern w:val="0"/>
          <w:lang w:val="sr-Latn-RS"/>
          <w14:ligatures w14:val="none"/>
        </w:rPr>
      </w:pPr>
      <w:r w:rsidRPr="00226F9D">
        <w:rPr>
          <w:rFonts w:ascii="Times New Roman" w:eastAsia="Times New Roman" w:hAnsi="Times New Roman" w:cs="Times New Roman"/>
          <w:color w:val="000000" w:themeColor="text1"/>
          <w:kern w:val="0"/>
          <w:lang w:val="sr-Cyrl-RS"/>
          <w14:ligatures w14:val="none"/>
        </w:rPr>
        <w:t>У претходном периоду учињени су значајни кораци на оптимизацији, ефикасности и доступности управних услуга. На реформисању административних поступака и трансформисању начина организације управних услуга, радило се кроз развој јединствених управних места (услужних центара, тј. ЈУМ) и е-управе и дигитализације управних услуга.</w:t>
      </w:r>
    </w:p>
    <w:p w14:paraId="3748B65A" w14:textId="77777777" w:rsidR="007E1BCC" w:rsidRPr="00226F9D" w:rsidRDefault="007E1BCC" w:rsidP="00090884">
      <w:pPr>
        <w:spacing w:after="0" w:line="240" w:lineRule="auto"/>
        <w:jc w:val="both"/>
        <w:rPr>
          <w:rFonts w:ascii="Times New Roman" w:eastAsia="Times New Roman" w:hAnsi="Times New Roman" w:cs="Times New Roman"/>
          <w:color w:val="000000" w:themeColor="text1"/>
          <w:kern w:val="0"/>
          <w:lang w:val="sr-Latn-RS"/>
          <w14:ligatures w14:val="none"/>
        </w:rPr>
      </w:pPr>
    </w:p>
    <w:p w14:paraId="2D86E218" w14:textId="77777777" w:rsidR="00335E1F" w:rsidRPr="00226F9D" w:rsidRDefault="00335E1F" w:rsidP="00090884">
      <w:pPr>
        <w:spacing w:after="0" w:line="240" w:lineRule="auto"/>
        <w:jc w:val="both"/>
        <w:rPr>
          <w:rFonts w:ascii="Times New Roman" w:eastAsia="Times New Roman" w:hAnsi="Times New Roman" w:cs="Times New Roman"/>
          <w:color w:val="000000" w:themeColor="text1"/>
          <w:kern w:val="0"/>
          <w:lang w:val="sr-Cyrl-RS"/>
          <w14:ligatures w14:val="none"/>
        </w:rPr>
      </w:pPr>
      <w:r w:rsidRPr="00226F9D">
        <w:rPr>
          <w:rFonts w:ascii="Times New Roman" w:eastAsia="Times New Roman" w:hAnsi="Times New Roman" w:cs="Times New Roman"/>
          <w:color w:val="000000" w:themeColor="text1"/>
          <w:kern w:val="0"/>
          <w:lang w:val="sr-Cyrl-RS"/>
          <w14:ligatures w14:val="none"/>
        </w:rPr>
        <w:t>У вези са локалним управним услугама у наредном периоду потребно је наставити са подршком унапређивању ефикасности управних поступака. Као аспект од значаја и показатељ успешности предметне мере, постављено је праћење и очекивано прогресивно повећање удела ЈЛС које су унеле своје поступке у Регистар административних поступака (РАП). Имајући у виду да је у претходном програмском периоду до изражаја дошла управо комплексност овог процеса и његова захтевност за ЈЛС, планиране су активности континуиране подршке градовима и општинама за коришћење РАП, а посебно и координација са министарствима у попису поверених административних поступака који се спроводе на нивоу ЈЛС у РАП. Када је реч о изворним пословима ЈЛС, планирана је израда анализе потенцијала за поједностављење, обједињавање и уједначавање административних поступака за ове послове ЈЛС - на бази података из РАП. Надаље, и управо на основу препорука анализе, биће припремљени модели поједностављених и обједињених административних поступака, а све у циљу унапређења једнаке доступности истоврсних услуга.</w:t>
      </w:r>
    </w:p>
    <w:p w14:paraId="0209186B" w14:textId="77777777" w:rsidR="003D6DF8" w:rsidRPr="00226F9D" w:rsidRDefault="003D6DF8" w:rsidP="00090884">
      <w:pPr>
        <w:spacing w:after="0" w:line="240" w:lineRule="auto"/>
        <w:jc w:val="both"/>
        <w:rPr>
          <w:rFonts w:ascii="Times New Roman" w:eastAsia="Times New Roman" w:hAnsi="Times New Roman" w:cs="Times New Roman"/>
          <w:color w:val="000000" w:themeColor="text1"/>
          <w:kern w:val="0"/>
          <w:lang w:val="sr-Cyrl-RS"/>
          <w14:ligatures w14:val="none"/>
        </w:rPr>
      </w:pPr>
    </w:p>
    <w:p w14:paraId="2A9C831E" w14:textId="58F8EBD2" w:rsidR="00335E1F" w:rsidRPr="00226F9D" w:rsidRDefault="00335E1F" w:rsidP="00090884">
      <w:pPr>
        <w:spacing w:after="0" w:line="240" w:lineRule="auto"/>
        <w:jc w:val="both"/>
        <w:rPr>
          <w:rFonts w:ascii="Times New Roman" w:eastAsia="Times New Roman" w:hAnsi="Times New Roman" w:cs="Times New Roman"/>
          <w:color w:val="000000" w:themeColor="text1"/>
          <w:kern w:val="0"/>
          <w:lang w:val="sr-Cyrl-RS"/>
          <w14:ligatures w14:val="none"/>
        </w:rPr>
      </w:pPr>
      <w:r w:rsidRPr="00226F9D">
        <w:rPr>
          <w:rFonts w:ascii="Times New Roman" w:eastAsia="Times New Roman" w:hAnsi="Times New Roman" w:cs="Times New Roman"/>
          <w:color w:val="000000" w:themeColor="text1"/>
          <w:lang w:val="sr-Cyrl-RS"/>
        </w:rPr>
        <w:t>Подршка успостављању ЈУМ за пружање локалних управних услуга која је започета у претходном периоду за све ЈЛС, наставља се у сарадњи МДУЛС, РСЈП, других ресорних институција и СКГО, током целог програмског периода. Једна од првих планираних активности предметне мере, биће реализована у оквиру швајцарске развојне сарадње кроз циљану подршку за 1</w:t>
      </w:r>
      <w:r w:rsidR="000B0368" w:rsidRPr="00226F9D">
        <w:rPr>
          <w:rFonts w:ascii="Times New Roman" w:eastAsia="Times New Roman" w:hAnsi="Times New Roman" w:cs="Times New Roman"/>
          <w:color w:val="000000" w:themeColor="text1"/>
          <w:lang w:val="sr-Cyrl-RS"/>
        </w:rPr>
        <w:t>2</w:t>
      </w:r>
      <w:r w:rsidRPr="00226F9D">
        <w:rPr>
          <w:rFonts w:ascii="Times New Roman" w:eastAsia="Times New Roman" w:hAnsi="Times New Roman" w:cs="Times New Roman"/>
          <w:color w:val="000000" w:themeColor="text1"/>
          <w:lang w:val="sr-Cyrl-RS"/>
        </w:rPr>
        <w:t xml:space="preserve"> градова и општина за обједињавање административних поступака посебно у односу на рањиве категорије становништва којима ће услуге бити доступније, једноставније и брже пружене (окосница пакета и резултат ове подршке биће управо успостављање ЈУМ за овај тип услуга, уз оснаживање корисничких ЛС за ефективну комуникацију са запосленима и грађанима и привредом о аспектима пружања и доступности услуга). </w:t>
      </w:r>
    </w:p>
    <w:p w14:paraId="515EEBEA" w14:textId="77777777" w:rsidR="00335E1F" w:rsidRPr="00226F9D" w:rsidRDefault="00335E1F" w:rsidP="00090884">
      <w:pPr>
        <w:spacing w:after="0" w:line="240" w:lineRule="auto"/>
        <w:jc w:val="both"/>
        <w:rPr>
          <w:rFonts w:ascii="Times New Roman" w:eastAsia="Times New Roman" w:hAnsi="Times New Roman" w:cs="Times New Roman"/>
          <w:color w:val="000000" w:themeColor="text1"/>
          <w:kern w:val="0"/>
          <w:lang w:val="sr-Cyrl-R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52"/>
        <w:gridCol w:w="1788"/>
        <w:gridCol w:w="1019"/>
        <w:gridCol w:w="1013"/>
        <w:gridCol w:w="1141"/>
        <w:gridCol w:w="1005"/>
        <w:gridCol w:w="1004"/>
      </w:tblGrid>
      <w:tr w:rsidR="0046481F" w:rsidRPr="00226F9D" w14:paraId="0483845D" w14:textId="77777777" w:rsidTr="007E1BCC">
        <w:trPr>
          <w:trHeight w:val="278"/>
          <w:tblHeader/>
        </w:trPr>
        <w:tc>
          <w:tcPr>
            <w:tcW w:w="2577" w:type="dxa"/>
            <w:shd w:val="clear" w:color="auto" w:fill="83CAEB" w:themeFill="accent1" w:themeFillTint="66"/>
            <w:vAlign w:val="center"/>
            <w:hideMark/>
          </w:tcPr>
          <w:p w14:paraId="418D5DEE"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Показатељ(и) на нивоу мере (показатељ резултата)</w:t>
            </w:r>
          </w:p>
        </w:tc>
        <w:tc>
          <w:tcPr>
            <w:tcW w:w="1738" w:type="dxa"/>
            <w:shd w:val="clear" w:color="auto" w:fill="83CAEB" w:themeFill="accent1" w:themeFillTint="66"/>
            <w:vAlign w:val="center"/>
            <w:hideMark/>
          </w:tcPr>
          <w:p w14:paraId="675938D8"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Полазна вредност</w:t>
            </w:r>
          </w:p>
        </w:tc>
        <w:tc>
          <w:tcPr>
            <w:tcW w:w="990" w:type="dxa"/>
            <w:shd w:val="clear" w:color="auto" w:fill="83CAEB" w:themeFill="accent1" w:themeFillTint="66"/>
            <w:vAlign w:val="center"/>
            <w:hideMark/>
          </w:tcPr>
          <w:p w14:paraId="64E697F3"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2026.</w:t>
            </w:r>
          </w:p>
        </w:tc>
        <w:tc>
          <w:tcPr>
            <w:tcW w:w="984" w:type="dxa"/>
            <w:shd w:val="clear" w:color="auto" w:fill="83CAEB" w:themeFill="accent1" w:themeFillTint="66"/>
            <w:vAlign w:val="center"/>
            <w:hideMark/>
          </w:tcPr>
          <w:p w14:paraId="7D602B2D"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2027.</w:t>
            </w:r>
          </w:p>
        </w:tc>
        <w:tc>
          <w:tcPr>
            <w:tcW w:w="1109" w:type="dxa"/>
            <w:shd w:val="clear" w:color="auto" w:fill="83CAEB" w:themeFill="accent1" w:themeFillTint="66"/>
            <w:vAlign w:val="center"/>
            <w:hideMark/>
          </w:tcPr>
          <w:p w14:paraId="6D655EBF"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2028.</w:t>
            </w:r>
          </w:p>
        </w:tc>
        <w:tc>
          <w:tcPr>
            <w:tcW w:w="977" w:type="dxa"/>
            <w:shd w:val="clear" w:color="auto" w:fill="83CAEB" w:themeFill="accent1" w:themeFillTint="66"/>
            <w:vAlign w:val="center"/>
          </w:tcPr>
          <w:p w14:paraId="64F0B9E6"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2029.</w:t>
            </w:r>
          </w:p>
        </w:tc>
        <w:tc>
          <w:tcPr>
            <w:tcW w:w="976" w:type="dxa"/>
            <w:shd w:val="clear" w:color="auto" w:fill="83CAEB" w:themeFill="accent1" w:themeFillTint="66"/>
            <w:vAlign w:val="center"/>
          </w:tcPr>
          <w:p w14:paraId="021897C8"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2030.</w:t>
            </w:r>
          </w:p>
        </w:tc>
      </w:tr>
      <w:tr w:rsidR="0046481F" w:rsidRPr="00226F9D" w14:paraId="2185B899" w14:textId="77777777" w:rsidTr="007E1BCC">
        <w:trPr>
          <w:trHeight w:val="278"/>
        </w:trPr>
        <w:tc>
          <w:tcPr>
            <w:tcW w:w="2577" w:type="dxa"/>
            <w:vAlign w:val="center"/>
          </w:tcPr>
          <w:p w14:paraId="447999D0"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Степен остварења препорука из мапе пута за успостављање ефикасније расподеле послова јавне управе и јачање значаја локалне самоуправе у систему јавне управе.</w:t>
            </w:r>
          </w:p>
        </w:tc>
        <w:tc>
          <w:tcPr>
            <w:tcW w:w="1738" w:type="dxa"/>
            <w:vAlign w:val="center"/>
          </w:tcPr>
          <w:p w14:paraId="080E899D" w14:textId="77777777" w:rsidR="00335E1F" w:rsidRPr="00226F9D" w:rsidRDefault="00335E1F"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0 (2025)</w:t>
            </w:r>
          </w:p>
        </w:tc>
        <w:tc>
          <w:tcPr>
            <w:tcW w:w="990" w:type="dxa"/>
            <w:vAlign w:val="center"/>
          </w:tcPr>
          <w:p w14:paraId="30C1F40C"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 xml:space="preserve">0 </w:t>
            </w:r>
          </w:p>
        </w:tc>
        <w:tc>
          <w:tcPr>
            <w:tcW w:w="984" w:type="dxa"/>
            <w:vAlign w:val="center"/>
          </w:tcPr>
          <w:p w14:paraId="1BBC4A0D"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 xml:space="preserve">0 </w:t>
            </w:r>
          </w:p>
        </w:tc>
        <w:tc>
          <w:tcPr>
            <w:tcW w:w="1109" w:type="dxa"/>
            <w:vAlign w:val="center"/>
          </w:tcPr>
          <w:p w14:paraId="21719876"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20%</w:t>
            </w:r>
          </w:p>
        </w:tc>
        <w:tc>
          <w:tcPr>
            <w:tcW w:w="977" w:type="dxa"/>
            <w:vAlign w:val="center"/>
          </w:tcPr>
          <w:p w14:paraId="1DF2A223"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40%</w:t>
            </w:r>
          </w:p>
        </w:tc>
        <w:tc>
          <w:tcPr>
            <w:tcW w:w="976" w:type="dxa"/>
            <w:vAlign w:val="center"/>
          </w:tcPr>
          <w:p w14:paraId="0042E632"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60%</w:t>
            </w:r>
          </w:p>
        </w:tc>
      </w:tr>
      <w:tr w:rsidR="0046481F" w:rsidRPr="00226F9D" w14:paraId="399EB76E" w14:textId="77777777" w:rsidTr="007E1BCC">
        <w:trPr>
          <w:trHeight w:val="278"/>
        </w:trPr>
        <w:tc>
          <w:tcPr>
            <w:tcW w:w="2577" w:type="dxa"/>
            <w:vAlign w:val="center"/>
          </w:tcPr>
          <w:p w14:paraId="22079469"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14:ligatures w14:val="none"/>
              </w:rPr>
            </w:pPr>
            <w:r w:rsidRPr="00226F9D">
              <w:rPr>
                <w:rFonts w:ascii="Times New Roman" w:eastAsia="Times New Roman" w:hAnsi="Times New Roman" w:cs="Times New Roman"/>
                <w:color w:val="000000"/>
                <w:kern w:val="0"/>
                <w:sz w:val="20"/>
                <w:szCs w:val="20"/>
                <w14:ligatures w14:val="none"/>
              </w:rPr>
              <w:t xml:space="preserve">% ЈЛС које су унеле своје поступке у Регистар </w:t>
            </w:r>
            <w:r w:rsidRPr="00226F9D">
              <w:rPr>
                <w:rFonts w:ascii="Times New Roman" w:eastAsia="Times New Roman" w:hAnsi="Times New Roman" w:cs="Times New Roman"/>
                <w:color w:val="000000"/>
                <w:kern w:val="0"/>
                <w:sz w:val="20"/>
                <w:szCs w:val="20"/>
                <w14:ligatures w14:val="none"/>
              </w:rPr>
              <w:lastRenderedPageBreak/>
              <w:t>административних поступака</w:t>
            </w:r>
          </w:p>
        </w:tc>
        <w:tc>
          <w:tcPr>
            <w:tcW w:w="1738" w:type="dxa"/>
            <w:vAlign w:val="center"/>
          </w:tcPr>
          <w:p w14:paraId="17D5454E" w14:textId="1E0C4D0E" w:rsidR="00335E1F" w:rsidRPr="00226F9D" w:rsidRDefault="009610A5"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lastRenderedPageBreak/>
              <w:t xml:space="preserve"> 54,5</w:t>
            </w:r>
            <w:r w:rsidR="00335E1F" w:rsidRPr="00226F9D">
              <w:rPr>
                <w:rFonts w:ascii="Times New Roman" w:eastAsia="Times New Roman" w:hAnsi="Times New Roman" w:cs="Times New Roman"/>
                <w:color w:val="000000" w:themeColor="text1"/>
                <w:kern w:val="0"/>
                <w:sz w:val="20"/>
                <w:szCs w:val="20"/>
                <w14:ligatures w14:val="none"/>
              </w:rPr>
              <w:t>%</w:t>
            </w:r>
            <w:r w:rsidR="007D27B2" w:rsidRPr="00226F9D">
              <w:rPr>
                <w:rFonts w:ascii="Times New Roman" w:eastAsia="Times New Roman" w:hAnsi="Times New Roman" w:cs="Times New Roman"/>
                <w:color w:val="000000" w:themeColor="text1"/>
                <w:kern w:val="0"/>
                <w:sz w:val="20"/>
                <w:szCs w:val="20"/>
                <w:lang w:val="sr-Cyrl-RS"/>
                <w14:ligatures w14:val="none"/>
              </w:rPr>
              <w:t xml:space="preserve"> </w:t>
            </w:r>
            <w:r w:rsidR="00335E1F" w:rsidRPr="00226F9D">
              <w:rPr>
                <w:rFonts w:ascii="Times New Roman" w:eastAsia="Times New Roman" w:hAnsi="Times New Roman" w:cs="Times New Roman"/>
                <w:color w:val="000000" w:themeColor="text1"/>
                <w:kern w:val="0"/>
                <w:sz w:val="20"/>
                <w:szCs w:val="20"/>
                <w:lang w:val="sr-Cyrl-RS"/>
                <w14:ligatures w14:val="none"/>
              </w:rPr>
              <w:t>(202</w:t>
            </w:r>
            <w:r w:rsidRPr="00226F9D">
              <w:rPr>
                <w:rFonts w:ascii="Times New Roman" w:eastAsia="Times New Roman" w:hAnsi="Times New Roman" w:cs="Times New Roman"/>
                <w:color w:val="000000" w:themeColor="text1"/>
                <w:kern w:val="0"/>
                <w:sz w:val="20"/>
                <w:szCs w:val="20"/>
                <w:lang w:val="sr-Cyrl-RS"/>
                <w14:ligatures w14:val="none"/>
              </w:rPr>
              <w:t>5</w:t>
            </w:r>
            <w:r w:rsidR="00335E1F" w:rsidRPr="00226F9D">
              <w:rPr>
                <w:rFonts w:ascii="Times New Roman" w:eastAsia="Times New Roman" w:hAnsi="Times New Roman" w:cs="Times New Roman"/>
                <w:color w:val="000000" w:themeColor="text1"/>
                <w:kern w:val="0"/>
                <w:sz w:val="20"/>
                <w:szCs w:val="20"/>
                <w:lang w:val="sr-Cyrl-RS"/>
                <w14:ligatures w14:val="none"/>
              </w:rPr>
              <w:t>)</w:t>
            </w:r>
          </w:p>
        </w:tc>
        <w:tc>
          <w:tcPr>
            <w:tcW w:w="990" w:type="dxa"/>
            <w:vAlign w:val="center"/>
          </w:tcPr>
          <w:p w14:paraId="6BD08DE9" w14:textId="432889AD" w:rsidR="00335E1F" w:rsidRPr="00226F9D" w:rsidRDefault="00D446CD"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100%</w:t>
            </w:r>
          </w:p>
        </w:tc>
        <w:tc>
          <w:tcPr>
            <w:tcW w:w="984" w:type="dxa"/>
            <w:vAlign w:val="center"/>
          </w:tcPr>
          <w:p w14:paraId="3AE115E9" w14:textId="77777777" w:rsidR="00335E1F" w:rsidRPr="00226F9D" w:rsidRDefault="00335E1F"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p>
        </w:tc>
        <w:tc>
          <w:tcPr>
            <w:tcW w:w="1109" w:type="dxa"/>
            <w:vAlign w:val="center"/>
          </w:tcPr>
          <w:p w14:paraId="681265A2" w14:textId="557B4F92"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14:ligatures w14:val="none"/>
              </w:rPr>
            </w:pPr>
          </w:p>
        </w:tc>
        <w:tc>
          <w:tcPr>
            <w:tcW w:w="977" w:type="dxa"/>
            <w:vAlign w:val="center"/>
          </w:tcPr>
          <w:p w14:paraId="24D1D776"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14:ligatures w14:val="none"/>
              </w:rPr>
            </w:pPr>
          </w:p>
        </w:tc>
        <w:tc>
          <w:tcPr>
            <w:tcW w:w="976" w:type="dxa"/>
            <w:vAlign w:val="center"/>
          </w:tcPr>
          <w:p w14:paraId="21439B04"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bl>
    <w:p w14:paraId="18EFBBAC" w14:textId="77777777" w:rsidR="00335E1F" w:rsidRPr="00226F9D" w:rsidRDefault="00335E1F" w:rsidP="00090884">
      <w:pPr>
        <w:spacing w:after="0" w:line="240" w:lineRule="auto"/>
        <w:jc w:val="both"/>
        <w:rPr>
          <w:rFonts w:ascii="Times New Roman" w:eastAsia="Arial" w:hAnsi="Times New Roman" w:cs="Times New Roman"/>
          <w:b/>
          <w:i/>
          <w:iCs/>
          <w:kern w:val="0"/>
          <w:lang w:val="sr-Cyrl-RS" w:eastAsia="de-CH"/>
          <w14:ligatures w14:val="none"/>
        </w:rPr>
      </w:pPr>
    </w:p>
    <w:p w14:paraId="40E31E6D" w14:textId="4F6F59D6" w:rsidR="00335E1F" w:rsidRPr="00226F9D" w:rsidRDefault="00335E1F" w:rsidP="00343009">
      <w:pPr>
        <w:pStyle w:val="Heading4"/>
        <w:rPr>
          <w:rFonts w:ascii="Times New Roman" w:eastAsia="Arial" w:hAnsi="Times New Roman" w:cs="Times New Roman"/>
          <w:lang w:val="sr-Cyrl-RS" w:eastAsia="de-CH"/>
        </w:rPr>
      </w:pPr>
      <w:bookmarkStart w:id="40" w:name="_Toc77068888"/>
      <w:r w:rsidRPr="00226F9D">
        <w:rPr>
          <w:rFonts w:ascii="Times New Roman" w:eastAsia="Arial" w:hAnsi="Times New Roman" w:cs="Times New Roman"/>
          <w:lang w:val="sr-Cyrl-RS" w:eastAsia="de-CH"/>
        </w:rPr>
        <w:t xml:space="preserve">Мера 4.2: </w:t>
      </w:r>
      <w:bookmarkEnd w:id="40"/>
      <w:r w:rsidRPr="00226F9D">
        <w:rPr>
          <w:rFonts w:ascii="Times New Roman" w:eastAsia="Arial" w:hAnsi="Times New Roman" w:cs="Times New Roman"/>
          <w:lang w:val="sr-Cyrl-RS" w:eastAsia="de-CH"/>
        </w:rPr>
        <w:t>Подршка даљем развоју међуопштинских услуга</w:t>
      </w:r>
    </w:p>
    <w:p w14:paraId="64130301" w14:textId="77777777" w:rsidR="00335E1F" w:rsidRPr="00226F9D" w:rsidRDefault="00335E1F"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Овом мером предвиђају се активности усмерене на даљи развој међуопштинске сарадње (МОС). Њена сврха јесте постизање ефекта регионалног развоја „одоздо”, добровољним удруживањем ресурса (организационих, материјалних, финансијских и др.) две или више јединица локалне самоуправе. Ово удруживање ресурса треба да доведе до квалитетнијег обављања надлежности и послова локалне самоуправе, као и до уштеда у том погледу. Суштински, МОС треба да допринесе да сви грађани Србије –  без обзира на величину, развијеност или географски положај локалне самоуправе у којој живе/раде – имају прилику да уживају равноправан приступ свим услугама за које је локална самоуправа надлежна и које је дужна да им пружа. У оперативном смислу, градови и општине се опредељују за МОС ради ефикасније организације рада, уступања појединих послова из изворних надлежности или унапређења квалитета и доступности услуга грађанима и привреди кроз оснивање заједничких органа и служби, предузећа, установа и других организација чији су они оснивачи, у складу са законом.</w:t>
      </w:r>
    </w:p>
    <w:p w14:paraId="1ECEF5EE" w14:textId="77777777" w:rsidR="003D6DF8" w:rsidRPr="00226F9D" w:rsidRDefault="003D6DF8"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p>
    <w:p w14:paraId="48671B2C" w14:textId="1B0F4BAB" w:rsidR="00335E1F" w:rsidRPr="00226F9D" w:rsidRDefault="4E32AB82"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Важна системска активност у правцу интензивирања МОС као модалитета за обезбеђивање и квалитативно унапређење јавних услуга које пружају ЈЛС, јесте наставак државних подстицаја, тј. финансијске подршке међуопштинским пројектима посредством МДУЛС. У 2024. години успостављене су процедуралне претпоставке и тзв. Фонд за локал</w:t>
      </w:r>
      <w:r w:rsidR="00335E1F" w:rsidRPr="00226F9D">
        <w:rPr>
          <w:rFonts w:ascii="Times New Roman" w:eastAsia="Times New Roman" w:hAnsi="Times New Roman" w:cs="Times New Roman"/>
          <w:color w:val="000000" w:themeColor="text1"/>
          <w:kern w:val="0"/>
          <w:vertAlign w:val="superscript"/>
          <w:lang w:val="sr-Cyrl-RS" w:eastAsia="sr-Latn-RS"/>
          <w14:ligatures w14:val="none"/>
        </w:rPr>
        <w:footnoteReference w:id="70"/>
      </w:r>
      <w:r w:rsidRPr="00226F9D">
        <w:rPr>
          <w:rFonts w:ascii="Times New Roman" w:eastAsia="Times New Roman" w:hAnsi="Times New Roman" w:cs="Times New Roman"/>
          <w:color w:val="000000" w:themeColor="text1"/>
          <w:kern w:val="0"/>
          <w:lang w:val="sr-Cyrl-RS" w:eastAsia="sr-Latn-RS"/>
          <w14:ligatures w14:val="none"/>
        </w:rPr>
        <w:t xml:space="preserve"> проширен је и на додатну категорију – намену доделе средстава управо у погледу МОС. Задатак у новом програмском периоду и параметар од значаја за праћење успешности реализације предметне мере, биће прогресивно повећање броја пројеката МОС подржаних у оквиру овог фонда (укључујући и додатно анимирање ЛС да припремају и заједнички конкуришу пројектима МОС за доступна средства; промовисање примера добрих пракси и искустава већ подржаних ЛС у том погледу и сл.). Имајући у виду објективне потребе и исказана интересовања ЛС, као и потенцијал МОС који ресорна министарства препознају за ефективније спровођења јавних политика у делу у којем су за њих надлежни градови и општине, очекиван је пораст пројеката и успостављених формата МОС посебно у домену социјалне и дечије заштите, просвете, комуналних делатности, локалних управних услуга.</w:t>
      </w:r>
    </w:p>
    <w:p w14:paraId="7F0FD74C" w14:textId="77777777" w:rsidR="003D6DF8" w:rsidRPr="00226F9D" w:rsidRDefault="003D6DF8"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p>
    <w:p w14:paraId="07C3A797" w14:textId="77777777" w:rsidR="00290FE7" w:rsidRPr="00226F9D" w:rsidRDefault="00586BB9"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Поред тога, очекује се и наставак добре праксе кој</w:t>
      </w:r>
      <w:r w:rsidR="00652CF4" w:rsidRPr="00226F9D">
        <w:rPr>
          <w:rFonts w:ascii="Times New Roman" w:eastAsia="Times New Roman" w:hAnsi="Times New Roman" w:cs="Times New Roman"/>
          <w:color w:val="000000" w:themeColor="text1"/>
          <w:kern w:val="0"/>
          <w:lang w:val="sr-Cyrl-RS" w:eastAsia="sr-Latn-RS"/>
          <w14:ligatures w14:val="none"/>
        </w:rPr>
        <w:t>а</w:t>
      </w:r>
      <w:r w:rsidRPr="00226F9D">
        <w:rPr>
          <w:rFonts w:ascii="Times New Roman" w:eastAsia="Times New Roman" w:hAnsi="Times New Roman" w:cs="Times New Roman"/>
          <w:color w:val="000000" w:themeColor="text1"/>
          <w:kern w:val="0"/>
          <w:lang w:val="sr-Cyrl-RS" w:eastAsia="sr-Latn-RS"/>
          <w14:ligatures w14:val="none"/>
        </w:rPr>
        <w:t xml:space="preserve"> је претходних година </w:t>
      </w:r>
      <w:r w:rsidR="00652CF4" w:rsidRPr="00226F9D">
        <w:rPr>
          <w:rFonts w:ascii="Times New Roman" w:eastAsia="Times New Roman" w:hAnsi="Times New Roman" w:cs="Times New Roman"/>
          <w:color w:val="000000" w:themeColor="text1"/>
          <w:kern w:val="0"/>
          <w:lang w:val="sr-Cyrl-RS" w:eastAsia="sr-Latn-RS"/>
          <w14:ligatures w14:val="none"/>
        </w:rPr>
        <w:t xml:space="preserve">остваривана </w:t>
      </w:r>
      <w:r w:rsidRPr="00226F9D">
        <w:rPr>
          <w:rFonts w:ascii="Times New Roman" w:eastAsia="Times New Roman" w:hAnsi="Times New Roman" w:cs="Times New Roman"/>
          <w:color w:val="000000" w:themeColor="text1"/>
          <w:kern w:val="0"/>
          <w:lang w:val="sr-Cyrl-RS" w:eastAsia="sr-Latn-RS"/>
          <w14:ligatures w14:val="none"/>
        </w:rPr>
        <w:t>уз подршку Владе Швајцарске</w:t>
      </w:r>
      <w:r w:rsidR="002B4C65" w:rsidRPr="00226F9D">
        <w:rPr>
          <w:rFonts w:ascii="Times New Roman" w:eastAsia="Times New Roman" w:hAnsi="Times New Roman" w:cs="Times New Roman"/>
          <w:color w:val="000000" w:themeColor="text1"/>
          <w:kern w:val="0"/>
          <w:lang w:val="sr-Cyrl-RS" w:eastAsia="sr-Latn-RS"/>
          <w14:ligatures w14:val="none"/>
        </w:rPr>
        <w:t xml:space="preserve">, да се </w:t>
      </w:r>
      <w:r w:rsidR="00153EE3" w:rsidRPr="00226F9D">
        <w:rPr>
          <w:rFonts w:ascii="Times New Roman" w:eastAsia="Times New Roman" w:hAnsi="Times New Roman" w:cs="Times New Roman"/>
          <w:color w:val="000000" w:themeColor="text1"/>
          <w:kern w:val="0"/>
          <w:lang w:val="sr-Cyrl-RS" w:eastAsia="sr-Latn-RS"/>
          <w14:ligatures w14:val="none"/>
        </w:rPr>
        <w:t xml:space="preserve">пројекти </w:t>
      </w:r>
      <w:r w:rsidR="002B4C65" w:rsidRPr="00226F9D">
        <w:rPr>
          <w:rFonts w:ascii="Times New Roman" w:eastAsia="Times New Roman" w:hAnsi="Times New Roman" w:cs="Times New Roman"/>
          <w:color w:val="000000" w:themeColor="text1"/>
          <w:kern w:val="0"/>
          <w:lang w:val="sr-Cyrl-RS" w:eastAsia="sr-Latn-RS"/>
          <w14:ligatures w14:val="none"/>
        </w:rPr>
        <w:t>међуопштинск</w:t>
      </w:r>
      <w:r w:rsidR="00153EE3" w:rsidRPr="00226F9D">
        <w:rPr>
          <w:rFonts w:ascii="Times New Roman" w:eastAsia="Times New Roman" w:hAnsi="Times New Roman" w:cs="Times New Roman"/>
          <w:color w:val="000000" w:themeColor="text1"/>
          <w:kern w:val="0"/>
          <w:lang w:val="sr-Cyrl-RS" w:eastAsia="sr-Latn-RS"/>
          <w14:ligatures w14:val="none"/>
        </w:rPr>
        <w:t xml:space="preserve">е </w:t>
      </w:r>
      <w:r w:rsidR="002B4C65" w:rsidRPr="00226F9D">
        <w:rPr>
          <w:rFonts w:ascii="Times New Roman" w:eastAsia="Times New Roman" w:hAnsi="Times New Roman" w:cs="Times New Roman"/>
          <w:color w:val="000000" w:themeColor="text1"/>
          <w:kern w:val="0"/>
          <w:lang w:val="sr-Cyrl-RS" w:eastAsia="sr-Latn-RS"/>
          <w14:ligatures w14:val="none"/>
        </w:rPr>
        <w:t>сарадњ</w:t>
      </w:r>
      <w:r w:rsidR="00153EE3" w:rsidRPr="00226F9D">
        <w:rPr>
          <w:rFonts w:ascii="Times New Roman" w:eastAsia="Times New Roman" w:hAnsi="Times New Roman" w:cs="Times New Roman"/>
          <w:color w:val="000000" w:themeColor="text1"/>
          <w:kern w:val="0"/>
          <w:lang w:val="sr-Cyrl-RS" w:eastAsia="sr-Latn-RS"/>
          <w14:ligatures w14:val="none"/>
        </w:rPr>
        <w:t xml:space="preserve">е подрже </w:t>
      </w:r>
      <w:r w:rsidR="0099270B" w:rsidRPr="00226F9D">
        <w:rPr>
          <w:rFonts w:ascii="Times New Roman" w:eastAsia="Times New Roman" w:hAnsi="Times New Roman" w:cs="Times New Roman"/>
          <w:color w:val="000000" w:themeColor="text1"/>
          <w:kern w:val="0"/>
          <w:lang w:val="sr-Cyrl-RS" w:eastAsia="sr-Latn-RS"/>
          <w14:ligatures w14:val="none"/>
        </w:rPr>
        <w:t>и од стране</w:t>
      </w:r>
      <w:r w:rsidR="00153EE3" w:rsidRPr="00226F9D">
        <w:rPr>
          <w:rFonts w:ascii="Times New Roman" w:eastAsia="Times New Roman" w:hAnsi="Times New Roman" w:cs="Times New Roman"/>
          <w:color w:val="000000" w:themeColor="text1"/>
          <w:kern w:val="0"/>
          <w:lang w:val="sr-Cyrl-RS" w:eastAsia="sr-Latn-RS"/>
          <w14:ligatures w14:val="none"/>
        </w:rPr>
        <w:t xml:space="preserve"> донатора</w:t>
      </w:r>
      <w:r w:rsidR="006A49BF" w:rsidRPr="00226F9D">
        <w:rPr>
          <w:rFonts w:ascii="Times New Roman" w:eastAsia="Times New Roman" w:hAnsi="Times New Roman" w:cs="Times New Roman"/>
          <w:color w:val="000000" w:themeColor="text1"/>
          <w:kern w:val="0"/>
          <w:lang w:val="sr-Cyrl-RS" w:eastAsia="sr-Latn-RS"/>
          <w14:ligatures w14:val="none"/>
        </w:rPr>
        <w:t>.</w:t>
      </w:r>
    </w:p>
    <w:p w14:paraId="368A50B6" w14:textId="2491C873" w:rsidR="00335E1F" w:rsidRPr="00226F9D" w:rsidRDefault="00335E1F" w:rsidP="00090884">
      <w:pPr>
        <w:spacing w:after="0" w:line="240" w:lineRule="auto"/>
        <w:jc w:val="both"/>
        <w:rPr>
          <w:rFonts w:ascii="Times New Roman" w:eastAsia="Times New Roman" w:hAnsi="Times New Roman" w:cs="Times New Roman"/>
          <w:color w:val="000000" w:themeColor="text1"/>
          <w:kern w:val="0"/>
          <w:lang w:val="sr-Cyrl-RS" w:eastAsia="sr-Latn-RS"/>
          <w14:ligatures w14:val="none"/>
        </w:rPr>
      </w:pPr>
      <w:r w:rsidRPr="00226F9D">
        <w:rPr>
          <w:rFonts w:ascii="Times New Roman" w:eastAsia="Times New Roman" w:hAnsi="Times New Roman" w:cs="Times New Roman"/>
          <w:color w:val="000000" w:themeColor="text1"/>
          <w:kern w:val="0"/>
          <w:lang w:val="sr-Cyrl-RS" w:eastAsia="sr-Latn-RS"/>
          <w14:ligatures w14:val="none"/>
        </w:rPr>
        <w:t xml:space="preserve">Подршка практичном остваривању МОС биће обезбеђена саветодавном (стручном и техничком) подршком процесу успостављања МОС (додатни модели међуопштинских споразума, смернице за закључивање и спровођење процеса МОС и др.). </w:t>
      </w:r>
    </w:p>
    <w:p w14:paraId="734714E7" w14:textId="77777777" w:rsidR="00335E1F" w:rsidRPr="00226F9D" w:rsidRDefault="00335E1F" w:rsidP="00090884">
      <w:pPr>
        <w:spacing w:after="0" w:line="240" w:lineRule="auto"/>
        <w:jc w:val="both"/>
        <w:rPr>
          <w:rFonts w:ascii="Times New Roman" w:eastAsia="Times New Roman" w:hAnsi="Times New Roman" w:cs="Times New Roman"/>
          <w:kern w:val="0"/>
          <w:lang w:val="sr-Cyrl-RS"/>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7"/>
        <w:gridCol w:w="1372"/>
        <w:gridCol w:w="1146"/>
        <w:gridCol w:w="1147"/>
        <w:gridCol w:w="1146"/>
        <w:gridCol w:w="1147"/>
        <w:gridCol w:w="1147"/>
      </w:tblGrid>
      <w:tr w:rsidR="0046481F" w:rsidRPr="00226F9D" w14:paraId="758858A4" w14:textId="77777777" w:rsidTr="001D377B">
        <w:trPr>
          <w:trHeight w:val="278"/>
          <w:tblHeader/>
          <w:jc w:val="center"/>
        </w:trPr>
        <w:tc>
          <w:tcPr>
            <w:tcW w:w="2445" w:type="dxa"/>
            <w:shd w:val="clear" w:color="auto" w:fill="83CAEB" w:themeFill="accent1" w:themeFillTint="66"/>
            <w:vAlign w:val="center"/>
            <w:hideMark/>
          </w:tcPr>
          <w:p w14:paraId="08F9EA5E" w14:textId="77777777" w:rsidR="00335E1F" w:rsidRPr="00226F9D" w:rsidRDefault="00335E1F" w:rsidP="001D377B">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Показатељ(и) на нивоу мере (показатељ резултата)</w:t>
            </w:r>
          </w:p>
        </w:tc>
        <w:tc>
          <w:tcPr>
            <w:tcW w:w="1333" w:type="dxa"/>
            <w:shd w:val="clear" w:color="auto" w:fill="83CAEB" w:themeFill="accent1" w:themeFillTint="66"/>
            <w:vAlign w:val="center"/>
            <w:hideMark/>
          </w:tcPr>
          <w:p w14:paraId="76A0C2C8" w14:textId="77777777" w:rsidR="00335E1F" w:rsidRPr="00226F9D" w:rsidRDefault="00335E1F" w:rsidP="001D377B">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kern w:val="0"/>
                <w:sz w:val="20"/>
                <w:szCs w:val="20"/>
                <w:lang w:val="sr-Cyrl-RS"/>
                <w14:ligatures w14:val="none"/>
              </w:rPr>
              <w:t>Полазна вредност</w:t>
            </w:r>
          </w:p>
        </w:tc>
        <w:tc>
          <w:tcPr>
            <w:tcW w:w="1114" w:type="dxa"/>
            <w:shd w:val="clear" w:color="auto" w:fill="83CAEB" w:themeFill="accent1" w:themeFillTint="66"/>
            <w:vAlign w:val="center"/>
            <w:hideMark/>
          </w:tcPr>
          <w:p w14:paraId="105D5A0F" w14:textId="77777777" w:rsidR="00335E1F" w:rsidRPr="00226F9D" w:rsidRDefault="00335E1F" w:rsidP="001D377B">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2026.</w:t>
            </w:r>
          </w:p>
        </w:tc>
        <w:tc>
          <w:tcPr>
            <w:tcW w:w="1115" w:type="dxa"/>
            <w:shd w:val="clear" w:color="auto" w:fill="83CAEB" w:themeFill="accent1" w:themeFillTint="66"/>
            <w:vAlign w:val="center"/>
            <w:hideMark/>
          </w:tcPr>
          <w:p w14:paraId="6854BE66" w14:textId="77777777" w:rsidR="00335E1F" w:rsidRPr="00226F9D" w:rsidRDefault="00335E1F" w:rsidP="001D377B">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2027.</w:t>
            </w:r>
          </w:p>
        </w:tc>
        <w:tc>
          <w:tcPr>
            <w:tcW w:w="1114" w:type="dxa"/>
            <w:shd w:val="clear" w:color="auto" w:fill="83CAEB" w:themeFill="accent1" w:themeFillTint="66"/>
            <w:vAlign w:val="center"/>
            <w:hideMark/>
          </w:tcPr>
          <w:p w14:paraId="16193DCD" w14:textId="77777777" w:rsidR="00335E1F" w:rsidRPr="00226F9D" w:rsidRDefault="00335E1F" w:rsidP="001D377B">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2028.</w:t>
            </w:r>
          </w:p>
        </w:tc>
        <w:tc>
          <w:tcPr>
            <w:tcW w:w="1115" w:type="dxa"/>
            <w:shd w:val="clear" w:color="auto" w:fill="83CAEB" w:themeFill="accent1" w:themeFillTint="66"/>
            <w:vAlign w:val="center"/>
          </w:tcPr>
          <w:p w14:paraId="6164A6C8" w14:textId="77777777" w:rsidR="00335E1F" w:rsidRPr="00226F9D" w:rsidRDefault="00335E1F" w:rsidP="001D377B">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2029.</w:t>
            </w:r>
          </w:p>
        </w:tc>
        <w:tc>
          <w:tcPr>
            <w:tcW w:w="1115" w:type="dxa"/>
            <w:shd w:val="clear" w:color="auto" w:fill="83CAEB" w:themeFill="accent1" w:themeFillTint="66"/>
            <w:vAlign w:val="center"/>
          </w:tcPr>
          <w:p w14:paraId="6D5F212B" w14:textId="77777777" w:rsidR="00335E1F" w:rsidRPr="00226F9D" w:rsidRDefault="00335E1F" w:rsidP="001D377B">
            <w:pPr>
              <w:spacing w:after="0" w:line="240" w:lineRule="auto"/>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themeColor="text1"/>
                <w:kern w:val="0"/>
                <w:sz w:val="20"/>
                <w:szCs w:val="20"/>
                <w:lang w:val="sr-Cyrl-RS"/>
                <w14:ligatures w14:val="none"/>
              </w:rPr>
              <w:t>2030.</w:t>
            </w:r>
          </w:p>
        </w:tc>
      </w:tr>
      <w:tr w:rsidR="007A7449" w:rsidRPr="00226F9D" w14:paraId="2570380C" w14:textId="77777777" w:rsidTr="001D377B">
        <w:trPr>
          <w:trHeight w:val="278"/>
          <w:jc w:val="center"/>
        </w:trPr>
        <w:tc>
          <w:tcPr>
            <w:tcW w:w="2445" w:type="dxa"/>
            <w:vAlign w:val="center"/>
          </w:tcPr>
          <w:p w14:paraId="0ABD8CAF" w14:textId="709D6516" w:rsidR="00335E1F" w:rsidRPr="00226F9D" w:rsidRDefault="00335E1F"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 xml:space="preserve">Број пројеката међуопштинске сарадње подржан кроз национални </w:t>
            </w:r>
            <w:r w:rsidR="00586BB9" w:rsidRPr="00226F9D">
              <w:rPr>
                <w:rFonts w:ascii="Times New Roman" w:eastAsia="Times New Roman" w:hAnsi="Times New Roman" w:cs="Times New Roman"/>
                <w:kern w:val="0"/>
                <w:sz w:val="20"/>
                <w:szCs w:val="20"/>
                <w:lang w:val="sr-Cyrl-RS"/>
                <w14:ligatures w14:val="none"/>
              </w:rPr>
              <w:lastRenderedPageBreak/>
              <w:t xml:space="preserve">и донаторски </w:t>
            </w:r>
            <w:r w:rsidRPr="00226F9D">
              <w:rPr>
                <w:rFonts w:ascii="Times New Roman" w:eastAsia="Times New Roman" w:hAnsi="Times New Roman" w:cs="Times New Roman"/>
                <w:kern w:val="0"/>
                <w:sz w:val="20"/>
                <w:szCs w:val="20"/>
                <w:lang w:val="sr-Cyrl-RS"/>
                <w14:ligatures w14:val="none"/>
              </w:rPr>
              <w:t>финансијски механизам</w:t>
            </w:r>
          </w:p>
        </w:tc>
        <w:tc>
          <w:tcPr>
            <w:tcW w:w="1333" w:type="dxa"/>
            <w:vAlign w:val="center"/>
          </w:tcPr>
          <w:p w14:paraId="24CAC7DA" w14:textId="58F4CF9A" w:rsidR="00335E1F" w:rsidRPr="00226F9D" w:rsidRDefault="00510A3E"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14:ligatures w14:val="none"/>
              </w:rPr>
              <w:lastRenderedPageBreak/>
              <w:t>22</w:t>
            </w:r>
            <w:r w:rsidR="00E704F0" w:rsidRPr="00226F9D">
              <w:rPr>
                <w:rFonts w:ascii="Times New Roman" w:eastAsia="Times New Roman" w:hAnsi="Times New Roman" w:cs="Times New Roman"/>
                <w:kern w:val="0"/>
                <w:sz w:val="20"/>
                <w:szCs w:val="20"/>
                <w:lang w:val="sr-Cyrl-RS"/>
                <w14:ligatures w14:val="none"/>
              </w:rPr>
              <w:t xml:space="preserve"> (20</w:t>
            </w:r>
            <w:r w:rsidR="000C79F8" w:rsidRPr="00226F9D">
              <w:rPr>
                <w:rFonts w:ascii="Times New Roman" w:eastAsia="Times New Roman" w:hAnsi="Times New Roman" w:cs="Times New Roman"/>
                <w:kern w:val="0"/>
                <w:sz w:val="20"/>
                <w:szCs w:val="20"/>
                <w:lang w:val="sr-Cyrl-RS"/>
                <w14:ligatures w14:val="none"/>
              </w:rPr>
              <w:t>2</w:t>
            </w:r>
            <w:r w:rsidR="009D398A" w:rsidRPr="00226F9D">
              <w:rPr>
                <w:rFonts w:ascii="Times New Roman" w:eastAsia="Times New Roman" w:hAnsi="Times New Roman" w:cs="Times New Roman"/>
                <w:kern w:val="0"/>
                <w:sz w:val="20"/>
                <w:szCs w:val="20"/>
                <w:lang w:val="sr-Cyrl-RS"/>
                <w14:ligatures w14:val="none"/>
              </w:rPr>
              <w:t>5</w:t>
            </w:r>
            <w:r w:rsidR="000C79F8" w:rsidRPr="00226F9D">
              <w:rPr>
                <w:rFonts w:ascii="Times New Roman" w:eastAsia="Times New Roman" w:hAnsi="Times New Roman" w:cs="Times New Roman"/>
                <w:kern w:val="0"/>
                <w:sz w:val="20"/>
                <w:szCs w:val="20"/>
                <w:lang w:val="sr-Cyrl-RS"/>
                <w14:ligatures w14:val="none"/>
              </w:rPr>
              <w:t>)</w:t>
            </w:r>
          </w:p>
        </w:tc>
        <w:tc>
          <w:tcPr>
            <w:tcW w:w="1114" w:type="dxa"/>
            <w:vAlign w:val="center"/>
          </w:tcPr>
          <w:p w14:paraId="1261CB78" w14:textId="1CECCD52" w:rsidR="00335E1F" w:rsidRPr="00226F9D" w:rsidRDefault="00C826E4" w:rsidP="00090884">
            <w:pPr>
              <w:spacing w:after="0" w:line="240" w:lineRule="auto"/>
              <w:jc w:val="both"/>
              <w:rPr>
                <w:rFonts w:ascii="Times New Roman" w:eastAsia="Times New Roman" w:hAnsi="Times New Roman" w:cs="Times New Roman"/>
                <w:kern w:val="0"/>
                <w:sz w:val="20"/>
                <w:szCs w:val="20"/>
                <w14:ligatures w14:val="none"/>
              </w:rPr>
            </w:pPr>
            <w:r w:rsidRPr="00226F9D">
              <w:rPr>
                <w:rFonts w:ascii="Times New Roman" w:eastAsia="Times New Roman" w:hAnsi="Times New Roman" w:cs="Times New Roman"/>
                <w:kern w:val="0"/>
                <w:sz w:val="20"/>
                <w:szCs w:val="20"/>
                <w14:ligatures w14:val="none"/>
              </w:rPr>
              <w:t>2</w:t>
            </w:r>
            <w:r w:rsidR="00A319E4" w:rsidRPr="00226F9D">
              <w:rPr>
                <w:rFonts w:ascii="Times New Roman" w:eastAsia="Times New Roman" w:hAnsi="Times New Roman" w:cs="Times New Roman"/>
                <w:kern w:val="0"/>
                <w:sz w:val="20"/>
                <w:szCs w:val="20"/>
                <w14:ligatures w14:val="none"/>
              </w:rPr>
              <w:t>7</w:t>
            </w:r>
          </w:p>
        </w:tc>
        <w:tc>
          <w:tcPr>
            <w:tcW w:w="1115" w:type="dxa"/>
            <w:vAlign w:val="center"/>
          </w:tcPr>
          <w:p w14:paraId="4CC762D4" w14:textId="29C4896A" w:rsidR="00335E1F" w:rsidRPr="00226F9D" w:rsidRDefault="00C826E4" w:rsidP="00090884">
            <w:pPr>
              <w:spacing w:after="0" w:line="240" w:lineRule="auto"/>
              <w:jc w:val="both"/>
              <w:rPr>
                <w:rFonts w:ascii="Times New Roman" w:eastAsia="Times New Roman" w:hAnsi="Times New Roman" w:cs="Times New Roman"/>
                <w:kern w:val="0"/>
                <w:sz w:val="20"/>
                <w:szCs w:val="20"/>
                <w14:ligatures w14:val="none"/>
              </w:rPr>
            </w:pPr>
            <w:r w:rsidRPr="00226F9D">
              <w:rPr>
                <w:rFonts w:ascii="Times New Roman" w:eastAsia="Times New Roman" w:hAnsi="Times New Roman" w:cs="Times New Roman"/>
                <w:kern w:val="0"/>
                <w:sz w:val="20"/>
                <w:szCs w:val="20"/>
                <w14:ligatures w14:val="none"/>
              </w:rPr>
              <w:t>3</w:t>
            </w:r>
            <w:r w:rsidR="00A319E4" w:rsidRPr="00226F9D">
              <w:rPr>
                <w:rFonts w:ascii="Times New Roman" w:eastAsia="Times New Roman" w:hAnsi="Times New Roman" w:cs="Times New Roman"/>
                <w:kern w:val="0"/>
                <w:sz w:val="20"/>
                <w:szCs w:val="20"/>
                <w14:ligatures w14:val="none"/>
              </w:rPr>
              <w:t>2</w:t>
            </w:r>
          </w:p>
        </w:tc>
        <w:tc>
          <w:tcPr>
            <w:tcW w:w="1114" w:type="dxa"/>
            <w:vAlign w:val="center"/>
          </w:tcPr>
          <w:p w14:paraId="18274D9D" w14:textId="5012D11A" w:rsidR="00335E1F" w:rsidRPr="00226F9D" w:rsidRDefault="00C826E4" w:rsidP="00090884">
            <w:pPr>
              <w:spacing w:after="0" w:line="240" w:lineRule="auto"/>
              <w:jc w:val="both"/>
              <w:rPr>
                <w:rFonts w:ascii="Times New Roman" w:eastAsia="Times New Roman" w:hAnsi="Times New Roman" w:cs="Times New Roman"/>
                <w:kern w:val="0"/>
                <w:sz w:val="20"/>
                <w:szCs w:val="20"/>
                <w14:ligatures w14:val="none"/>
              </w:rPr>
            </w:pPr>
            <w:r w:rsidRPr="00226F9D">
              <w:rPr>
                <w:rFonts w:ascii="Times New Roman" w:eastAsia="Times New Roman" w:hAnsi="Times New Roman" w:cs="Times New Roman"/>
                <w:kern w:val="0"/>
                <w:sz w:val="20"/>
                <w:szCs w:val="20"/>
                <w14:ligatures w14:val="none"/>
              </w:rPr>
              <w:t>3</w:t>
            </w:r>
            <w:r w:rsidR="00A319E4" w:rsidRPr="00226F9D">
              <w:rPr>
                <w:rFonts w:ascii="Times New Roman" w:eastAsia="Times New Roman" w:hAnsi="Times New Roman" w:cs="Times New Roman"/>
                <w:kern w:val="0"/>
                <w:sz w:val="20"/>
                <w:szCs w:val="20"/>
                <w14:ligatures w14:val="none"/>
              </w:rPr>
              <w:t>7</w:t>
            </w:r>
          </w:p>
        </w:tc>
        <w:tc>
          <w:tcPr>
            <w:tcW w:w="1115" w:type="dxa"/>
            <w:vAlign w:val="center"/>
          </w:tcPr>
          <w:p w14:paraId="36D93768" w14:textId="325C4182" w:rsidR="00335E1F" w:rsidRPr="00226F9D" w:rsidRDefault="00A319E4" w:rsidP="00090884">
            <w:pPr>
              <w:spacing w:after="0" w:line="240" w:lineRule="auto"/>
              <w:jc w:val="both"/>
              <w:rPr>
                <w:rFonts w:ascii="Times New Roman" w:eastAsia="Times New Roman" w:hAnsi="Times New Roman" w:cs="Times New Roman"/>
                <w:kern w:val="0"/>
                <w:sz w:val="20"/>
                <w:szCs w:val="20"/>
                <w14:ligatures w14:val="none"/>
              </w:rPr>
            </w:pPr>
            <w:r w:rsidRPr="00226F9D">
              <w:rPr>
                <w:rFonts w:ascii="Times New Roman" w:eastAsia="Times New Roman" w:hAnsi="Times New Roman" w:cs="Times New Roman"/>
                <w:kern w:val="0"/>
                <w:sz w:val="20"/>
                <w:szCs w:val="20"/>
                <w14:ligatures w14:val="none"/>
              </w:rPr>
              <w:t>42</w:t>
            </w:r>
          </w:p>
        </w:tc>
        <w:tc>
          <w:tcPr>
            <w:tcW w:w="1115" w:type="dxa"/>
            <w:vAlign w:val="center"/>
          </w:tcPr>
          <w:p w14:paraId="462F7389" w14:textId="34A99FC0" w:rsidR="00335E1F" w:rsidRPr="00226F9D" w:rsidRDefault="00C826E4" w:rsidP="00090884">
            <w:pPr>
              <w:spacing w:after="0" w:line="240" w:lineRule="auto"/>
              <w:jc w:val="both"/>
              <w:rPr>
                <w:rFonts w:ascii="Times New Roman" w:eastAsia="Times New Roman" w:hAnsi="Times New Roman" w:cs="Times New Roman"/>
                <w:kern w:val="0"/>
                <w:sz w:val="20"/>
                <w:szCs w:val="20"/>
                <w14:ligatures w14:val="none"/>
              </w:rPr>
            </w:pPr>
            <w:r w:rsidRPr="00226F9D">
              <w:rPr>
                <w:rFonts w:ascii="Times New Roman" w:eastAsia="Times New Roman" w:hAnsi="Times New Roman" w:cs="Times New Roman"/>
                <w:kern w:val="0"/>
                <w:sz w:val="20"/>
                <w:szCs w:val="20"/>
                <w14:ligatures w14:val="none"/>
              </w:rPr>
              <w:t>4</w:t>
            </w:r>
            <w:r w:rsidR="005B623F" w:rsidRPr="00226F9D">
              <w:rPr>
                <w:rFonts w:ascii="Times New Roman" w:eastAsia="Times New Roman" w:hAnsi="Times New Roman" w:cs="Times New Roman"/>
                <w:kern w:val="0"/>
                <w:sz w:val="20"/>
                <w:szCs w:val="20"/>
                <w14:ligatures w14:val="none"/>
              </w:rPr>
              <w:t>7</w:t>
            </w:r>
          </w:p>
        </w:tc>
      </w:tr>
    </w:tbl>
    <w:p w14:paraId="5D22DFB3" w14:textId="77777777" w:rsidR="00335E1F" w:rsidRPr="00226F9D" w:rsidRDefault="00335E1F" w:rsidP="006B59F4">
      <w:pPr>
        <w:spacing w:after="0" w:line="240" w:lineRule="auto"/>
        <w:jc w:val="both"/>
        <w:rPr>
          <w:rFonts w:ascii="Times New Roman" w:eastAsia="Arial" w:hAnsi="Times New Roman" w:cs="Times New Roman"/>
          <w:b/>
          <w:bCs/>
          <w:i/>
          <w:kern w:val="0"/>
          <w:lang w:val="en-GB"/>
          <w14:ligatures w14:val="none"/>
        </w:rPr>
      </w:pPr>
    </w:p>
    <w:p w14:paraId="28298812" w14:textId="7D76756F" w:rsidR="00335E1F" w:rsidRPr="00226F9D" w:rsidRDefault="00335E1F" w:rsidP="00343009">
      <w:pPr>
        <w:pStyle w:val="Heading4"/>
        <w:rPr>
          <w:rFonts w:ascii="Times New Roman" w:eastAsia="Arial" w:hAnsi="Times New Roman" w:cs="Times New Roman"/>
          <w:lang w:val="sr-Cyrl-RS" w:eastAsia="de-CH"/>
        </w:rPr>
      </w:pPr>
      <w:bookmarkStart w:id="41" w:name="_Toc77068889"/>
      <w:r w:rsidRPr="00226F9D">
        <w:rPr>
          <w:rFonts w:ascii="Times New Roman" w:eastAsia="Arial" w:hAnsi="Times New Roman" w:cs="Times New Roman"/>
          <w:lang w:val="sr-Cyrl-RS" w:eastAsia="de-CH"/>
        </w:rPr>
        <w:t xml:space="preserve">Мера 4.3: </w:t>
      </w:r>
      <w:bookmarkEnd w:id="41"/>
      <w:r w:rsidRPr="00226F9D">
        <w:rPr>
          <w:rFonts w:ascii="Times New Roman" w:eastAsia="Arial" w:hAnsi="Times New Roman" w:cs="Times New Roman"/>
          <w:lang w:val="sr-Cyrl-RS" w:eastAsia="de-CH"/>
        </w:rPr>
        <w:t>Подршка развоју система комуналних делатности локалне самоуправе</w:t>
      </w:r>
    </w:p>
    <w:p w14:paraId="5C55F427" w14:textId="77777777" w:rsidR="00335E1F" w:rsidRPr="00226F9D" w:rsidRDefault="00335E1F" w:rsidP="00090884">
      <w:pPr>
        <w:spacing w:after="0" w:line="240" w:lineRule="auto"/>
        <w:jc w:val="both"/>
        <w:rPr>
          <w:rFonts w:ascii="Times New Roman" w:eastAsia="Times New Roman" w:hAnsi="Times New Roman" w:cs="Times New Roman"/>
          <w:kern w:val="0"/>
          <w:lang w:val="sr-Latn-RS"/>
          <w14:ligatures w14:val="none"/>
        </w:rPr>
      </w:pPr>
      <w:r w:rsidRPr="00226F9D">
        <w:rPr>
          <w:rFonts w:ascii="Times New Roman" w:eastAsia="Times New Roman" w:hAnsi="Times New Roman" w:cs="Times New Roman"/>
          <w:kern w:val="0"/>
          <w:lang w:val="sr-Cyrl-RS"/>
          <w14:ligatures w14:val="none"/>
        </w:rPr>
        <w:t xml:space="preserve">Реформе у области комуналних делатности остају један од кључних приоритета даље реформе система локалне самоуправе. Важну прекретницу у претходном програмском периоду представљало је усвајање измена и допуна Закона о комуналним делатностима крајем 2024. године и предузимање почетних корака за његову оперативну примену на локалном нивоу у складу са уведеним новинама (моделовање локалне одлуке о комуналним делатностима). Даље планиране активности настављају се на истој линији подршке за реализацију ширих реформи у пракси функционисања ЛС. </w:t>
      </w:r>
    </w:p>
    <w:p w14:paraId="62CB500E" w14:textId="77777777" w:rsidR="00705031" w:rsidRPr="00226F9D" w:rsidRDefault="00705031" w:rsidP="00090884">
      <w:pPr>
        <w:spacing w:after="0" w:line="240" w:lineRule="auto"/>
        <w:jc w:val="both"/>
        <w:rPr>
          <w:rFonts w:ascii="Times New Roman" w:eastAsia="Times New Roman" w:hAnsi="Times New Roman" w:cs="Times New Roman"/>
          <w:kern w:val="0"/>
          <w:lang w:val="sr-Latn-RS"/>
          <w14:ligatures w14:val="none"/>
        </w:rPr>
      </w:pPr>
    </w:p>
    <w:p w14:paraId="68845F4C" w14:textId="77777777" w:rsidR="00335E1F" w:rsidRPr="00226F9D" w:rsidRDefault="00335E1F" w:rsidP="00090884">
      <w:pPr>
        <w:spacing w:after="0" w:line="240" w:lineRule="auto"/>
        <w:jc w:val="both"/>
        <w:rPr>
          <w:rFonts w:ascii="Times New Roman" w:eastAsia="Times New Roman" w:hAnsi="Times New Roman" w:cs="Times New Roman"/>
          <w:kern w:val="0"/>
          <w:lang w:val="sr-Latn-RS"/>
          <w14:ligatures w14:val="none"/>
        </w:rPr>
      </w:pPr>
      <w:r w:rsidRPr="00226F9D">
        <w:rPr>
          <w:rFonts w:ascii="Times New Roman" w:eastAsia="Times New Roman" w:hAnsi="Times New Roman" w:cs="Times New Roman"/>
          <w:kern w:val="0"/>
          <w:lang w:val="sr-Cyrl-RS"/>
          <w14:ligatures w14:val="none"/>
        </w:rPr>
        <w:t>У том смислу, у оквиру предметне мере за подршку развоју система комуналних делатности, тежи се свеобухватној модернизацији овог кључног сектора кроз успостављање јасног регулаторног, методолошког и технолошког оквира. Овај системски приступ обухвата, прво, дигиталну трансформацију кроз израду електронског портала за централизовано и стандардизовано извештавање, што ће елиминисати фрагментираност података и обезбедити релевантне информације за доношење одлука. Друго, предвиђа се унапређење регулаторне основе доношењем специјализованог Закона о гробљима и сахрањивању, који детаљно уређује осетљиву област јавне услуге од општег интереса, као и доношење кључних подзаконских аката. Такође, потребно је моделовање аката који ближе прописују садржину и начин доношења програма изградње и одржавања инфраструктуре и успостављају транспарентну и економски оправдану методологију за формирање цена комуналних услуга, чиме се обезбеђује њихова финансијска одрживост.</w:t>
      </w:r>
    </w:p>
    <w:p w14:paraId="05587776" w14:textId="77777777" w:rsidR="00705031" w:rsidRPr="00226F9D" w:rsidRDefault="00705031" w:rsidP="00090884">
      <w:pPr>
        <w:spacing w:after="0" w:line="240" w:lineRule="auto"/>
        <w:jc w:val="both"/>
        <w:rPr>
          <w:rFonts w:ascii="Times New Roman" w:eastAsia="Times New Roman" w:hAnsi="Times New Roman" w:cs="Times New Roman"/>
          <w:kern w:val="0"/>
          <w:lang w:val="sr-Latn-RS"/>
          <w14:ligatures w14:val="none"/>
        </w:rPr>
      </w:pPr>
    </w:p>
    <w:p w14:paraId="3948CC5D" w14:textId="07DBECE1" w:rsidR="00335E1F" w:rsidRPr="00226F9D" w:rsidRDefault="00335E1F"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Овај нормативан и технолошки оквир биће потпомогнут обимним програмом јачања капацитета запослених у јединицама локалне самоуправе и комуналним предузећима. Предвиђена је израда практичних модела и инструктивних материјала, као и организација циљаних обука и семинара за примену новог (измењеног) Закона о комуналним делатностима, коришћење е-портала, израду програма изградње инфраструктуре и примену методологије за цене комуналних делатности. Овим се директно делује на највећи изазов, односно недостатак стручних капацитета на локалном нивоу, али и обезбеђује одрживост реформе и континуирано унапређење пракси у домену пружања комуналних услуга. Имплементација активности у оквиру мере 4.</w:t>
      </w:r>
      <w:r w:rsidR="004E213E" w:rsidRPr="00226F9D">
        <w:rPr>
          <w:rFonts w:ascii="Times New Roman" w:eastAsia="Times New Roman" w:hAnsi="Times New Roman" w:cs="Times New Roman"/>
          <w:kern w:val="0"/>
          <w:lang w:val="sr-Cyrl-RS"/>
          <w14:ligatures w14:val="none"/>
        </w:rPr>
        <w:t>3</w:t>
      </w:r>
      <w:r w:rsidRPr="00226F9D">
        <w:rPr>
          <w:rFonts w:ascii="Times New Roman" w:eastAsia="Times New Roman" w:hAnsi="Times New Roman" w:cs="Times New Roman"/>
          <w:kern w:val="0"/>
          <w:lang w:val="sr-Cyrl-RS"/>
          <w14:ligatures w14:val="none"/>
        </w:rPr>
        <w:t>. омогућиће креирање предвидивог, стандардизованог и ефикасног система комуналних делатности. Комбиновањем јасне регулативе, савремених технологија и ојачаних људских капацитета, директан резултат биће значајно побољшање квалитета, доступности и транспарентности комуналних услуга за грађане, уједначавање услова на целој територији Републике Србије и стварање основа за дугорочни одрживи развој локалних заједница.</w:t>
      </w:r>
    </w:p>
    <w:p w14:paraId="1B1B354E" w14:textId="68FBD9D1" w:rsidR="003B6774" w:rsidRPr="00226F9D" w:rsidRDefault="003B6774" w:rsidP="00090884">
      <w:pPr>
        <w:spacing w:after="0" w:line="240" w:lineRule="auto"/>
        <w:jc w:val="both"/>
        <w:rPr>
          <w:rFonts w:ascii="Times New Roman" w:eastAsia="Times New Roman" w:hAnsi="Times New Roman" w:cs="Times New Roman"/>
          <w:kern w:val="0"/>
          <w:lang w:val="sr-Cyrl-RS"/>
          <w14:ligatures w14:val="none"/>
        </w:rPr>
      </w:pPr>
    </w:p>
    <w:p w14:paraId="7909BD09" w14:textId="5B093FEB" w:rsidR="00B81B55" w:rsidRPr="00226F9D" w:rsidRDefault="00B81B55" w:rsidP="00B81B55">
      <w:pPr>
        <w:spacing w:after="0" w:line="240" w:lineRule="auto"/>
        <w:jc w:val="both"/>
        <w:rPr>
          <w:rFonts w:ascii="Times New Roman" w:eastAsia="Times New Roman" w:hAnsi="Times New Roman" w:cs="Times New Roman"/>
          <w:kern w:val="0"/>
          <w:lang w:val="sr-Latn-RS"/>
          <w14:ligatures w14:val="none"/>
        </w:rPr>
      </w:pPr>
      <w:r w:rsidRPr="00226F9D">
        <w:rPr>
          <w:rFonts w:ascii="Times New Roman" w:eastAsia="Times New Roman" w:hAnsi="Times New Roman" w:cs="Times New Roman"/>
          <w:kern w:val="0"/>
          <w:lang w:val="sr-Cyrl-RS"/>
          <w14:ligatures w14:val="none"/>
        </w:rPr>
        <w:t>Посебно је значајна реформа управљања и надзора над радом предузећа чији је оснивач ЈЛС, са циљем унапређења ефикасности, транспарентности и одговорности у пружању комуналних услуга. Свеобухватна анализа правног, финансијског и управљачког стања представљаће основу за унапређење законског оквира и механизама надзора, уз развој методолошких и софтверских алата који ће омогућити јасно дефинисање циљева, праћење учинка и систематично и одговорно управљање предузећима у власништву ЈЛС.</w:t>
      </w:r>
    </w:p>
    <w:p w14:paraId="38D4D8E3" w14:textId="77777777" w:rsidR="00335E1F" w:rsidRPr="00226F9D" w:rsidRDefault="00335E1F" w:rsidP="006B59F4">
      <w:pPr>
        <w:spacing w:after="0" w:line="240" w:lineRule="auto"/>
        <w:jc w:val="both"/>
        <w:rPr>
          <w:rFonts w:ascii="Times New Roman" w:eastAsia="Times New Roman" w:hAnsi="Times New Roman" w:cs="Times New Roman"/>
          <w:b/>
          <w:color w:val="000000"/>
          <w:kern w:val="0"/>
          <w:lang w:val="sr-Cyrl-RS" w:eastAsia="sr-Latn-R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517"/>
        <w:gridCol w:w="1372"/>
        <w:gridCol w:w="1146"/>
        <w:gridCol w:w="1147"/>
        <w:gridCol w:w="1146"/>
        <w:gridCol w:w="1147"/>
        <w:gridCol w:w="1147"/>
      </w:tblGrid>
      <w:tr w:rsidR="0046481F" w:rsidRPr="00226F9D" w14:paraId="54A0744A" w14:textId="77777777" w:rsidTr="001D377B">
        <w:trPr>
          <w:trHeight w:val="278"/>
          <w:tblHeader/>
        </w:trPr>
        <w:tc>
          <w:tcPr>
            <w:tcW w:w="2445" w:type="dxa"/>
            <w:shd w:val="clear" w:color="auto" w:fill="83CAEB" w:themeFill="accent1" w:themeFillTint="66"/>
            <w:vAlign w:val="center"/>
            <w:hideMark/>
          </w:tcPr>
          <w:p w14:paraId="589152C8"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lastRenderedPageBreak/>
              <w:t>Показатељ(и) на нивоу мере (показатељ резултата)</w:t>
            </w:r>
          </w:p>
        </w:tc>
        <w:tc>
          <w:tcPr>
            <w:tcW w:w="1333" w:type="dxa"/>
            <w:shd w:val="clear" w:color="auto" w:fill="83CAEB" w:themeFill="accent1" w:themeFillTint="66"/>
            <w:vAlign w:val="center"/>
            <w:hideMark/>
          </w:tcPr>
          <w:p w14:paraId="5A21A616"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Полазна вредност</w:t>
            </w:r>
          </w:p>
        </w:tc>
        <w:tc>
          <w:tcPr>
            <w:tcW w:w="1114" w:type="dxa"/>
            <w:shd w:val="clear" w:color="auto" w:fill="83CAEB" w:themeFill="accent1" w:themeFillTint="66"/>
            <w:vAlign w:val="center"/>
            <w:hideMark/>
          </w:tcPr>
          <w:p w14:paraId="57ED7541"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2026.</w:t>
            </w:r>
          </w:p>
        </w:tc>
        <w:tc>
          <w:tcPr>
            <w:tcW w:w="1115" w:type="dxa"/>
            <w:shd w:val="clear" w:color="auto" w:fill="83CAEB" w:themeFill="accent1" w:themeFillTint="66"/>
            <w:vAlign w:val="center"/>
            <w:hideMark/>
          </w:tcPr>
          <w:p w14:paraId="4BB82198"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2027.</w:t>
            </w:r>
          </w:p>
        </w:tc>
        <w:tc>
          <w:tcPr>
            <w:tcW w:w="1114" w:type="dxa"/>
            <w:shd w:val="clear" w:color="auto" w:fill="83CAEB" w:themeFill="accent1" w:themeFillTint="66"/>
            <w:vAlign w:val="center"/>
            <w:hideMark/>
          </w:tcPr>
          <w:p w14:paraId="71ED9C08"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2028.</w:t>
            </w:r>
          </w:p>
        </w:tc>
        <w:tc>
          <w:tcPr>
            <w:tcW w:w="1115" w:type="dxa"/>
            <w:shd w:val="clear" w:color="auto" w:fill="83CAEB" w:themeFill="accent1" w:themeFillTint="66"/>
            <w:vAlign w:val="center"/>
          </w:tcPr>
          <w:p w14:paraId="4387DA9D"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2029.</w:t>
            </w:r>
          </w:p>
        </w:tc>
        <w:tc>
          <w:tcPr>
            <w:tcW w:w="1115" w:type="dxa"/>
            <w:shd w:val="clear" w:color="auto" w:fill="83CAEB" w:themeFill="accent1" w:themeFillTint="66"/>
            <w:vAlign w:val="center"/>
          </w:tcPr>
          <w:p w14:paraId="4DDA8EAD"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2030.</w:t>
            </w:r>
          </w:p>
        </w:tc>
      </w:tr>
      <w:tr w:rsidR="007A7449" w:rsidRPr="00226F9D" w14:paraId="02857902" w14:textId="77777777" w:rsidTr="001D377B">
        <w:trPr>
          <w:trHeight w:val="278"/>
        </w:trPr>
        <w:tc>
          <w:tcPr>
            <w:tcW w:w="2445" w:type="dxa"/>
            <w:vAlign w:val="center"/>
          </w:tcPr>
          <w:p w14:paraId="2A9A14E0"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Проценат ЈЛС које имају Програм изградње и одржавања комуналне инфраструктуре</w:t>
            </w:r>
          </w:p>
        </w:tc>
        <w:tc>
          <w:tcPr>
            <w:tcW w:w="1333" w:type="dxa"/>
            <w:vAlign w:val="center"/>
          </w:tcPr>
          <w:p w14:paraId="741F8E9E" w14:textId="77777777" w:rsidR="00335E1F" w:rsidRPr="00226F9D" w:rsidRDefault="00335E1F" w:rsidP="00090884">
            <w:pPr>
              <w:spacing w:after="0" w:line="240" w:lineRule="auto"/>
              <w:jc w:val="both"/>
              <w:rPr>
                <w:rFonts w:ascii="Times New Roman" w:eastAsia="Times New Roman" w:hAnsi="Times New Roman" w:cs="Times New Roman"/>
                <w:color w:val="000000" w:themeColor="text1"/>
                <w:kern w:val="0"/>
                <w:sz w:val="20"/>
                <w:szCs w:val="20"/>
                <w:lang w:val="sr-Cyrl-RS"/>
                <w14:ligatures w14:val="none"/>
              </w:rPr>
            </w:pPr>
            <w:r w:rsidRPr="00226F9D">
              <w:rPr>
                <w:rFonts w:ascii="Times New Roman" w:eastAsia="Times New Roman" w:hAnsi="Times New Roman" w:cs="Times New Roman"/>
                <w:color w:val="000000" w:themeColor="text1"/>
                <w:kern w:val="0"/>
                <w:sz w:val="20"/>
                <w:szCs w:val="20"/>
                <w:lang w:val="sr-Cyrl-RS"/>
                <w14:ligatures w14:val="none"/>
              </w:rPr>
              <w:t>0 (2025)</w:t>
            </w:r>
          </w:p>
        </w:tc>
        <w:tc>
          <w:tcPr>
            <w:tcW w:w="1114" w:type="dxa"/>
            <w:vAlign w:val="center"/>
          </w:tcPr>
          <w:p w14:paraId="79AF3AE8"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r w:rsidRPr="00226F9D">
              <w:rPr>
                <w:rFonts w:ascii="Times New Roman" w:eastAsia="Times New Roman" w:hAnsi="Times New Roman" w:cs="Times New Roman"/>
                <w:color w:val="000000"/>
                <w:kern w:val="0"/>
                <w:sz w:val="20"/>
                <w:szCs w:val="20"/>
                <w:lang w:val="sr-Latn-RS"/>
                <w14:ligatures w14:val="none"/>
              </w:rPr>
              <w:t>0</w:t>
            </w:r>
          </w:p>
        </w:tc>
        <w:tc>
          <w:tcPr>
            <w:tcW w:w="1115" w:type="dxa"/>
            <w:vAlign w:val="center"/>
          </w:tcPr>
          <w:p w14:paraId="5273CBB1" w14:textId="77777777" w:rsidR="00335E1F" w:rsidRPr="00226F9D" w:rsidRDefault="00335E1F" w:rsidP="00090884">
            <w:pPr>
              <w:spacing w:after="0" w:line="240" w:lineRule="auto"/>
              <w:jc w:val="both"/>
              <w:rPr>
                <w:rFonts w:ascii="Times New Roman" w:eastAsia="Times New Roman" w:hAnsi="Times New Roman" w:cs="Times New Roman"/>
                <w:color w:val="000000"/>
                <w:kern w:val="0"/>
                <w:sz w:val="20"/>
                <w:szCs w:val="20"/>
                <w:lang w:val="sr-Latn-RS"/>
                <w14:ligatures w14:val="none"/>
              </w:rPr>
            </w:pPr>
          </w:p>
        </w:tc>
        <w:tc>
          <w:tcPr>
            <w:tcW w:w="1114" w:type="dxa"/>
            <w:vAlign w:val="center"/>
          </w:tcPr>
          <w:p w14:paraId="3F5A376B" w14:textId="77777777" w:rsidR="00335E1F" w:rsidRPr="00226F9D" w:rsidRDefault="00335E1F"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75%</w:t>
            </w:r>
          </w:p>
        </w:tc>
        <w:tc>
          <w:tcPr>
            <w:tcW w:w="1115" w:type="dxa"/>
            <w:vAlign w:val="center"/>
          </w:tcPr>
          <w:p w14:paraId="030CCFDA" w14:textId="77777777" w:rsidR="00335E1F" w:rsidRPr="00226F9D" w:rsidRDefault="00335E1F" w:rsidP="00090884">
            <w:pPr>
              <w:spacing w:after="0" w:line="240" w:lineRule="auto"/>
              <w:jc w:val="both"/>
              <w:rPr>
                <w:rFonts w:ascii="Times New Roman" w:eastAsia="Times New Roman" w:hAnsi="Times New Roman" w:cs="Times New Roman"/>
                <w:color w:val="EE0000"/>
                <w:kern w:val="0"/>
                <w:sz w:val="20"/>
                <w:szCs w:val="20"/>
                <w:lang w:val="sr-Latn-RS"/>
                <w14:ligatures w14:val="none"/>
              </w:rPr>
            </w:pPr>
          </w:p>
        </w:tc>
        <w:tc>
          <w:tcPr>
            <w:tcW w:w="1115" w:type="dxa"/>
            <w:vAlign w:val="center"/>
          </w:tcPr>
          <w:p w14:paraId="1D8E98B7" w14:textId="77777777" w:rsidR="00335E1F" w:rsidRPr="00226F9D" w:rsidRDefault="00335E1F" w:rsidP="00090884">
            <w:pPr>
              <w:spacing w:after="0" w:line="240" w:lineRule="auto"/>
              <w:jc w:val="both"/>
              <w:rPr>
                <w:rFonts w:ascii="Times New Roman" w:eastAsia="Times New Roman" w:hAnsi="Times New Roman" w:cs="Times New Roman"/>
                <w:kern w:val="0"/>
                <w:sz w:val="20"/>
                <w:szCs w:val="20"/>
                <w:lang w:val="sr-Cyrl-RS"/>
                <w14:ligatures w14:val="none"/>
              </w:rPr>
            </w:pPr>
            <w:r w:rsidRPr="00226F9D">
              <w:rPr>
                <w:rFonts w:ascii="Times New Roman" w:eastAsia="Times New Roman" w:hAnsi="Times New Roman" w:cs="Times New Roman"/>
                <w:kern w:val="0"/>
                <w:sz w:val="20"/>
                <w:szCs w:val="20"/>
                <w:lang w:val="sr-Cyrl-RS"/>
                <w14:ligatures w14:val="none"/>
              </w:rPr>
              <w:t>100%</w:t>
            </w:r>
          </w:p>
        </w:tc>
      </w:tr>
    </w:tbl>
    <w:p w14:paraId="10E0F80C" w14:textId="77777777" w:rsidR="00CF32C3" w:rsidRPr="00226F9D" w:rsidRDefault="00CF32C3" w:rsidP="006B59F4">
      <w:pPr>
        <w:spacing w:after="0" w:line="240" w:lineRule="auto"/>
        <w:jc w:val="both"/>
        <w:rPr>
          <w:rFonts w:ascii="Times New Roman" w:eastAsia="Times New Roman" w:hAnsi="Times New Roman" w:cs="Times New Roman"/>
          <w:color w:val="000000" w:themeColor="text1"/>
          <w:kern w:val="0"/>
          <w:lang w:val="sr-Cyrl-RS"/>
          <w14:ligatures w14:val="none"/>
        </w:rPr>
      </w:pPr>
    </w:p>
    <w:p w14:paraId="75C68142" w14:textId="1F527AB7" w:rsidR="00CF32C3" w:rsidRPr="00226F9D" w:rsidRDefault="00CF32C3" w:rsidP="00090884">
      <w:pPr>
        <w:spacing w:after="0" w:line="240" w:lineRule="auto"/>
        <w:jc w:val="both"/>
        <w:rPr>
          <w:rFonts w:ascii="Times New Roman" w:eastAsia="Times New Roman" w:hAnsi="Times New Roman" w:cs="Times New Roman"/>
          <w:b/>
          <w:color w:val="000000" w:themeColor="text1"/>
          <w:kern w:val="0"/>
          <w:lang w:eastAsia="en-GB"/>
          <w14:ligatures w14:val="none"/>
        </w:rPr>
      </w:pPr>
      <w:r w:rsidRPr="00226F9D">
        <w:rPr>
          <w:rFonts w:ascii="Times New Roman" w:eastAsia="Times New Roman" w:hAnsi="Times New Roman" w:cs="Times New Roman"/>
          <w:b/>
          <w:iCs/>
          <w:color w:val="000000" w:themeColor="text1"/>
          <w:kern w:val="0"/>
          <w:lang w:val="sr-Cyrl-RS" w:eastAsia="en-GB"/>
          <w14:ligatures w14:val="none"/>
        </w:rPr>
        <w:t>Анализа ефеката мера</w:t>
      </w:r>
    </w:p>
    <w:p w14:paraId="49B033C8" w14:textId="77777777" w:rsidR="002408C9" w:rsidRPr="00226F9D" w:rsidRDefault="002408C9" w:rsidP="00090884">
      <w:pPr>
        <w:spacing w:after="0" w:line="240" w:lineRule="auto"/>
        <w:jc w:val="both"/>
        <w:rPr>
          <w:rFonts w:ascii="Times New Roman" w:eastAsia="Times New Roman" w:hAnsi="Times New Roman" w:cs="Times New Roman"/>
          <w:b/>
          <w:bCs/>
          <w:i/>
          <w:iCs/>
          <w:kern w:val="0"/>
          <w:lang w:eastAsia="de-CH"/>
          <w14:ligatures w14:val="none"/>
        </w:rPr>
      </w:pPr>
    </w:p>
    <w:p w14:paraId="1BAA9DEF" w14:textId="59D77B16" w:rsidR="004D57B6" w:rsidRPr="00226F9D" w:rsidRDefault="00673D87" w:rsidP="004D57B6">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У погледу економских </w:t>
      </w:r>
      <w:r w:rsidR="00451E72" w:rsidRPr="00226F9D">
        <w:rPr>
          <w:rFonts w:ascii="Times New Roman" w:eastAsia="Arial" w:hAnsi="Times New Roman" w:cs="Times New Roman"/>
          <w:kern w:val="0"/>
          <w:lang w:val="sr-Cyrl-RS"/>
          <w14:ligatures w14:val="none"/>
        </w:rPr>
        <w:t xml:space="preserve">као и друштвених </w:t>
      </w:r>
      <w:r w:rsidRPr="00226F9D">
        <w:rPr>
          <w:rFonts w:ascii="Times New Roman" w:eastAsia="Arial" w:hAnsi="Times New Roman" w:cs="Times New Roman"/>
          <w:kern w:val="0"/>
          <w:lang w:val="sr-Cyrl-RS"/>
          <w14:ligatures w14:val="none"/>
        </w:rPr>
        <w:t xml:space="preserve">ефеката, утицај мера </w:t>
      </w:r>
      <w:r w:rsidR="00FD0DB1" w:rsidRPr="00226F9D">
        <w:rPr>
          <w:rFonts w:ascii="Times New Roman" w:eastAsia="Arial" w:hAnsi="Times New Roman" w:cs="Times New Roman"/>
          <w:kern w:val="0"/>
          <w:lang w:val="sr-Cyrl-RS"/>
          <w14:ligatures w14:val="none"/>
        </w:rPr>
        <w:t xml:space="preserve">уз обухвату ПЦ 4 </w:t>
      </w:r>
      <w:r w:rsidRPr="00226F9D">
        <w:rPr>
          <w:rFonts w:ascii="Times New Roman" w:eastAsia="Arial" w:hAnsi="Times New Roman" w:cs="Times New Roman"/>
          <w:kern w:val="0"/>
          <w:lang w:val="sr-Cyrl-RS"/>
          <w14:ligatures w14:val="none"/>
        </w:rPr>
        <w:t>се може оценити као позитиван</w:t>
      </w:r>
      <w:r w:rsidR="008D2E70" w:rsidRPr="00226F9D">
        <w:rPr>
          <w:rFonts w:ascii="Times New Roman" w:eastAsia="Arial" w:hAnsi="Times New Roman" w:cs="Times New Roman"/>
          <w:kern w:val="0"/>
          <w:lang w:val="sr-Cyrl-RS"/>
          <w14:ligatures w14:val="none"/>
        </w:rPr>
        <w:t xml:space="preserve"> и </w:t>
      </w:r>
      <w:r w:rsidR="006217F2" w:rsidRPr="00226F9D">
        <w:rPr>
          <w:rFonts w:ascii="Times New Roman" w:eastAsia="Arial" w:hAnsi="Times New Roman" w:cs="Times New Roman"/>
          <w:kern w:val="0"/>
          <w:lang w:val="sr-Cyrl-RS"/>
          <w14:ligatures w14:val="none"/>
        </w:rPr>
        <w:t>углавном</w:t>
      </w:r>
      <w:r w:rsidR="008D2E70" w:rsidRPr="00226F9D">
        <w:rPr>
          <w:rFonts w:ascii="Times New Roman" w:eastAsia="Arial" w:hAnsi="Times New Roman" w:cs="Times New Roman"/>
          <w:kern w:val="0"/>
          <w:lang w:val="sr-Cyrl-RS"/>
          <w14:ligatures w14:val="none"/>
        </w:rPr>
        <w:t xml:space="preserve"> инди</w:t>
      </w:r>
      <w:r w:rsidR="00417A76" w:rsidRPr="00226F9D">
        <w:rPr>
          <w:rFonts w:ascii="Times New Roman" w:eastAsia="Arial" w:hAnsi="Times New Roman" w:cs="Times New Roman"/>
          <w:kern w:val="0"/>
          <w:lang w:val="sr-Cyrl-RS"/>
          <w14:ligatures w14:val="none"/>
        </w:rPr>
        <w:t>ректан, иако се</w:t>
      </w:r>
      <w:r w:rsidR="00937BDE" w:rsidRPr="00226F9D">
        <w:rPr>
          <w:rFonts w:ascii="Times New Roman" w:eastAsia="Arial" w:hAnsi="Times New Roman" w:cs="Times New Roman"/>
          <w:kern w:val="0"/>
          <w:lang w:val="sr-Cyrl-RS"/>
          <w14:ligatures w14:val="none"/>
        </w:rPr>
        <w:t xml:space="preserve"> и део директних </w:t>
      </w:r>
      <w:r w:rsidR="009B7690" w:rsidRPr="00226F9D">
        <w:rPr>
          <w:rFonts w:ascii="Times New Roman" w:eastAsia="Arial" w:hAnsi="Times New Roman" w:cs="Times New Roman"/>
          <w:kern w:val="0"/>
          <w:lang w:val="sr-Cyrl-RS"/>
          <w14:ligatures w14:val="none"/>
        </w:rPr>
        <w:t>утицаја</w:t>
      </w:r>
      <w:r w:rsidR="00F667C6" w:rsidRPr="00226F9D">
        <w:rPr>
          <w:rFonts w:ascii="Times New Roman" w:eastAsia="Arial" w:hAnsi="Times New Roman" w:cs="Times New Roman"/>
          <w:kern w:val="0"/>
          <w:lang w:val="sr-Cyrl-RS"/>
          <w14:ligatures w14:val="none"/>
        </w:rPr>
        <w:t xml:space="preserve"> мо</w:t>
      </w:r>
      <w:r w:rsidR="009B7690" w:rsidRPr="00226F9D">
        <w:rPr>
          <w:rFonts w:ascii="Times New Roman" w:eastAsia="Arial" w:hAnsi="Times New Roman" w:cs="Times New Roman"/>
          <w:kern w:val="0"/>
          <w:lang w:val="sr-Cyrl-RS"/>
          <w14:ligatures w14:val="none"/>
        </w:rPr>
        <w:t>же</w:t>
      </w:r>
      <w:r w:rsidR="00F667C6" w:rsidRPr="00226F9D">
        <w:rPr>
          <w:rFonts w:ascii="Times New Roman" w:eastAsia="Arial" w:hAnsi="Times New Roman" w:cs="Times New Roman"/>
          <w:kern w:val="0"/>
          <w:lang w:val="sr-Cyrl-RS"/>
          <w14:ligatures w14:val="none"/>
        </w:rPr>
        <w:t xml:space="preserve"> очекивати </w:t>
      </w:r>
      <w:r w:rsidR="009B7690" w:rsidRPr="00226F9D">
        <w:rPr>
          <w:rFonts w:ascii="Times New Roman" w:eastAsia="Arial" w:hAnsi="Times New Roman" w:cs="Times New Roman"/>
          <w:kern w:val="0"/>
          <w:lang w:val="sr-Cyrl-RS"/>
          <w14:ligatures w14:val="none"/>
        </w:rPr>
        <w:t xml:space="preserve">на привредне субјекте и на </w:t>
      </w:r>
      <w:r w:rsidR="00C778C5" w:rsidRPr="00226F9D">
        <w:rPr>
          <w:rFonts w:ascii="Times New Roman" w:eastAsia="Arial" w:hAnsi="Times New Roman" w:cs="Times New Roman"/>
          <w:kern w:val="0"/>
          <w:lang w:val="sr-Cyrl-RS"/>
          <w14:ligatures w14:val="none"/>
        </w:rPr>
        <w:t>грађане тј., локалне заједнице</w:t>
      </w:r>
      <w:r w:rsidR="007F79D9" w:rsidRPr="00226F9D">
        <w:rPr>
          <w:rFonts w:ascii="Times New Roman" w:eastAsia="Arial" w:hAnsi="Times New Roman" w:cs="Times New Roman"/>
          <w:kern w:val="0"/>
          <w:lang w:val="sr-Cyrl-RS"/>
          <w14:ligatures w14:val="none"/>
        </w:rPr>
        <w:t xml:space="preserve">, </w:t>
      </w:r>
      <w:r w:rsidR="00417A76" w:rsidRPr="00226F9D">
        <w:rPr>
          <w:rFonts w:ascii="Times New Roman" w:eastAsia="Arial" w:hAnsi="Times New Roman" w:cs="Times New Roman"/>
          <w:kern w:val="0"/>
          <w:lang w:val="sr-Cyrl-RS"/>
          <w14:ligatures w14:val="none"/>
        </w:rPr>
        <w:t xml:space="preserve">кроз даље реформисање контекста и подршку за боље </w:t>
      </w:r>
      <w:r w:rsidR="00DF56E9" w:rsidRPr="00226F9D">
        <w:rPr>
          <w:rFonts w:ascii="Times New Roman" w:eastAsia="Arial" w:hAnsi="Times New Roman" w:cs="Times New Roman"/>
          <w:kern w:val="0"/>
          <w:lang w:val="sr-Cyrl-RS"/>
          <w14:ligatures w14:val="none"/>
        </w:rPr>
        <w:t>пружање услуга и обављање комуналних делатности од стране ЛС</w:t>
      </w:r>
      <w:r w:rsidRPr="00226F9D">
        <w:rPr>
          <w:rFonts w:ascii="Times New Roman" w:eastAsia="Arial" w:hAnsi="Times New Roman" w:cs="Times New Roman"/>
          <w:kern w:val="0"/>
          <w:lang w:val="sr-Cyrl-RS"/>
          <w14:ligatures w14:val="none"/>
        </w:rPr>
        <w:t>.</w:t>
      </w:r>
      <w:r w:rsidR="00EF325D" w:rsidRPr="00226F9D">
        <w:rPr>
          <w:rFonts w:ascii="Times New Roman" w:eastAsia="Arial" w:hAnsi="Times New Roman" w:cs="Times New Roman"/>
          <w:kern w:val="0"/>
          <w:lang w:val="sr-Cyrl-RS"/>
          <w14:ligatures w14:val="none"/>
        </w:rPr>
        <w:t xml:space="preserve"> Док ће </w:t>
      </w:r>
      <w:r w:rsidR="00216CA0" w:rsidRPr="00226F9D">
        <w:rPr>
          <w:rFonts w:ascii="Times New Roman" w:eastAsia="Arial" w:hAnsi="Times New Roman" w:cs="Times New Roman"/>
          <w:kern w:val="0"/>
          <w:lang w:val="sr-Cyrl-RS"/>
          <w14:ligatures w14:val="none"/>
        </w:rPr>
        <w:t>унапређена доступност услуга које пружа ЛС</w:t>
      </w:r>
      <w:r w:rsidR="00E34CEB" w:rsidRPr="00226F9D">
        <w:rPr>
          <w:rFonts w:ascii="Times New Roman" w:eastAsia="Arial" w:hAnsi="Times New Roman" w:cs="Times New Roman"/>
          <w:kern w:val="0"/>
          <w:lang w:val="sr-Cyrl-RS"/>
          <w14:ligatures w14:val="none"/>
        </w:rPr>
        <w:t xml:space="preserve"> и боље функционисање кроз Регистар административних п</w:t>
      </w:r>
      <w:r w:rsidR="00273971" w:rsidRPr="00226F9D">
        <w:rPr>
          <w:rFonts w:ascii="Times New Roman" w:eastAsia="Arial" w:hAnsi="Times New Roman" w:cs="Times New Roman"/>
          <w:kern w:val="0"/>
          <w:lang w:val="sr-Cyrl-RS"/>
          <w14:ligatures w14:val="none"/>
        </w:rPr>
        <w:t>оступака</w:t>
      </w:r>
      <w:r w:rsidR="00E34CEB" w:rsidRPr="00226F9D">
        <w:rPr>
          <w:rFonts w:ascii="Times New Roman" w:eastAsia="Arial" w:hAnsi="Times New Roman" w:cs="Times New Roman"/>
          <w:kern w:val="0"/>
          <w:lang w:val="sr-Cyrl-RS"/>
          <w14:ligatures w14:val="none"/>
        </w:rPr>
        <w:t xml:space="preserve"> </w:t>
      </w:r>
      <w:r w:rsidR="002F4A0B" w:rsidRPr="00226F9D">
        <w:rPr>
          <w:rFonts w:ascii="Times New Roman" w:eastAsia="Arial" w:hAnsi="Times New Roman" w:cs="Times New Roman"/>
          <w:kern w:val="0"/>
          <w:lang w:val="sr-Cyrl-RS"/>
          <w14:ligatures w14:val="none"/>
        </w:rPr>
        <w:t xml:space="preserve">(РАП) </w:t>
      </w:r>
      <w:r w:rsidR="00E34CEB" w:rsidRPr="00226F9D">
        <w:rPr>
          <w:rFonts w:ascii="Times New Roman" w:eastAsia="Arial" w:hAnsi="Times New Roman" w:cs="Times New Roman"/>
          <w:kern w:val="0"/>
          <w:lang w:val="sr-Cyrl-RS"/>
          <w14:ligatures w14:val="none"/>
        </w:rPr>
        <w:t xml:space="preserve">свакако </w:t>
      </w:r>
      <w:r w:rsidR="006C7FB0" w:rsidRPr="00226F9D">
        <w:rPr>
          <w:rFonts w:ascii="Times New Roman" w:eastAsia="Arial" w:hAnsi="Times New Roman" w:cs="Times New Roman"/>
          <w:kern w:val="0"/>
          <w:lang w:val="sr-Cyrl-RS"/>
          <w14:ligatures w14:val="none"/>
        </w:rPr>
        <w:t xml:space="preserve">водити позитивним утицајима дикретнијег карактера, доследно спровођење методологије за одређивање цена комуналних услуга </w:t>
      </w:r>
      <w:r w:rsidR="00173A94" w:rsidRPr="00226F9D">
        <w:rPr>
          <w:rFonts w:ascii="Times New Roman" w:eastAsia="Arial" w:hAnsi="Times New Roman" w:cs="Times New Roman"/>
          <w:kern w:val="0"/>
          <w:lang w:val="sr-Cyrl-RS"/>
          <w14:ligatures w14:val="none"/>
        </w:rPr>
        <w:t>повећаће предвидивост, али неће нужно бити финансијски повољније за све категорије крајњих корисника</w:t>
      </w:r>
      <w:r w:rsidR="00F636B2" w:rsidRPr="00226F9D">
        <w:rPr>
          <w:rFonts w:ascii="Times New Roman" w:eastAsia="Arial" w:hAnsi="Times New Roman" w:cs="Times New Roman"/>
          <w:kern w:val="0"/>
          <w:lang w:val="sr-Cyrl-RS"/>
          <w14:ligatures w14:val="none"/>
        </w:rPr>
        <w:t>.</w:t>
      </w:r>
      <w:r w:rsidR="000F41F9" w:rsidRPr="00226F9D">
        <w:rPr>
          <w:rFonts w:ascii="Times New Roman" w:eastAsia="Arial" w:hAnsi="Times New Roman" w:cs="Times New Roman"/>
          <w:kern w:val="0"/>
          <w:lang w:val="sr-Cyrl-RS"/>
          <w14:ligatures w14:val="none"/>
        </w:rPr>
        <w:t xml:space="preserve"> </w:t>
      </w:r>
      <w:r w:rsidR="004D57B6" w:rsidRPr="00226F9D">
        <w:rPr>
          <w:rFonts w:ascii="Times New Roman" w:eastAsia="Arial" w:hAnsi="Times New Roman" w:cs="Times New Roman"/>
          <w:kern w:val="0"/>
          <w:lang w:val="sr-Cyrl-RS"/>
          <w14:ligatures w14:val="none"/>
        </w:rPr>
        <w:t>Ефекти на животну средину и климатске промене су индиректни,</w:t>
      </w:r>
      <w:r w:rsidR="00140974" w:rsidRPr="00226F9D">
        <w:rPr>
          <w:rFonts w:ascii="Times New Roman" w:eastAsia="Arial" w:hAnsi="Times New Roman" w:cs="Times New Roman"/>
          <w:kern w:val="0"/>
          <w:lang w:val="sr-Cyrl-RS"/>
          <w14:ligatures w14:val="none"/>
        </w:rPr>
        <w:t xml:space="preserve"> са потенцијалом за непосредније</w:t>
      </w:r>
      <w:r w:rsidR="00FA132C" w:rsidRPr="00226F9D">
        <w:rPr>
          <w:rFonts w:ascii="Times New Roman" w:eastAsia="Arial" w:hAnsi="Times New Roman" w:cs="Times New Roman"/>
          <w:kern w:val="0"/>
          <w:lang w:val="sr-Cyrl-RS"/>
          <w14:ligatures w14:val="none"/>
        </w:rPr>
        <w:t xml:space="preserve"> утицаје</w:t>
      </w:r>
      <w:r w:rsidR="00140974" w:rsidRPr="00226F9D">
        <w:rPr>
          <w:rFonts w:ascii="Times New Roman" w:eastAsia="Arial" w:hAnsi="Times New Roman" w:cs="Times New Roman"/>
          <w:kern w:val="0"/>
          <w:lang w:val="sr-Cyrl-RS"/>
          <w14:ligatures w14:val="none"/>
        </w:rPr>
        <w:t xml:space="preserve"> након преду</w:t>
      </w:r>
      <w:r w:rsidR="00FA132C" w:rsidRPr="00226F9D">
        <w:rPr>
          <w:rFonts w:ascii="Times New Roman" w:eastAsia="Arial" w:hAnsi="Times New Roman" w:cs="Times New Roman"/>
          <w:kern w:val="0"/>
          <w:lang w:val="sr-Cyrl-RS"/>
          <w14:ligatures w14:val="none"/>
        </w:rPr>
        <w:t>з</w:t>
      </w:r>
      <w:r w:rsidR="00140974" w:rsidRPr="00226F9D">
        <w:rPr>
          <w:rFonts w:ascii="Times New Roman" w:eastAsia="Arial" w:hAnsi="Times New Roman" w:cs="Times New Roman"/>
          <w:kern w:val="0"/>
          <w:lang w:val="sr-Cyrl-RS"/>
          <w14:ligatures w14:val="none"/>
        </w:rPr>
        <w:t>имања иницијалних корака у вези</w:t>
      </w:r>
      <w:r w:rsidR="000A1E57" w:rsidRPr="00226F9D">
        <w:rPr>
          <w:rFonts w:ascii="Times New Roman" w:eastAsia="Arial" w:hAnsi="Times New Roman" w:cs="Times New Roman"/>
          <w:kern w:val="0"/>
          <w:lang w:val="sr-Cyrl-RS"/>
          <w14:ligatures w14:val="none"/>
        </w:rPr>
        <w:t xml:space="preserve"> </w:t>
      </w:r>
      <w:r w:rsidR="00140974" w:rsidRPr="00226F9D">
        <w:rPr>
          <w:rFonts w:ascii="Times New Roman" w:eastAsia="Arial" w:hAnsi="Times New Roman" w:cs="Times New Roman"/>
          <w:kern w:val="0"/>
          <w:lang w:val="sr-Cyrl-RS"/>
          <w14:ligatures w14:val="none"/>
        </w:rPr>
        <w:t xml:space="preserve">са </w:t>
      </w:r>
      <w:r w:rsidR="000A1E57" w:rsidRPr="00226F9D">
        <w:rPr>
          <w:rFonts w:ascii="Times New Roman" w:eastAsia="Arial" w:hAnsi="Times New Roman" w:cs="Times New Roman"/>
          <w:kern w:val="0"/>
          <w:lang w:val="sr-Cyrl-RS"/>
          <w14:ligatures w14:val="none"/>
        </w:rPr>
        <w:t>поставком програма комуналне инфрас</w:t>
      </w:r>
      <w:r w:rsidR="00986707" w:rsidRPr="00226F9D">
        <w:rPr>
          <w:rFonts w:ascii="Times New Roman" w:eastAsia="Arial" w:hAnsi="Times New Roman" w:cs="Times New Roman"/>
          <w:kern w:val="0"/>
          <w:lang w:val="sr-Cyrl-RS"/>
          <w14:ligatures w14:val="none"/>
        </w:rPr>
        <w:t>т</w:t>
      </w:r>
      <w:r w:rsidR="000A1E57" w:rsidRPr="00226F9D">
        <w:rPr>
          <w:rFonts w:ascii="Times New Roman" w:eastAsia="Arial" w:hAnsi="Times New Roman" w:cs="Times New Roman"/>
          <w:kern w:val="0"/>
          <w:lang w:val="sr-Cyrl-RS"/>
          <w14:ligatures w14:val="none"/>
        </w:rPr>
        <w:t>руктуре</w:t>
      </w:r>
      <w:r w:rsidR="006C0EF5" w:rsidRPr="00226F9D">
        <w:rPr>
          <w:rFonts w:ascii="Times New Roman" w:eastAsia="Arial" w:hAnsi="Times New Roman" w:cs="Times New Roman"/>
          <w:kern w:val="0"/>
          <w:lang w:val="sr-Cyrl-RS"/>
          <w14:ligatures w14:val="none"/>
        </w:rPr>
        <w:t>. Н</w:t>
      </w:r>
      <w:r w:rsidR="004D57B6" w:rsidRPr="00226F9D">
        <w:rPr>
          <w:rFonts w:ascii="Times New Roman" w:eastAsia="Arial" w:hAnsi="Times New Roman" w:cs="Times New Roman"/>
          <w:kern w:val="0"/>
          <w:lang w:val="sr-Cyrl-RS"/>
          <w14:ligatures w14:val="none"/>
        </w:rPr>
        <w:t xml:space="preserve">ајдиректнији позитивни ефекти </w:t>
      </w:r>
      <w:r w:rsidR="007D6E43" w:rsidRPr="00226F9D">
        <w:rPr>
          <w:rFonts w:ascii="Times New Roman" w:eastAsia="Arial" w:hAnsi="Times New Roman" w:cs="Times New Roman"/>
          <w:kern w:val="0"/>
          <w:lang w:val="sr-Cyrl-RS"/>
          <w14:ligatures w14:val="none"/>
        </w:rPr>
        <w:t xml:space="preserve">су у вези са </w:t>
      </w:r>
      <w:r w:rsidR="000F41F9" w:rsidRPr="00226F9D">
        <w:rPr>
          <w:rFonts w:ascii="Times New Roman" w:eastAsia="Arial" w:hAnsi="Times New Roman" w:cs="Times New Roman"/>
          <w:kern w:val="0"/>
          <w:lang w:val="sr-Cyrl-RS"/>
          <w14:ligatures w14:val="none"/>
        </w:rPr>
        <w:t>управљачк</w:t>
      </w:r>
      <w:r w:rsidR="007D6E43" w:rsidRPr="00226F9D">
        <w:rPr>
          <w:rFonts w:ascii="Times New Roman" w:eastAsia="Arial" w:hAnsi="Times New Roman" w:cs="Times New Roman"/>
          <w:kern w:val="0"/>
          <w:lang w:val="sr-Cyrl-RS"/>
          <w14:ligatures w14:val="none"/>
        </w:rPr>
        <w:t>им</w:t>
      </w:r>
      <w:r w:rsidR="000F41F9" w:rsidRPr="00226F9D">
        <w:rPr>
          <w:rFonts w:ascii="Times New Roman" w:eastAsia="Arial" w:hAnsi="Times New Roman" w:cs="Times New Roman"/>
          <w:kern w:val="0"/>
          <w:lang w:val="sr-Cyrl-RS"/>
          <w14:ligatures w14:val="none"/>
        </w:rPr>
        <w:t xml:space="preserve"> аспект</w:t>
      </w:r>
      <w:r w:rsidR="007D6E43" w:rsidRPr="00226F9D">
        <w:rPr>
          <w:rFonts w:ascii="Times New Roman" w:eastAsia="Arial" w:hAnsi="Times New Roman" w:cs="Times New Roman"/>
          <w:kern w:val="0"/>
          <w:lang w:val="sr-Cyrl-RS"/>
          <w14:ligatures w14:val="none"/>
        </w:rPr>
        <w:t>има</w:t>
      </w:r>
      <w:r w:rsidR="004D57B6" w:rsidRPr="00226F9D">
        <w:rPr>
          <w:rFonts w:ascii="Times New Roman" w:eastAsia="Arial" w:hAnsi="Times New Roman" w:cs="Times New Roman"/>
          <w:kern w:val="0"/>
          <w:lang w:val="sr-Cyrl-RS"/>
          <w14:ligatures w14:val="none"/>
        </w:rPr>
        <w:t xml:space="preserve">, будући да се спровођењем ове опције </w:t>
      </w:r>
      <w:r w:rsidR="000A1E57" w:rsidRPr="00226F9D">
        <w:rPr>
          <w:rFonts w:ascii="Times New Roman" w:eastAsia="Arial" w:hAnsi="Times New Roman" w:cs="Times New Roman"/>
          <w:kern w:val="0"/>
          <w:lang w:val="sr-Cyrl-RS"/>
          <w14:ligatures w14:val="none"/>
        </w:rPr>
        <w:t xml:space="preserve">потенцирају међуопштински модалитети пружања услуга, али </w:t>
      </w:r>
      <w:r w:rsidR="00AA0AC9" w:rsidRPr="00226F9D">
        <w:rPr>
          <w:rFonts w:ascii="Times New Roman" w:eastAsia="Arial" w:hAnsi="Times New Roman" w:cs="Times New Roman"/>
          <w:kern w:val="0"/>
          <w:lang w:val="sr-Cyrl-RS"/>
          <w14:ligatures w14:val="none"/>
        </w:rPr>
        <w:t xml:space="preserve">се </w:t>
      </w:r>
      <w:r w:rsidR="000A1E57" w:rsidRPr="00226F9D">
        <w:rPr>
          <w:rFonts w:ascii="Times New Roman" w:eastAsia="Arial" w:hAnsi="Times New Roman" w:cs="Times New Roman"/>
          <w:kern w:val="0"/>
          <w:lang w:val="sr-Cyrl-RS"/>
          <w14:ligatures w14:val="none"/>
        </w:rPr>
        <w:t xml:space="preserve">и </w:t>
      </w:r>
      <w:r w:rsidR="00795844" w:rsidRPr="00226F9D">
        <w:rPr>
          <w:rFonts w:ascii="Times New Roman" w:eastAsia="Arial" w:hAnsi="Times New Roman" w:cs="Times New Roman"/>
          <w:kern w:val="0"/>
          <w:lang w:val="sr-Cyrl-RS"/>
          <w14:ligatures w14:val="none"/>
        </w:rPr>
        <w:t>позитивно и у правцу веће одговорности тр</w:t>
      </w:r>
      <w:r w:rsidR="009D2ECC" w:rsidRPr="00226F9D">
        <w:rPr>
          <w:rFonts w:ascii="Times New Roman" w:eastAsia="Arial" w:hAnsi="Times New Roman" w:cs="Times New Roman"/>
          <w:kern w:val="0"/>
          <w:lang w:val="sr-Cyrl-RS"/>
          <w14:ligatures w14:val="none"/>
        </w:rPr>
        <w:t xml:space="preserve">ансформишу и </w:t>
      </w:r>
      <w:r w:rsidR="000A1E57" w:rsidRPr="00226F9D">
        <w:rPr>
          <w:rFonts w:ascii="Times New Roman" w:eastAsia="Arial" w:hAnsi="Times New Roman" w:cs="Times New Roman"/>
          <w:kern w:val="0"/>
          <w:lang w:val="sr-Cyrl-RS"/>
          <w14:ligatures w14:val="none"/>
        </w:rPr>
        <w:t>управљачки механизми</w:t>
      </w:r>
      <w:r w:rsidR="009D2ECC" w:rsidRPr="00226F9D">
        <w:rPr>
          <w:rFonts w:ascii="Times New Roman" w:eastAsia="Arial" w:hAnsi="Times New Roman" w:cs="Times New Roman"/>
          <w:kern w:val="0"/>
          <w:lang w:val="sr-Cyrl-RS"/>
          <w14:ligatures w14:val="none"/>
        </w:rPr>
        <w:t xml:space="preserve"> по вертикалној оси (у</w:t>
      </w:r>
      <w:bookmarkStart w:id="42" w:name="_GoBack"/>
      <w:bookmarkEnd w:id="42"/>
      <w:r w:rsidR="009D2ECC" w:rsidRPr="00226F9D">
        <w:rPr>
          <w:rFonts w:ascii="Times New Roman" w:eastAsia="Arial" w:hAnsi="Times New Roman" w:cs="Times New Roman"/>
          <w:kern w:val="0"/>
          <w:lang w:val="sr-Cyrl-RS"/>
          <w14:ligatures w14:val="none"/>
        </w:rPr>
        <w:t>спостављање</w:t>
      </w:r>
      <w:r w:rsidR="00222BE5" w:rsidRPr="00226F9D">
        <w:rPr>
          <w:rFonts w:ascii="Times New Roman" w:eastAsia="Arial" w:hAnsi="Times New Roman" w:cs="Times New Roman"/>
          <w:kern w:val="0"/>
          <w:lang w:val="sr-Cyrl-RS"/>
          <w14:ligatures w14:val="none"/>
        </w:rPr>
        <w:t xml:space="preserve"> централизованог портала за </w:t>
      </w:r>
      <w:r w:rsidR="00AE1FF8" w:rsidRPr="00226F9D">
        <w:rPr>
          <w:rFonts w:ascii="Times New Roman" w:eastAsia="Arial" w:hAnsi="Times New Roman" w:cs="Times New Roman"/>
          <w:kern w:val="0"/>
          <w:lang w:val="sr-Cyrl-RS"/>
          <w14:ligatures w14:val="none"/>
        </w:rPr>
        <w:t>извештавање о обављању комуналних делатности</w:t>
      </w:r>
      <w:r w:rsidR="00E87F17" w:rsidRPr="00226F9D">
        <w:rPr>
          <w:rFonts w:ascii="Times New Roman" w:eastAsia="Arial" w:hAnsi="Times New Roman" w:cs="Times New Roman"/>
          <w:kern w:val="0"/>
          <w:lang w:val="sr-Cyrl-RS"/>
          <w14:ligatures w14:val="none"/>
        </w:rPr>
        <w:t xml:space="preserve">). </w:t>
      </w:r>
      <w:r w:rsidR="004D57B6" w:rsidRPr="00226F9D">
        <w:rPr>
          <w:rFonts w:ascii="Times New Roman" w:eastAsia="Arial" w:hAnsi="Times New Roman" w:cs="Times New Roman"/>
          <w:kern w:val="0"/>
          <w:lang w:val="sr-Cyrl-RS"/>
          <w14:ligatures w14:val="none"/>
        </w:rPr>
        <w:t xml:space="preserve">Од значаја је </w:t>
      </w:r>
      <w:r w:rsidR="001F5E0A" w:rsidRPr="00226F9D">
        <w:rPr>
          <w:rFonts w:ascii="Times New Roman" w:eastAsia="Arial" w:hAnsi="Times New Roman" w:cs="Times New Roman"/>
          <w:kern w:val="0"/>
          <w:lang w:val="sr-Cyrl-RS"/>
          <w14:ligatures w14:val="none"/>
        </w:rPr>
        <w:t xml:space="preserve">и </w:t>
      </w:r>
      <w:r w:rsidR="00402CA3" w:rsidRPr="00226F9D">
        <w:rPr>
          <w:rFonts w:ascii="Times New Roman" w:eastAsia="Arial" w:hAnsi="Times New Roman" w:cs="Times New Roman"/>
          <w:kern w:val="0"/>
          <w:lang w:val="sr-Cyrl-RS"/>
          <w14:ligatures w14:val="none"/>
        </w:rPr>
        <w:t>ф</w:t>
      </w:r>
      <w:r w:rsidR="001F5E0A" w:rsidRPr="00226F9D">
        <w:rPr>
          <w:rFonts w:ascii="Times New Roman" w:eastAsia="Arial" w:hAnsi="Times New Roman" w:cs="Times New Roman"/>
          <w:kern w:val="0"/>
          <w:lang w:val="sr-Cyrl-RS"/>
          <w14:ligatures w14:val="none"/>
        </w:rPr>
        <w:t>ормирање дигиталне платформе за одржавање Јединственог пописа послова на локалном нивоу и праћење његове реализациј</w:t>
      </w:r>
      <w:r w:rsidR="00534D70" w:rsidRPr="00226F9D">
        <w:rPr>
          <w:rFonts w:ascii="Times New Roman" w:eastAsia="Arial" w:hAnsi="Times New Roman" w:cs="Times New Roman"/>
          <w:kern w:val="0"/>
          <w:lang w:val="sr-Cyrl-RS"/>
          <w14:ligatures w14:val="none"/>
        </w:rPr>
        <w:t xml:space="preserve">е, а посебно широко постављена координација партнера националног нивоа </w:t>
      </w:r>
      <w:r w:rsidR="0061169A" w:rsidRPr="00226F9D">
        <w:rPr>
          <w:rFonts w:ascii="Times New Roman" w:eastAsia="Arial" w:hAnsi="Times New Roman" w:cs="Times New Roman"/>
          <w:kern w:val="0"/>
          <w:lang w:val="sr-Cyrl-RS"/>
          <w14:ligatures w14:val="none"/>
        </w:rPr>
        <w:t xml:space="preserve">за подршку градовима и општинама </w:t>
      </w:r>
      <w:r w:rsidR="002F4A0B" w:rsidRPr="00226F9D">
        <w:rPr>
          <w:rFonts w:ascii="Times New Roman" w:eastAsia="Arial" w:hAnsi="Times New Roman" w:cs="Times New Roman"/>
          <w:kern w:val="0"/>
          <w:lang w:val="sr-Cyrl-RS"/>
          <w14:ligatures w14:val="none"/>
        </w:rPr>
        <w:t xml:space="preserve">да изврше упис поступака у </w:t>
      </w:r>
      <w:r w:rsidR="00CB721E" w:rsidRPr="00226F9D">
        <w:rPr>
          <w:rFonts w:ascii="Times New Roman" w:eastAsia="Arial" w:hAnsi="Times New Roman" w:cs="Times New Roman"/>
          <w:kern w:val="0"/>
          <w:lang w:val="sr-Cyrl-RS"/>
          <w14:ligatures w14:val="none"/>
        </w:rPr>
        <w:t>РАП ефективно га користе.</w:t>
      </w:r>
      <w:r w:rsidR="004D57B6" w:rsidRPr="00226F9D">
        <w:rPr>
          <w:rFonts w:ascii="Times New Roman" w:eastAsia="Arial" w:hAnsi="Times New Roman" w:cs="Times New Roman"/>
          <w:kern w:val="0"/>
          <w:highlight w:val="yellow"/>
          <w:lang w:val="sr-Cyrl-RS"/>
          <w14:ligatures w14:val="none"/>
        </w:rPr>
        <w:t xml:space="preserve"> </w:t>
      </w:r>
    </w:p>
    <w:p w14:paraId="36858414" w14:textId="77777777" w:rsidR="00B423EC" w:rsidRPr="00226F9D" w:rsidRDefault="00B423EC" w:rsidP="004D57B6">
      <w:pPr>
        <w:spacing w:after="0" w:line="240" w:lineRule="auto"/>
        <w:jc w:val="both"/>
        <w:rPr>
          <w:rFonts w:ascii="Times New Roman" w:eastAsia="Arial" w:hAnsi="Times New Roman" w:cs="Times New Roman"/>
          <w:kern w:val="0"/>
          <w:lang w:val="sr-Latn-RS"/>
          <w14:ligatures w14:val="none"/>
        </w:rPr>
      </w:pPr>
    </w:p>
    <w:p w14:paraId="0C9C0220" w14:textId="77777777" w:rsidR="00FB70CD" w:rsidRPr="00226F9D" w:rsidRDefault="00FB70CD" w:rsidP="004D57B6">
      <w:pPr>
        <w:spacing w:after="0" w:line="240" w:lineRule="auto"/>
        <w:jc w:val="both"/>
        <w:rPr>
          <w:rFonts w:ascii="Times New Roman" w:eastAsia="Arial" w:hAnsi="Times New Roman" w:cs="Times New Roman"/>
          <w:kern w:val="0"/>
          <w:lang w:val="sr-Latn-RS"/>
          <w14:ligatures w14:val="none"/>
        </w:rPr>
      </w:pPr>
    </w:p>
    <w:p w14:paraId="1D541411" w14:textId="3D9283F4" w:rsidR="00FB70CD" w:rsidRPr="00226F9D" w:rsidRDefault="00FB70CD">
      <w:pPr>
        <w:rPr>
          <w:rFonts w:ascii="Times New Roman" w:eastAsia="Arial" w:hAnsi="Times New Roman" w:cs="Times New Roman"/>
          <w:kern w:val="0"/>
          <w:lang w:val="sr-Latn-RS"/>
          <w14:ligatures w14:val="none"/>
        </w:rPr>
      </w:pPr>
      <w:r w:rsidRPr="00226F9D">
        <w:rPr>
          <w:rFonts w:ascii="Times New Roman" w:eastAsia="Arial" w:hAnsi="Times New Roman" w:cs="Times New Roman"/>
          <w:kern w:val="0"/>
          <w:lang w:val="sr-Latn-RS"/>
          <w14:ligatures w14:val="none"/>
        </w:rPr>
        <w:br w:type="page"/>
      </w:r>
    </w:p>
    <w:p w14:paraId="1EDF2993" w14:textId="77777777" w:rsidR="00BD0BD3" w:rsidRPr="00226F9D" w:rsidRDefault="00BD0BD3" w:rsidP="00BD0BD3">
      <w:pPr>
        <w:rPr>
          <w:rFonts w:ascii="Times New Roman" w:hAnsi="Times New Roman" w:cs="Times New Roman"/>
          <w:lang w:val="sr-Cyrl-RS"/>
        </w:rPr>
      </w:pPr>
    </w:p>
    <w:p w14:paraId="724AA1D3" w14:textId="77777777" w:rsidR="00BD0BD3" w:rsidRPr="00226F9D" w:rsidRDefault="00BD0BD3" w:rsidP="00BD0BD3">
      <w:pPr>
        <w:rPr>
          <w:rFonts w:ascii="Times New Roman" w:hAnsi="Times New Roman" w:cs="Times New Roman"/>
          <w:lang w:val="sr-Cyrl-RS"/>
        </w:rPr>
      </w:pPr>
    </w:p>
    <w:p w14:paraId="387E40AA" w14:textId="541350A8" w:rsidR="00077DA3" w:rsidRPr="00226F9D" w:rsidRDefault="00B7094B" w:rsidP="005B0999">
      <w:pPr>
        <w:pStyle w:val="Heading1"/>
        <w:rPr>
          <w:rFonts w:ascii="Times New Roman" w:eastAsiaTheme="minorHAnsi" w:hAnsi="Times New Roman" w:cs="Times New Roman"/>
        </w:rPr>
      </w:pPr>
      <w:bookmarkStart w:id="43" w:name="_Toc222753923"/>
      <w:r w:rsidRPr="00226F9D">
        <w:rPr>
          <w:rFonts w:ascii="Times New Roman" w:hAnsi="Times New Roman" w:cs="Times New Roman"/>
        </w:rPr>
        <w:t xml:space="preserve">V </w:t>
      </w:r>
      <w:r w:rsidR="00587970" w:rsidRPr="00226F9D">
        <w:rPr>
          <w:rFonts w:ascii="Times New Roman" w:hAnsi="Times New Roman" w:cs="Times New Roman"/>
        </w:rPr>
        <w:t>Институционални оквир за управљање и праћење реформе система локалне самоуправе</w:t>
      </w:r>
      <w:r w:rsidR="00077DA3" w:rsidRPr="00226F9D">
        <w:rPr>
          <w:rFonts w:ascii="Times New Roman" w:eastAsiaTheme="minorHAnsi" w:hAnsi="Times New Roman" w:cs="Times New Roman"/>
        </w:rPr>
        <w:t> </w:t>
      </w:r>
      <w:r w:rsidR="009B5EEC" w:rsidRPr="00226F9D">
        <w:rPr>
          <w:rFonts w:ascii="Times New Roman" w:hAnsi="Times New Roman" w:cs="Times New Roman"/>
        </w:rPr>
        <w:t>и заинтересоване стране и циљне групе</w:t>
      </w:r>
      <w:bookmarkEnd w:id="43"/>
    </w:p>
    <w:p w14:paraId="5E839817" w14:textId="3A3A8956" w:rsidR="00077DA3" w:rsidRPr="00226F9D" w:rsidRDefault="00077DA3" w:rsidP="00090884">
      <w:pPr>
        <w:spacing w:after="0" w:line="240" w:lineRule="auto"/>
        <w:jc w:val="both"/>
        <w:rPr>
          <w:rFonts w:ascii="Times New Roman" w:eastAsia="Times New Roman" w:hAnsi="Times New Roman" w:cs="Times New Roman"/>
          <w:kern w:val="0"/>
          <w:lang w:val="sr-Latn-RS"/>
          <w14:ligatures w14:val="none"/>
        </w:rPr>
      </w:pPr>
    </w:p>
    <w:p w14:paraId="6875F51F" w14:textId="77777777" w:rsidR="001D377B" w:rsidRPr="00226F9D" w:rsidRDefault="001D377B" w:rsidP="00090884">
      <w:pPr>
        <w:spacing w:after="0" w:line="240" w:lineRule="auto"/>
        <w:jc w:val="both"/>
        <w:rPr>
          <w:rFonts w:ascii="Times New Roman" w:eastAsia="Times New Roman" w:hAnsi="Times New Roman" w:cs="Times New Roman"/>
          <w:kern w:val="0"/>
          <w:lang w:val="sr-Cyrl-RS"/>
          <w14:ligatures w14:val="none"/>
        </w:rPr>
      </w:pPr>
    </w:p>
    <w:p w14:paraId="4710D8DE" w14:textId="13D09CEF" w:rsidR="0084644A" w:rsidRPr="00226F9D" w:rsidRDefault="00077DA3" w:rsidP="00090884">
      <w:pPr>
        <w:spacing w:after="0" w:line="240" w:lineRule="auto"/>
        <w:jc w:val="both"/>
        <w:rPr>
          <w:rFonts w:ascii="Times New Roman" w:eastAsia="Calibri" w:hAnsi="Times New Roman" w:cs="Times New Roman"/>
          <w:color w:val="000000"/>
          <w:kern w:val="0"/>
          <w:lang w:val="sr-Cyrl-RS"/>
          <w14:ligatures w14:val="none"/>
        </w:rPr>
      </w:pPr>
      <w:r w:rsidRPr="00226F9D">
        <w:rPr>
          <w:rFonts w:ascii="Times New Roman" w:eastAsia="Calibri" w:hAnsi="Times New Roman" w:cs="Times New Roman"/>
          <w:color w:val="000000"/>
          <w:kern w:val="0"/>
          <w:lang w:val="sr-Cyrl-RS"/>
          <w14:ligatures w14:val="none"/>
        </w:rPr>
        <w:t>Министарство државне управе и локалне самоуправе</w:t>
      </w:r>
      <w:r w:rsidR="0084644A" w:rsidRPr="00226F9D">
        <w:rPr>
          <w:rFonts w:ascii="Times New Roman" w:eastAsia="Calibri" w:hAnsi="Times New Roman" w:cs="Times New Roman"/>
          <w:color w:val="000000"/>
          <w:kern w:val="0"/>
          <w:lang w:val="sr-Cyrl-RS"/>
          <w14:ligatures w14:val="none"/>
        </w:rPr>
        <w:t xml:space="preserve"> је надлежно за систем локалне самоуправе и територијалне аутономије, усмеравање и подршку локалним самоуправама у обезбеђивању законитости и ефикасности рада, за изградњу капацитета и стручно усавршавање запослених у органима градова и општина, као и територијалну организацију Републике Србије. </w:t>
      </w:r>
    </w:p>
    <w:p w14:paraId="139C6C78" w14:textId="77777777" w:rsidR="00E14415" w:rsidRPr="00226F9D" w:rsidRDefault="00E14415" w:rsidP="00090884">
      <w:pPr>
        <w:spacing w:after="0" w:line="240" w:lineRule="auto"/>
        <w:jc w:val="both"/>
        <w:rPr>
          <w:rFonts w:ascii="Times New Roman" w:eastAsia="Calibri" w:hAnsi="Times New Roman" w:cs="Times New Roman"/>
          <w:color w:val="000000"/>
          <w:kern w:val="0"/>
          <w:lang w:val="sr-Cyrl-RS"/>
          <w14:ligatures w14:val="none"/>
        </w:rPr>
      </w:pPr>
    </w:p>
    <w:p w14:paraId="796E9E7E" w14:textId="01A745F9" w:rsidR="00077DA3" w:rsidRPr="00226F9D" w:rsidRDefault="0084644A" w:rsidP="00090884">
      <w:pPr>
        <w:spacing w:after="0" w:line="240" w:lineRule="auto"/>
        <w:jc w:val="both"/>
        <w:rPr>
          <w:rFonts w:ascii="Times New Roman" w:eastAsia="Calibri" w:hAnsi="Times New Roman" w:cs="Times New Roman"/>
          <w:color w:val="000000"/>
          <w:kern w:val="0"/>
          <w:lang w:val="sr-Cyrl-RS"/>
          <w14:ligatures w14:val="none"/>
        </w:rPr>
      </w:pPr>
      <w:r w:rsidRPr="00226F9D">
        <w:rPr>
          <w:rFonts w:ascii="Times New Roman" w:eastAsia="Calibri" w:hAnsi="Times New Roman" w:cs="Times New Roman"/>
          <w:color w:val="000000"/>
          <w:kern w:val="0"/>
          <w:lang w:val="sr-Cyrl-RS"/>
          <w14:ligatures w14:val="none"/>
        </w:rPr>
        <w:t>Министарство је</w:t>
      </w:r>
      <w:r w:rsidR="00077DA3" w:rsidRPr="00226F9D">
        <w:rPr>
          <w:rFonts w:ascii="Times New Roman" w:eastAsia="Calibri" w:hAnsi="Times New Roman" w:cs="Times New Roman"/>
          <w:color w:val="000000"/>
          <w:kern w:val="0"/>
          <w:lang w:val="sr-Cyrl-RS"/>
          <w14:ligatures w14:val="none"/>
        </w:rPr>
        <w:t xml:space="preserve"> као предлагач</w:t>
      </w:r>
      <w:r w:rsidR="000D72E0" w:rsidRPr="00226F9D">
        <w:rPr>
          <w:rFonts w:ascii="Times New Roman" w:eastAsia="Calibri" w:hAnsi="Times New Roman" w:cs="Times New Roman"/>
          <w:color w:val="000000"/>
          <w:kern w:val="0"/>
          <w:lang w:val="sr-Cyrl-RS"/>
          <w14:ligatures w14:val="none"/>
        </w:rPr>
        <w:t xml:space="preserve"> Програма</w:t>
      </w:r>
      <w:r w:rsidR="00566EBA" w:rsidRPr="00226F9D">
        <w:rPr>
          <w:rFonts w:ascii="Times New Roman" w:eastAsia="Calibri" w:hAnsi="Times New Roman" w:cs="Times New Roman"/>
          <w:color w:val="000000"/>
          <w:kern w:val="0"/>
          <w:lang w:val="sr-Cyrl-RS"/>
          <w14:ligatures w14:val="none"/>
        </w:rPr>
        <w:t xml:space="preserve"> </w:t>
      </w:r>
      <w:r w:rsidR="00077DA3" w:rsidRPr="00226F9D">
        <w:rPr>
          <w:rFonts w:ascii="Times New Roman" w:eastAsia="Calibri" w:hAnsi="Times New Roman" w:cs="Times New Roman"/>
          <w:color w:val="000000"/>
          <w:kern w:val="0"/>
          <w:lang w:val="sr-Cyrl-RS"/>
          <w14:ligatures w14:val="none"/>
        </w:rPr>
        <w:t>водећа институција у погледу реформе јавне управе и као таква управља и њеном координацијом</w:t>
      </w:r>
      <w:r w:rsidR="00E14415" w:rsidRPr="00226F9D">
        <w:rPr>
          <w:rFonts w:ascii="Times New Roman" w:eastAsia="Calibri" w:hAnsi="Times New Roman" w:cs="Times New Roman"/>
          <w:color w:val="000000"/>
          <w:kern w:val="0"/>
          <w:lang w:val="sr-Cyrl-RS"/>
          <w14:ligatures w14:val="none"/>
        </w:rPr>
        <w:t>.</w:t>
      </w:r>
    </w:p>
    <w:p w14:paraId="5FFF78AD" w14:textId="77777777" w:rsidR="007E43A5" w:rsidRPr="00226F9D" w:rsidRDefault="007E43A5" w:rsidP="00090884">
      <w:pPr>
        <w:spacing w:after="0" w:line="240" w:lineRule="auto"/>
        <w:jc w:val="both"/>
        <w:rPr>
          <w:rFonts w:ascii="Times New Roman" w:eastAsia="Calibri" w:hAnsi="Times New Roman" w:cs="Times New Roman"/>
          <w:color w:val="000000"/>
          <w:kern w:val="0"/>
          <w:lang w:val="sr-Cyrl-RS"/>
          <w14:ligatures w14:val="none"/>
        </w:rPr>
      </w:pPr>
    </w:p>
    <w:p w14:paraId="23C33672" w14:textId="77777777" w:rsidR="00077DA3" w:rsidRPr="00226F9D" w:rsidRDefault="00077DA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Институционални оквир за управљање реформом локалне самоуправе и спровођење Програма састоји се из два нивоа: 1) оперативног административног нивоа и 2) политичког нивоа управљања овим процесом.</w:t>
      </w:r>
      <w:r w:rsidRPr="00226F9D">
        <w:rPr>
          <w:rFonts w:ascii="Times New Roman" w:eastAsia="Times New Roman" w:hAnsi="Times New Roman" w:cs="Times New Roman"/>
          <w:kern w:val="0"/>
          <w:lang w:val="en-GB"/>
          <w14:ligatures w14:val="none"/>
        </w:rPr>
        <w:t> </w:t>
      </w:r>
    </w:p>
    <w:p w14:paraId="6D510413" w14:textId="77777777" w:rsidR="00341CE8" w:rsidRPr="00226F9D" w:rsidRDefault="00341CE8" w:rsidP="00090884">
      <w:pPr>
        <w:spacing w:after="0" w:line="240" w:lineRule="auto"/>
        <w:jc w:val="both"/>
        <w:rPr>
          <w:rFonts w:ascii="Times New Roman" w:eastAsia="Times New Roman" w:hAnsi="Times New Roman" w:cs="Times New Roman"/>
          <w:kern w:val="0"/>
          <w:lang w:val="sr-Latn-RS"/>
          <w14:ligatures w14:val="none"/>
        </w:rPr>
      </w:pPr>
    </w:p>
    <w:p w14:paraId="3A8AB4DD" w14:textId="77777777" w:rsidR="001D377B" w:rsidRPr="00226F9D" w:rsidRDefault="001D377B" w:rsidP="00090884">
      <w:pPr>
        <w:spacing w:after="0" w:line="240" w:lineRule="auto"/>
        <w:jc w:val="both"/>
        <w:rPr>
          <w:rFonts w:ascii="Times New Roman" w:eastAsia="Times New Roman" w:hAnsi="Times New Roman" w:cs="Times New Roman"/>
          <w:kern w:val="0"/>
          <w:lang w:val="sr-Latn-RS"/>
          <w14:ligatures w14:val="none"/>
        </w:rPr>
      </w:pPr>
    </w:p>
    <w:p w14:paraId="0ECC0DEE" w14:textId="1E096D9F" w:rsidR="00077DA3" w:rsidRPr="00226F9D" w:rsidRDefault="00077DA3" w:rsidP="00A16147">
      <w:pPr>
        <w:pStyle w:val="Heading2"/>
        <w:numPr>
          <w:ilvl w:val="0"/>
          <w:numId w:val="26"/>
        </w:numPr>
        <w:rPr>
          <w:rFonts w:ascii="Times New Roman" w:eastAsia="Times New Roman" w:hAnsi="Times New Roman" w:cs="Times New Roman"/>
          <w:lang w:val="sr-Cyrl-RS"/>
        </w:rPr>
      </w:pPr>
      <w:bookmarkStart w:id="44" w:name="_Toc222753924"/>
      <w:r w:rsidRPr="00226F9D">
        <w:rPr>
          <w:rFonts w:ascii="Times New Roman" w:eastAsia="Times New Roman" w:hAnsi="Times New Roman" w:cs="Times New Roman"/>
          <w:lang w:val="sr-Cyrl-RS"/>
        </w:rPr>
        <w:t>Оперативно-административно управљање и координација</w:t>
      </w:r>
      <w:bookmarkEnd w:id="44"/>
      <w:r w:rsidRPr="00226F9D">
        <w:rPr>
          <w:rFonts w:ascii="Times New Roman" w:eastAsia="Times New Roman" w:hAnsi="Times New Roman" w:cs="Times New Roman"/>
          <w:lang w:val="sr-Cyrl-RS"/>
        </w:rPr>
        <w:t xml:space="preserve"> </w:t>
      </w:r>
    </w:p>
    <w:p w14:paraId="302D60BC" w14:textId="77777777" w:rsidR="001D377B" w:rsidRPr="00226F9D" w:rsidRDefault="001D377B" w:rsidP="00090884">
      <w:pPr>
        <w:spacing w:after="0" w:line="240" w:lineRule="auto"/>
        <w:jc w:val="both"/>
        <w:rPr>
          <w:rFonts w:ascii="Times New Roman" w:eastAsia="Times New Roman" w:hAnsi="Times New Roman" w:cs="Times New Roman"/>
          <w:kern w:val="0"/>
          <w:lang w:val="sr-Latn-RS"/>
          <w14:ligatures w14:val="none"/>
        </w:rPr>
      </w:pPr>
    </w:p>
    <w:p w14:paraId="453F1BA8" w14:textId="0313F868" w:rsidR="00077DA3" w:rsidRPr="00226F9D" w:rsidRDefault="00077DA3"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Први ниво, односно оперативно административно управљање и координација спровођења Програма</w:t>
      </w:r>
      <w:r w:rsidR="000913DB" w:rsidRPr="00226F9D">
        <w:rPr>
          <w:rFonts w:ascii="Times New Roman" w:eastAsia="Times New Roman" w:hAnsi="Times New Roman" w:cs="Times New Roman"/>
          <w:kern w:val="0"/>
          <w:lang w:val="sr-Latn-RS"/>
          <w14:ligatures w14:val="none"/>
        </w:rPr>
        <w:t>,</w:t>
      </w:r>
      <w:r w:rsidRPr="00226F9D">
        <w:rPr>
          <w:rFonts w:ascii="Times New Roman" w:eastAsia="Times New Roman" w:hAnsi="Times New Roman" w:cs="Times New Roman"/>
          <w:kern w:val="0"/>
          <w:lang w:val="sr-Cyrl-RS"/>
          <w14:ligatures w14:val="none"/>
        </w:rPr>
        <w:t xml:space="preserve"> налази се у Министарству државне управе и локалне самоуправе (МДУЛС), које је у процесу спровођења Програма посебно задужено за:</w:t>
      </w:r>
      <w:r w:rsidRPr="00226F9D">
        <w:rPr>
          <w:rFonts w:ascii="Times New Roman" w:eastAsia="Times New Roman" w:hAnsi="Times New Roman" w:cs="Times New Roman"/>
          <w:kern w:val="0"/>
          <w:lang w:val="sr-Latn-RS"/>
          <w14:ligatures w14:val="none"/>
        </w:rPr>
        <w:t> </w:t>
      </w:r>
    </w:p>
    <w:p w14:paraId="38B0CE6D" w14:textId="77777777" w:rsidR="00077DA3" w:rsidRPr="00226F9D" w:rsidRDefault="00077DA3" w:rsidP="00D9525B">
      <w:pPr>
        <w:pStyle w:val="ListParagraph"/>
        <w:numPr>
          <w:ilvl w:val="0"/>
          <w:numId w:val="22"/>
        </w:num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стручно, оперативно и административно управљање и координацију спровођења свих планираних активности;</w:t>
      </w:r>
      <w:r w:rsidRPr="00226F9D">
        <w:rPr>
          <w:rFonts w:ascii="Times New Roman" w:eastAsia="Times New Roman" w:hAnsi="Times New Roman" w:cs="Times New Roman"/>
          <w:kern w:val="0"/>
          <w:lang w:val="en-GB"/>
          <w14:ligatures w14:val="none"/>
        </w:rPr>
        <w:t> </w:t>
      </w:r>
    </w:p>
    <w:p w14:paraId="71EBEB0F" w14:textId="77777777" w:rsidR="00077DA3" w:rsidRPr="00226F9D" w:rsidRDefault="00077DA3" w:rsidP="00D9525B">
      <w:pPr>
        <w:pStyle w:val="ListParagraph"/>
        <w:numPr>
          <w:ilvl w:val="0"/>
          <w:numId w:val="22"/>
        </w:num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подршку другим ресорним министарствима, службама и организацијама Владе у спровођењу активности које су у њиховом делокругу;</w:t>
      </w:r>
      <w:r w:rsidRPr="00226F9D">
        <w:rPr>
          <w:rFonts w:ascii="Times New Roman" w:eastAsia="Times New Roman" w:hAnsi="Times New Roman" w:cs="Times New Roman"/>
          <w:kern w:val="0"/>
          <w:lang w:val="en-GB"/>
          <w14:ligatures w14:val="none"/>
        </w:rPr>
        <w:t> </w:t>
      </w:r>
    </w:p>
    <w:p w14:paraId="02A598E3" w14:textId="77777777" w:rsidR="00077DA3" w:rsidRPr="00226F9D" w:rsidRDefault="00077DA3" w:rsidP="00D9525B">
      <w:pPr>
        <w:pStyle w:val="ListParagraph"/>
        <w:numPr>
          <w:ilvl w:val="0"/>
          <w:numId w:val="22"/>
        </w:num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комуникацију са партнерима и јавношћу у вези са остваривањем активности предвиђених Програмом;</w:t>
      </w:r>
      <w:r w:rsidRPr="00226F9D">
        <w:rPr>
          <w:rFonts w:ascii="Times New Roman" w:eastAsia="Times New Roman" w:hAnsi="Times New Roman" w:cs="Times New Roman"/>
          <w:kern w:val="0"/>
          <w:lang w:val="en-GB"/>
          <w14:ligatures w14:val="none"/>
        </w:rPr>
        <w:t> </w:t>
      </w:r>
    </w:p>
    <w:p w14:paraId="25E6E873" w14:textId="77777777" w:rsidR="00077DA3" w:rsidRPr="00226F9D" w:rsidRDefault="00077DA3" w:rsidP="00D9525B">
      <w:pPr>
        <w:pStyle w:val="ListParagraph"/>
        <w:numPr>
          <w:ilvl w:val="0"/>
          <w:numId w:val="22"/>
        </w:num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стручне послове за потребе Савета за реформу јавне управе у вези са праћењем остваривања Програма;</w:t>
      </w:r>
      <w:r w:rsidRPr="00226F9D">
        <w:rPr>
          <w:rFonts w:ascii="Times New Roman" w:eastAsia="Times New Roman" w:hAnsi="Times New Roman" w:cs="Times New Roman"/>
          <w:kern w:val="0"/>
          <w:lang w:val="en-GB"/>
          <w14:ligatures w14:val="none"/>
        </w:rPr>
        <w:t> </w:t>
      </w:r>
    </w:p>
    <w:p w14:paraId="26704F29" w14:textId="77777777" w:rsidR="00077DA3" w:rsidRPr="00226F9D" w:rsidRDefault="00077DA3" w:rsidP="00D9525B">
      <w:pPr>
        <w:pStyle w:val="ListParagraph"/>
        <w:numPr>
          <w:ilvl w:val="0"/>
          <w:numId w:val="22"/>
        </w:num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припрему извештаја о спровођењу Програма, укључујући и извештаје за потребе процеса европских интеграција са аспекта спровођења докумената јавних политика у области реформе јавне управе и за потребе праћења примене Стратегије за реформу јавне управе.</w:t>
      </w:r>
      <w:r w:rsidRPr="00226F9D">
        <w:rPr>
          <w:rFonts w:ascii="Times New Roman" w:eastAsia="Times New Roman" w:hAnsi="Times New Roman" w:cs="Times New Roman"/>
          <w:kern w:val="0"/>
          <w:lang w:val="en-GB"/>
          <w14:ligatures w14:val="none"/>
        </w:rPr>
        <w:t> </w:t>
      </w:r>
    </w:p>
    <w:p w14:paraId="3D999809" w14:textId="57E4D38E" w:rsidR="00077DA3" w:rsidRPr="00226F9D" w:rsidRDefault="00077DA3" w:rsidP="00090884">
      <w:pPr>
        <w:spacing w:after="0" w:line="240" w:lineRule="auto"/>
        <w:jc w:val="both"/>
        <w:rPr>
          <w:rFonts w:ascii="Times New Roman" w:eastAsia="Times New Roman" w:hAnsi="Times New Roman" w:cs="Times New Roman"/>
          <w:kern w:val="0"/>
          <w:lang w:val="sr-Cyrl-RS"/>
          <w14:ligatures w14:val="none"/>
        </w:rPr>
      </w:pPr>
    </w:p>
    <w:p w14:paraId="7725C179" w14:textId="360030B6" w:rsidR="00F46041" w:rsidRPr="00226F9D" w:rsidRDefault="00077DA3" w:rsidP="00F46041">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У оквиру МДУЛС за оперативно спровођење и координацију одговоран је сектор задужен за систем локалне самоуправе, у сарадњи са другим организационим јединицама унутар МДУЛС у складу са њиховим делокругом.</w:t>
      </w:r>
      <w:r w:rsidR="001B5FF9" w:rsidRPr="00226F9D">
        <w:rPr>
          <w:rFonts w:ascii="Times New Roman" w:eastAsia="Times New Roman" w:hAnsi="Times New Roman" w:cs="Times New Roman"/>
          <w:kern w:val="0"/>
          <w:lang w:val="sr-Cyrl-RS"/>
          <w14:ligatures w14:val="none"/>
        </w:rPr>
        <w:t xml:space="preserve"> </w:t>
      </w:r>
      <w:r w:rsidR="00F46041" w:rsidRPr="00226F9D">
        <w:rPr>
          <w:rFonts w:ascii="Times New Roman" w:eastAsia="Times New Roman" w:hAnsi="Times New Roman" w:cs="Times New Roman"/>
          <w:kern w:val="0"/>
          <w:lang w:val="sr-Cyrl-RS"/>
          <w14:ligatures w14:val="none"/>
        </w:rPr>
        <w:t xml:space="preserve"> МДУЛС ће у процесу спровођења и координације активности планираних Програмом блиско сарађивати са СКГО, која је кључни партнер у спровођењу Програма. Зарад блиске координације и планирања заједничких активности, посебно с обзиром на то да ће део активности бити финансијски подржан и од стране СКГО </w:t>
      </w:r>
      <w:r w:rsidR="00F46041" w:rsidRPr="00226F9D">
        <w:rPr>
          <w:rFonts w:ascii="Times New Roman" w:eastAsia="Times New Roman" w:hAnsi="Times New Roman" w:cs="Times New Roman"/>
          <w:kern w:val="0"/>
          <w:lang w:val="sr-Cyrl-RS"/>
          <w14:ligatures w14:val="none"/>
        </w:rPr>
        <w:lastRenderedPageBreak/>
        <w:t>(и пројеката које спроводи ова организација), биће успостављена континуирана оперативна сарадња за спровођење Програма, између  МДУЛС и СКГО.</w:t>
      </w:r>
      <w:r w:rsidR="00F46041" w:rsidRPr="00226F9D">
        <w:rPr>
          <w:rFonts w:ascii="Times New Roman" w:eastAsia="Times New Roman" w:hAnsi="Times New Roman" w:cs="Times New Roman"/>
          <w:kern w:val="0"/>
          <w:lang w:val="en-GB"/>
          <w14:ligatures w14:val="none"/>
        </w:rPr>
        <w:t> </w:t>
      </w:r>
    </w:p>
    <w:p w14:paraId="013FD068" w14:textId="77777777" w:rsidR="003974B6" w:rsidRPr="00226F9D" w:rsidRDefault="003974B6" w:rsidP="00F46041">
      <w:pPr>
        <w:spacing w:after="0" w:line="240" w:lineRule="auto"/>
        <w:jc w:val="both"/>
        <w:rPr>
          <w:rFonts w:ascii="Times New Roman" w:eastAsia="Times New Roman" w:hAnsi="Times New Roman" w:cs="Times New Roman"/>
          <w:kern w:val="0"/>
          <w:lang w:val="sr-Cyrl-RS"/>
          <w14:ligatures w14:val="none"/>
        </w:rPr>
      </w:pPr>
    </w:p>
    <w:p w14:paraId="3DA60B7C" w14:textId="4B275E2D" w:rsidR="003974B6" w:rsidRPr="00226F9D" w:rsidRDefault="003974B6" w:rsidP="3D684422">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lang w:val="sr-Cyrl-RS"/>
        </w:rPr>
        <w:t xml:space="preserve">Наредну инстанцу </w:t>
      </w:r>
      <w:r w:rsidR="00E73AA0" w:rsidRPr="00226F9D">
        <w:rPr>
          <w:rFonts w:ascii="Times New Roman" w:eastAsia="Times New Roman" w:hAnsi="Times New Roman" w:cs="Times New Roman"/>
          <w:lang w:val="sr-Cyrl-RS"/>
        </w:rPr>
        <w:t>координације спров</w:t>
      </w:r>
      <w:r w:rsidR="00132371" w:rsidRPr="00226F9D">
        <w:rPr>
          <w:rFonts w:ascii="Times New Roman" w:eastAsia="Times New Roman" w:hAnsi="Times New Roman" w:cs="Times New Roman"/>
          <w:lang w:val="sr-Cyrl-RS"/>
        </w:rPr>
        <w:t>о</w:t>
      </w:r>
      <w:r w:rsidR="00E73AA0" w:rsidRPr="00226F9D">
        <w:rPr>
          <w:rFonts w:ascii="Times New Roman" w:eastAsia="Times New Roman" w:hAnsi="Times New Roman" w:cs="Times New Roman"/>
          <w:lang w:val="sr-Cyrl-RS"/>
        </w:rPr>
        <w:t xml:space="preserve">ђења и </w:t>
      </w:r>
      <w:r w:rsidR="00132371" w:rsidRPr="00226F9D">
        <w:rPr>
          <w:rFonts w:ascii="Times New Roman" w:eastAsia="Times New Roman" w:hAnsi="Times New Roman" w:cs="Times New Roman"/>
          <w:lang w:val="sr-Cyrl-RS"/>
        </w:rPr>
        <w:t xml:space="preserve">разматрања извештаја који се односе на </w:t>
      </w:r>
      <w:r w:rsidR="00D239D9" w:rsidRPr="00226F9D">
        <w:rPr>
          <w:rFonts w:ascii="Times New Roman" w:eastAsia="Times New Roman" w:hAnsi="Times New Roman" w:cs="Times New Roman"/>
          <w:lang w:val="sr-Cyrl-RS"/>
        </w:rPr>
        <w:t>све Програме и Акционе планове у обухвату СРЈУ</w:t>
      </w:r>
      <w:r w:rsidR="00156509" w:rsidRPr="00226F9D">
        <w:rPr>
          <w:rFonts w:ascii="Times New Roman" w:eastAsia="Times New Roman" w:hAnsi="Times New Roman" w:cs="Times New Roman"/>
          <w:lang w:val="sr-Cyrl-RS"/>
        </w:rPr>
        <w:t>, па тако и ПРСЛС 2026-2030, чиниће Међуминистарска пројектна група (МПГ) којом се обезбеђује активно учешће свих релевантних органа државне управе, служби Владе и удружења грађана у процесу реформе јавне управе.</w:t>
      </w:r>
      <w:r w:rsidR="00D239D9" w:rsidRPr="00226F9D">
        <w:rPr>
          <w:rFonts w:ascii="Times New Roman" w:eastAsia="Times New Roman" w:hAnsi="Times New Roman" w:cs="Times New Roman"/>
          <w:lang w:val="sr-Cyrl-RS"/>
        </w:rPr>
        <w:t xml:space="preserve"> </w:t>
      </w:r>
      <w:r w:rsidR="00E73AA0" w:rsidRPr="00226F9D">
        <w:rPr>
          <w:rFonts w:ascii="Times New Roman" w:eastAsia="Times New Roman" w:hAnsi="Times New Roman" w:cs="Times New Roman"/>
          <w:lang w:val="sr-Cyrl-RS"/>
        </w:rPr>
        <w:t xml:space="preserve"> </w:t>
      </w:r>
    </w:p>
    <w:p w14:paraId="02D71F27" w14:textId="7E7C436D" w:rsidR="00576C00" w:rsidRPr="00226F9D" w:rsidRDefault="00576C00" w:rsidP="00090884">
      <w:pPr>
        <w:spacing w:after="0" w:line="240" w:lineRule="auto"/>
        <w:jc w:val="both"/>
        <w:rPr>
          <w:rFonts w:ascii="Times New Roman" w:eastAsia="Times New Roman" w:hAnsi="Times New Roman" w:cs="Times New Roman"/>
          <w:kern w:val="0"/>
          <w:lang w:val="sr-Cyrl-RS"/>
          <w14:ligatures w14:val="none"/>
        </w:rPr>
      </w:pPr>
    </w:p>
    <w:p w14:paraId="5A49EC7B" w14:textId="77777777" w:rsidR="000B0ABD" w:rsidRPr="00226F9D" w:rsidRDefault="00576C00" w:rsidP="00576C00">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Извештавање о резултатима спровођења Програма вршиће се у складу са чл. 43. и 46. Закона о планском систему Републике Србије (ЗПС) и подзаконским актима којима су уређени обавезна садржина извештаја, Јединствени информациони систем (ЈИС), начин на који се извештава и координира прикупљање података и др.</w:t>
      </w:r>
    </w:p>
    <w:p w14:paraId="02C55D47" w14:textId="77777777" w:rsidR="00007CCC" w:rsidRPr="00226F9D" w:rsidRDefault="00007CCC" w:rsidP="00576C00">
      <w:pPr>
        <w:spacing w:after="0" w:line="240" w:lineRule="auto"/>
        <w:jc w:val="both"/>
        <w:rPr>
          <w:rFonts w:ascii="Times New Roman" w:eastAsia="Times New Roman" w:hAnsi="Times New Roman" w:cs="Times New Roman"/>
          <w:kern w:val="0"/>
          <w:lang w:val="sr-Cyrl-RS"/>
          <w14:ligatures w14:val="none"/>
        </w:rPr>
      </w:pPr>
    </w:p>
    <w:p w14:paraId="533A4FCE" w14:textId="7123B6A6" w:rsidR="00576C00" w:rsidRPr="00226F9D" w:rsidRDefault="00576C00" w:rsidP="00576C00">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Сами генерисани извештаји из ЈИС-а биће објављени на интернет страници МДУЛС у роковима које је прописао ЗПС. Имајући у виду да је Програм део Стратегије РЈУ, МДУЛС ће извештавање спроводити тако да обезбеди праћење остварења и Програма у складу са методологијом праћења, извештавања и вредновања која је дефинисана Стратегијом СРЈУ. Сво извештавање о спровођењу Стратегије РЈУ уређено је тим документом.</w:t>
      </w:r>
      <w:r w:rsidRPr="00226F9D">
        <w:rPr>
          <w:rFonts w:ascii="Times New Roman" w:eastAsia="Times New Roman" w:hAnsi="Times New Roman" w:cs="Times New Roman"/>
          <w:kern w:val="0"/>
          <w:lang w:val="en-GB"/>
          <w14:ligatures w14:val="none"/>
        </w:rPr>
        <w:t> </w:t>
      </w:r>
    </w:p>
    <w:p w14:paraId="7F1480A7" w14:textId="77777777" w:rsidR="00576C00" w:rsidRPr="00226F9D" w:rsidRDefault="00576C00" w:rsidP="00576C00">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en-GB"/>
          <w14:ligatures w14:val="none"/>
        </w:rPr>
        <w:t> </w:t>
      </w:r>
    </w:p>
    <w:p w14:paraId="00C8053C" w14:textId="10499CBA" w:rsidR="00576C00" w:rsidRPr="00226F9D" w:rsidRDefault="00576C00" w:rsidP="00090884">
      <w:pPr>
        <w:spacing w:after="0" w:line="240" w:lineRule="auto"/>
        <w:jc w:val="both"/>
        <w:rPr>
          <w:rFonts w:ascii="Times New Roman" w:eastAsia="Times New Roman" w:hAnsi="Times New Roman" w:cs="Times New Roman"/>
          <w:kern w:val="0"/>
          <w:lang w:val="sr-Cyrl-RS"/>
          <w14:ligatures w14:val="none"/>
        </w:rPr>
      </w:pPr>
      <w:r w:rsidRPr="00226F9D">
        <w:rPr>
          <w:rFonts w:ascii="Times New Roman" w:eastAsia="Times New Roman" w:hAnsi="Times New Roman" w:cs="Times New Roman"/>
          <w:kern w:val="0"/>
          <w:lang w:val="sr-Cyrl-RS"/>
          <w14:ligatures w14:val="none"/>
        </w:rPr>
        <w:t>Праћење спровођења Програма вршиће се путем редовног прикупљања података о спровођењу активности утврђених у Акционом плану. То ће дати основ за оцењивање процеса спровођења Програма и испуњавања планираних активности, мера и циљева, али и за мапирање актуелних или потенцијалних ризика и потреба да се у складу са њима активности прилагоде и донесу правовремене одлуке да би се постигли предвиђени резултати. С обзиром на то да је Акциони план за спровођење програма усаглашен са обавезним елементима и садржином које прописује ЗПС, обезбеђена је структура која омогућава извештавање на основу резултата. То подразумева да су утврђени планирани резултати и њихови индикатори, мере које воде ка њиховом достизању и активности које се спроводе у циљу остваривања планираних мера, уз дефинисане мерљиве показатеље и ресурсе потребне за њихово спровођење. У циљу јасног праћења и вредновања остварења општег циља и посебних циљева, израђене су техничке спецификације свих показатеља (у даљем тексту: „пасоши”), које омогућавају да се на једном месту сагледају основни подаци за утврђене показатеље, њихов основни садржај, начин њиховог вредновања, планиране вредности, временски оквир за извештавање и институције задужене за њихово праћење и извештавање.</w:t>
      </w:r>
    </w:p>
    <w:p w14:paraId="632498C0" w14:textId="77777777" w:rsidR="001D377B" w:rsidRPr="00226F9D" w:rsidRDefault="001D377B" w:rsidP="00090884">
      <w:pPr>
        <w:spacing w:after="0" w:line="240" w:lineRule="auto"/>
        <w:jc w:val="both"/>
        <w:rPr>
          <w:rFonts w:ascii="Times New Roman" w:eastAsia="Times New Roman" w:hAnsi="Times New Roman" w:cs="Times New Roman"/>
          <w:kern w:val="0"/>
          <w:lang w:val="sr-Cyrl-RS"/>
          <w14:ligatures w14:val="none"/>
        </w:rPr>
      </w:pPr>
    </w:p>
    <w:p w14:paraId="15507D9F" w14:textId="65B5C6D1" w:rsidR="00077DA3" w:rsidRPr="00226F9D" w:rsidRDefault="00077DA3" w:rsidP="004B5362">
      <w:pPr>
        <w:pStyle w:val="Heading2"/>
        <w:numPr>
          <w:ilvl w:val="0"/>
          <w:numId w:val="26"/>
        </w:numPr>
        <w:rPr>
          <w:rFonts w:ascii="Times New Roman" w:eastAsia="Times New Roman" w:hAnsi="Times New Roman" w:cs="Times New Roman"/>
          <w:lang w:val="sr-Cyrl-RS"/>
        </w:rPr>
      </w:pPr>
      <w:bookmarkStart w:id="45" w:name="_Toc222753925"/>
      <w:r w:rsidRPr="00226F9D">
        <w:rPr>
          <w:rFonts w:ascii="Times New Roman" w:eastAsia="Times New Roman" w:hAnsi="Times New Roman" w:cs="Times New Roman"/>
          <w:lang w:val="sr-Cyrl-RS"/>
        </w:rPr>
        <w:t>Стратешко-политички ниво управљања</w:t>
      </w:r>
      <w:bookmarkEnd w:id="45"/>
    </w:p>
    <w:p w14:paraId="43788F08" w14:textId="77777777" w:rsidR="001D377B" w:rsidRPr="00226F9D" w:rsidRDefault="001D377B" w:rsidP="001D377B">
      <w:pPr>
        <w:spacing w:after="0" w:line="240" w:lineRule="auto"/>
        <w:jc w:val="both"/>
        <w:rPr>
          <w:rFonts w:ascii="Times New Roman" w:hAnsi="Times New Roman" w:cs="Times New Roman"/>
          <w:lang w:val="sr-Latn-RS"/>
        </w:rPr>
      </w:pPr>
    </w:p>
    <w:p w14:paraId="36FFA76C" w14:textId="505E0F2A" w:rsidR="00EA5CCB" w:rsidRPr="00226F9D" w:rsidRDefault="00077DA3" w:rsidP="001D377B">
      <w:pPr>
        <w:spacing w:after="0" w:line="240" w:lineRule="auto"/>
        <w:jc w:val="both"/>
        <w:rPr>
          <w:rFonts w:ascii="Times New Roman" w:hAnsi="Times New Roman" w:cs="Times New Roman"/>
          <w:lang w:val="sr-Cyrl-RS"/>
        </w:rPr>
      </w:pPr>
      <w:r w:rsidRPr="00226F9D">
        <w:rPr>
          <w:rFonts w:ascii="Times New Roman" w:hAnsi="Times New Roman" w:cs="Times New Roman"/>
          <w:lang w:val="sr-Cyrl-RS"/>
        </w:rPr>
        <w:t xml:space="preserve">Други, стратешко-политички ниво управљања процесом спровођења Програма биће Савет за </w:t>
      </w:r>
      <w:r w:rsidRPr="00226F9D">
        <w:rPr>
          <w:rFonts w:ascii="Times New Roman" w:eastAsia="Times New Roman" w:hAnsi="Times New Roman" w:cs="Times New Roman"/>
          <w:kern w:val="0"/>
          <w:lang w:val="sr-Cyrl-RS"/>
          <w14:ligatures w14:val="none"/>
        </w:rPr>
        <w:t>реформу</w:t>
      </w:r>
      <w:r w:rsidRPr="00226F9D">
        <w:rPr>
          <w:rFonts w:ascii="Times New Roman" w:hAnsi="Times New Roman" w:cs="Times New Roman"/>
          <w:lang w:val="sr-Cyrl-RS"/>
        </w:rPr>
        <w:t xml:space="preserve"> јавне управе, као централно стратешко тело Владе за реформу јавне управе. Савет представља заједнички политички ниво координације процеса реформе јавне управе и реформе јавних финансија за Стратегију РЈУ. Будући да је реформа локалне самоуправе део реформе јавне управе и саме Стратегије РЈУ, ово тело представља политички ниво праћења спровођења Програма. Имајући у виду да у раду Савета учествују представници Владе Аутономне Покрајине и СКГО, кроз ово тело обезбеђена је и пуна координација ресорних министарстава и нижих нивоа јавне управе у процесу управљања спровођењем Програма.</w:t>
      </w:r>
      <w:r w:rsidR="001039DD" w:rsidRPr="00226F9D">
        <w:rPr>
          <w:rFonts w:ascii="Times New Roman" w:hAnsi="Times New Roman" w:cs="Times New Roman"/>
          <w:lang w:val="sr-Cyrl-RS"/>
        </w:rPr>
        <w:t xml:space="preserve"> </w:t>
      </w:r>
      <w:r w:rsidR="00055F31" w:rsidRPr="00226F9D">
        <w:rPr>
          <w:rFonts w:ascii="Times New Roman" w:hAnsi="Times New Roman" w:cs="Times New Roman"/>
          <w:lang w:val="sr-Cyrl-RS"/>
        </w:rPr>
        <w:t>Н</w:t>
      </w:r>
      <w:r w:rsidR="001039DD" w:rsidRPr="00226F9D">
        <w:rPr>
          <w:rFonts w:ascii="Times New Roman" w:hAnsi="Times New Roman" w:cs="Times New Roman"/>
          <w:lang w:val="sr-Cyrl-RS"/>
        </w:rPr>
        <w:t>а овом нивоу политичког управљања разматрају се и усвајају годишњи извештаји о спровођењу СРЈУ односно пратећих Програма и Акционих планова, укључујући и ПРСЛС, те ће наведена улога Савета представљати континуитет у односу на претходни период реализације ПРСЛС 2021-2025</w:t>
      </w:r>
      <w:r w:rsidRPr="00226F9D">
        <w:rPr>
          <w:rFonts w:ascii="Times New Roman" w:hAnsi="Times New Roman" w:cs="Times New Roman"/>
          <w:lang w:val="sr-Cyrl-RS"/>
        </w:rPr>
        <w:t xml:space="preserve">. Административно-техничке послове за потребе Савета обавља Генерални секретаријат Владе, а стручне МДУЛС. На овај начин, Савет је у могућности да управља </w:t>
      </w:r>
      <w:r w:rsidRPr="00226F9D">
        <w:rPr>
          <w:rFonts w:ascii="Times New Roman" w:hAnsi="Times New Roman" w:cs="Times New Roman"/>
          <w:lang w:val="sr-Cyrl-RS"/>
        </w:rPr>
        <w:lastRenderedPageBreak/>
        <w:t>препознатим ризицима и да указује Влади на потребу за изменом постојећих или доношењем нових мера у процесу спровођења Програма и уклањања појединих утврђених ризика.</w:t>
      </w:r>
    </w:p>
    <w:p w14:paraId="1D1887B1" w14:textId="77777777" w:rsidR="001D377B" w:rsidRPr="00226F9D" w:rsidRDefault="001D377B" w:rsidP="001D377B">
      <w:pPr>
        <w:spacing w:after="0" w:line="240" w:lineRule="auto"/>
        <w:jc w:val="both"/>
        <w:rPr>
          <w:rFonts w:ascii="Times New Roman" w:hAnsi="Times New Roman" w:cs="Times New Roman"/>
          <w:lang w:val="sr-Cyrl-RS"/>
        </w:rPr>
      </w:pPr>
    </w:p>
    <w:p w14:paraId="1317C6A4" w14:textId="48110F06" w:rsidR="00077DA3" w:rsidRPr="00226F9D" w:rsidRDefault="00077DA3" w:rsidP="004B5362">
      <w:pPr>
        <w:pStyle w:val="Heading2"/>
        <w:numPr>
          <w:ilvl w:val="0"/>
          <w:numId w:val="26"/>
        </w:numPr>
        <w:rPr>
          <w:rFonts w:ascii="Times New Roman" w:eastAsia="Arial" w:hAnsi="Times New Roman" w:cs="Times New Roman"/>
          <w:lang w:val="sr-Cyrl-RS"/>
        </w:rPr>
      </w:pPr>
      <w:bookmarkStart w:id="46" w:name="_Toc222753926"/>
      <w:r w:rsidRPr="00226F9D">
        <w:rPr>
          <w:rFonts w:ascii="Times New Roman" w:eastAsia="Arial" w:hAnsi="Times New Roman" w:cs="Times New Roman"/>
          <w:lang w:val="sr-Cyrl-RS"/>
        </w:rPr>
        <w:t>Кључне заинтересоване стране и циљне групе</w:t>
      </w:r>
      <w:bookmarkEnd w:id="46"/>
    </w:p>
    <w:p w14:paraId="7DA2876F" w14:textId="77777777" w:rsidR="001D377B" w:rsidRPr="00226F9D" w:rsidRDefault="001D377B" w:rsidP="00090884">
      <w:pPr>
        <w:spacing w:after="0" w:line="240" w:lineRule="auto"/>
        <w:jc w:val="both"/>
        <w:rPr>
          <w:rFonts w:ascii="Times New Roman" w:eastAsia="Calibri" w:hAnsi="Times New Roman" w:cs="Times New Roman"/>
          <w:color w:val="000000"/>
          <w:kern w:val="0"/>
          <w:lang w:val="sr-Latn-RS"/>
          <w14:ligatures w14:val="none"/>
        </w:rPr>
      </w:pPr>
    </w:p>
    <w:p w14:paraId="122C488A" w14:textId="7984FB1D" w:rsidR="00077DA3" w:rsidRPr="00226F9D" w:rsidRDefault="3C926122" w:rsidP="00090884">
      <w:pPr>
        <w:spacing w:after="0" w:line="240" w:lineRule="auto"/>
        <w:jc w:val="both"/>
        <w:rPr>
          <w:rFonts w:ascii="Times New Roman" w:eastAsia="Calibri" w:hAnsi="Times New Roman" w:cs="Times New Roman"/>
          <w:color w:val="000000"/>
          <w:kern w:val="0"/>
          <w:lang w:val="sr-Cyrl-RS"/>
          <w14:ligatures w14:val="none"/>
        </w:rPr>
      </w:pPr>
      <w:r w:rsidRPr="00226F9D">
        <w:rPr>
          <w:rFonts w:ascii="Times New Roman" w:eastAsia="Calibri" w:hAnsi="Times New Roman" w:cs="Times New Roman"/>
          <w:color w:val="000000"/>
          <w:kern w:val="0"/>
          <w:lang w:val="sr-Cyrl-RS"/>
          <w14:ligatures w14:val="none"/>
        </w:rPr>
        <w:t>У склопу</w:t>
      </w:r>
      <w:r w:rsidR="7DBAFA92" w:rsidRPr="00226F9D">
        <w:rPr>
          <w:rFonts w:ascii="Times New Roman" w:eastAsia="Calibri" w:hAnsi="Times New Roman" w:cs="Times New Roman"/>
          <w:color w:val="000000"/>
          <w:kern w:val="0"/>
          <w:lang w:val="sr-Latn-RS"/>
          <w14:ligatures w14:val="none"/>
        </w:rPr>
        <w:t xml:space="preserve"> </w:t>
      </w:r>
      <w:r w:rsidRPr="00226F9D">
        <w:rPr>
          <w:rFonts w:ascii="Times New Roman" w:eastAsia="Calibri" w:hAnsi="Times New Roman" w:cs="Times New Roman"/>
          <w:color w:val="000000"/>
          <w:kern w:val="0"/>
          <w:lang w:val="sr-Cyrl-RS"/>
          <w14:ligatures w14:val="none"/>
        </w:rPr>
        <w:t xml:space="preserve">координације у процесу планирања и спровођења претходног ПРСЛС, идентификоване су заинтересоване стране, пре свега надлежне институције, које чине </w:t>
      </w:r>
      <w:r w:rsidRPr="00226F9D">
        <w:rPr>
          <w:rFonts w:ascii="Times New Roman" w:eastAsia="Times New Roman" w:hAnsi="Times New Roman" w:cs="Times New Roman"/>
          <w:kern w:val="0"/>
          <w:lang w:val="sr-Cyrl-RS"/>
          <w14:ligatures w14:val="none"/>
        </w:rPr>
        <w:t>основни</w:t>
      </w:r>
      <w:r w:rsidRPr="00226F9D">
        <w:rPr>
          <w:rFonts w:ascii="Times New Roman" w:eastAsia="Calibri" w:hAnsi="Times New Roman" w:cs="Times New Roman"/>
          <w:color w:val="000000"/>
          <w:kern w:val="0"/>
          <w:lang w:val="sr-Cyrl-RS"/>
          <w14:ligatures w14:val="none"/>
        </w:rPr>
        <w:t xml:space="preserve"> круг актера са кључним улогама у спровођењу и реализацији мера и активности и када је реч о ПРСЛС за период 2026-2030. Основни обухват надлежних институција али и осталих заинтересованих страна, формализован је стога актом о именовањима представника – чланова подргупе за систем локалне самоуправе који су дали респективни допринос у процесу израде предметног документа</w:t>
      </w:r>
      <w:r w:rsidR="00271477" w:rsidRPr="00226F9D">
        <w:rPr>
          <w:rStyle w:val="FootnoteReference"/>
          <w:rFonts w:ascii="Times New Roman" w:eastAsia="Calibri" w:hAnsi="Times New Roman" w:cs="Times New Roman"/>
          <w:color w:val="000000"/>
          <w:kern w:val="0"/>
          <w:lang w:val="sr-Cyrl-RS"/>
          <w14:ligatures w14:val="none"/>
        </w:rPr>
        <w:footnoteReference w:id="71"/>
      </w:r>
      <w:r w:rsidRPr="00226F9D">
        <w:rPr>
          <w:rFonts w:ascii="Times New Roman" w:eastAsia="Calibri" w:hAnsi="Times New Roman" w:cs="Times New Roman"/>
          <w:color w:val="000000"/>
          <w:kern w:val="0"/>
          <w:lang w:val="sr-Cyrl-RS"/>
          <w14:ligatures w14:val="none"/>
        </w:rPr>
        <w:t xml:space="preserve">. Током рада на профилисању мера и припадајућих активности за нацрт ПРСЛС 2026-2030, поједини спроводиоци у капацитету носилаца и партнера за реализацију активности су прецизирани, тако да остају кључни и у извештајном процесу по овом програму (уз укључивање представника и осталих страна заинтересованих за праћење реализације Програма). </w:t>
      </w:r>
    </w:p>
    <w:p w14:paraId="204FE9B4" w14:textId="77777777" w:rsidR="009B5EEC" w:rsidRPr="00226F9D" w:rsidRDefault="009B5EEC" w:rsidP="00090884">
      <w:pPr>
        <w:spacing w:after="0" w:line="240" w:lineRule="auto"/>
        <w:jc w:val="both"/>
        <w:rPr>
          <w:rFonts w:ascii="Times New Roman" w:eastAsia="Calibri" w:hAnsi="Times New Roman" w:cs="Times New Roman"/>
          <w:color w:val="000000"/>
          <w:kern w:val="0"/>
          <w:lang w:val="sr-Cyrl-RS"/>
          <w14:ligatures w14:val="none"/>
        </w:rPr>
      </w:pPr>
    </w:p>
    <w:p w14:paraId="47E78A22" w14:textId="77777777" w:rsidR="00077DA3" w:rsidRPr="00226F9D" w:rsidRDefault="00077DA3" w:rsidP="00090884">
      <w:pPr>
        <w:spacing w:after="0" w:line="240" w:lineRule="auto"/>
        <w:jc w:val="both"/>
        <w:rPr>
          <w:rFonts w:ascii="Times New Roman" w:eastAsia="Calibri" w:hAnsi="Times New Roman" w:cs="Times New Roman"/>
          <w:color w:val="000000"/>
          <w:kern w:val="0"/>
          <w:lang w:val="sr-Cyrl-RS"/>
          <w14:ligatures w14:val="none"/>
        </w:rPr>
      </w:pPr>
      <w:r w:rsidRPr="00226F9D">
        <w:rPr>
          <w:rFonts w:ascii="Times New Roman" w:eastAsia="Calibri" w:hAnsi="Times New Roman" w:cs="Times New Roman"/>
          <w:color w:val="000000"/>
          <w:kern w:val="0"/>
          <w:lang w:val="sr-Cyrl-RS"/>
          <w14:ligatures w14:val="none"/>
        </w:rPr>
        <w:t>Како реформа система локалне самоуправе обухвата све главне аспекте јавне управе од одговорне и транспарентне управе, људских капацитета, управљања јавним финансијама и јавним политикама до пружања услуга, поред МДУЛС (и надлежних организационих јединица унутар Министарстава) које је носилац највећег броја активности, и СКГО као партнера у спровођењу готово свих активности и праћењу великог дела показатеља, преглед актера који имају кључне улоге у спровођењу Програма према обухвату посебних циљева је како следи:</w:t>
      </w:r>
    </w:p>
    <w:p w14:paraId="028FD5FE" w14:textId="77777777" w:rsidR="00236359" w:rsidRPr="00226F9D" w:rsidRDefault="00236359" w:rsidP="00090884">
      <w:pPr>
        <w:spacing w:after="0" w:line="240" w:lineRule="auto"/>
        <w:jc w:val="both"/>
        <w:rPr>
          <w:rFonts w:ascii="Times New Roman" w:eastAsia="Calibri" w:hAnsi="Times New Roman" w:cs="Times New Roman"/>
          <w:color w:val="000000"/>
          <w:kern w:val="0"/>
          <w:lang w:val="sr-Cyrl-RS"/>
          <w14:ligatures w14:val="none"/>
        </w:rPr>
      </w:pPr>
    </w:p>
    <w:p w14:paraId="18AB1671" w14:textId="76B750B3" w:rsidR="00077DA3" w:rsidRPr="00226F9D" w:rsidRDefault="00077DA3" w:rsidP="00090884">
      <w:pPr>
        <w:spacing w:after="0" w:line="240" w:lineRule="auto"/>
        <w:jc w:val="both"/>
        <w:rPr>
          <w:rFonts w:ascii="Times New Roman" w:eastAsia="Calibri" w:hAnsi="Times New Roman" w:cs="Times New Roman"/>
          <w:color w:val="000000"/>
          <w:kern w:val="0"/>
          <w:lang w:val="sr-Cyrl-RS"/>
          <w14:ligatures w14:val="none"/>
        </w:rPr>
      </w:pPr>
      <w:r w:rsidRPr="00226F9D">
        <w:rPr>
          <w:rFonts w:ascii="Times New Roman" w:eastAsia="Calibri" w:hAnsi="Times New Roman" w:cs="Times New Roman"/>
          <w:color w:val="000000"/>
          <w:kern w:val="0"/>
          <w:lang w:val="sr-Cyrl-RS"/>
          <w14:ligatures w14:val="none"/>
        </w:rPr>
        <w:t xml:space="preserve">У оквиру </w:t>
      </w:r>
      <w:r w:rsidR="00B21E24" w:rsidRPr="00226F9D">
        <w:rPr>
          <w:rFonts w:ascii="Times New Roman" w:eastAsia="Calibri" w:hAnsi="Times New Roman" w:cs="Times New Roman"/>
          <w:color w:val="000000"/>
          <w:kern w:val="0"/>
          <w:u w:val="single"/>
          <w:lang w:val="sr-Cyrl-RS"/>
          <w14:ligatures w14:val="none"/>
        </w:rPr>
        <w:t>Посебног циља 1</w:t>
      </w:r>
      <w:r w:rsidRPr="00226F9D">
        <w:rPr>
          <w:rFonts w:ascii="Times New Roman" w:eastAsia="Calibri" w:hAnsi="Times New Roman" w:cs="Times New Roman"/>
          <w:color w:val="000000"/>
          <w:kern w:val="0"/>
          <w:lang w:val="sr-Cyrl-RS"/>
          <w14:ligatures w14:val="none"/>
        </w:rPr>
        <w:t xml:space="preserve">, различита ресорна министарства (и друге републичке институције) учествују у припреми и формализацији измена и допуна Закона о локалној самоуправи и Закона о државној управи; Наставиће се са јачањем капацитета за спровођење Закона о референдуму и народној иницијативи; Обезбедиће се подршка за примену нових решења из Закона о локалној </w:t>
      </w:r>
      <w:r w:rsidR="00236359" w:rsidRPr="00226F9D">
        <w:rPr>
          <w:rFonts w:ascii="Times New Roman" w:eastAsia="Calibri" w:hAnsi="Times New Roman" w:cs="Times New Roman"/>
          <w:color w:val="000000"/>
          <w:kern w:val="0"/>
          <w:lang w:val="sr-Cyrl-RS"/>
          <w14:ligatures w14:val="none"/>
        </w:rPr>
        <w:t xml:space="preserve"> </w:t>
      </w:r>
      <w:r w:rsidRPr="00226F9D">
        <w:rPr>
          <w:rFonts w:ascii="Times New Roman" w:eastAsia="Calibri" w:hAnsi="Times New Roman" w:cs="Times New Roman"/>
          <w:color w:val="000000"/>
          <w:kern w:val="0"/>
          <w:lang w:val="sr-Cyrl-RS"/>
          <w14:ligatures w14:val="none"/>
        </w:rPr>
        <w:t>самоуправи. Национална академија за јавну управу у оквирима својих надлежности обавља праћење и извештавање у погледу обука локалних службеника, а у делу обука за спровођење нових решења из Закона о локалним изборима од значаја је и улога Републичке изборне комисије; Министарство надлежно за омладинску политику је носилац реализације позива за доделу титуле Омладинске престонице Србије и то у партнерству са Националном асоцијацијом канцеларија за младе (НАКЗМ)</w:t>
      </w:r>
      <w:r w:rsidR="00E732FD" w:rsidRPr="00226F9D">
        <w:rPr>
          <w:rFonts w:ascii="Times New Roman" w:eastAsia="Calibri" w:hAnsi="Times New Roman" w:cs="Times New Roman"/>
          <w:color w:val="000000"/>
          <w:kern w:val="0"/>
          <w:lang w:val="sr-Latn-RS"/>
          <w14:ligatures w14:val="none"/>
        </w:rPr>
        <w:t xml:space="preserve">; </w:t>
      </w:r>
      <w:r w:rsidR="00D35015" w:rsidRPr="00226F9D">
        <w:rPr>
          <w:rFonts w:ascii="Times New Roman" w:eastAsia="Calibri" w:hAnsi="Times New Roman" w:cs="Times New Roman"/>
          <w:color w:val="000000"/>
          <w:kern w:val="0"/>
          <w:lang w:val="sr-Cyrl-RS"/>
          <w14:ligatures w14:val="none"/>
        </w:rPr>
        <w:t xml:space="preserve">такође, код активности усмерених на </w:t>
      </w:r>
      <w:r w:rsidR="0033622D" w:rsidRPr="00226F9D">
        <w:rPr>
          <w:rFonts w:ascii="Times New Roman" w:eastAsia="Calibri" w:hAnsi="Times New Roman" w:cs="Times New Roman"/>
          <w:color w:val="000000"/>
          <w:kern w:val="0"/>
          <w:lang w:val="sr-Cyrl-RS"/>
          <w14:ligatures w14:val="none"/>
        </w:rPr>
        <w:t>оснаживање служби локалних омбудсмана</w:t>
      </w:r>
      <w:r w:rsidR="00BA0B02" w:rsidRPr="00226F9D">
        <w:rPr>
          <w:rFonts w:ascii="Times New Roman" w:eastAsia="Calibri" w:hAnsi="Times New Roman" w:cs="Times New Roman"/>
          <w:color w:val="000000"/>
          <w:kern w:val="0"/>
          <w:lang w:val="sr-Cyrl-RS"/>
          <w14:ligatures w14:val="none"/>
        </w:rPr>
        <w:t xml:space="preserve">, партнерство се остварује са </w:t>
      </w:r>
      <w:r w:rsidR="00EA2783" w:rsidRPr="00226F9D">
        <w:rPr>
          <w:rFonts w:ascii="Times New Roman" w:eastAsia="Calibri" w:hAnsi="Times New Roman" w:cs="Times New Roman"/>
          <w:color w:val="000000"/>
          <w:kern w:val="0"/>
          <w:lang w:val="sr-Cyrl-RS"/>
          <w14:ligatures w14:val="none"/>
        </w:rPr>
        <w:t xml:space="preserve">Удружењем омбудсмана Србије. </w:t>
      </w:r>
    </w:p>
    <w:p w14:paraId="0AB7B95C" w14:textId="77777777" w:rsidR="008E4D40" w:rsidRPr="00226F9D" w:rsidRDefault="008E4D40" w:rsidP="00090884">
      <w:pPr>
        <w:spacing w:after="0" w:line="240" w:lineRule="auto"/>
        <w:jc w:val="both"/>
        <w:rPr>
          <w:rFonts w:ascii="Times New Roman" w:eastAsia="Calibri" w:hAnsi="Times New Roman" w:cs="Times New Roman"/>
          <w:color w:val="000000"/>
          <w:kern w:val="0"/>
          <w:lang w:val="sr-Latn-RS"/>
          <w14:ligatures w14:val="none"/>
        </w:rPr>
      </w:pPr>
    </w:p>
    <w:p w14:paraId="7688A997" w14:textId="638B1ACF" w:rsidR="00077DA3" w:rsidRPr="00226F9D" w:rsidRDefault="00077DA3" w:rsidP="00090884">
      <w:pPr>
        <w:spacing w:after="0" w:line="240" w:lineRule="auto"/>
        <w:jc w:val="both"/>
        <w:rPr>
          <w:rFonts w:ascii="Times New Roman" w:eastAsia="Calibri" w:hAnsi="Times New Roman" w:cs="Times New Roman"/>
          <w:color w:val="000000"/>
          <w:kern w:val="0"/>
          <w:lang w:val="sr-Latn-RS"/>
          <w14:ligatures w14:val="none"/>
        </w:rPr>
      </w:pPr>
      <w:r w:rsidRPr="00226F9D">
        <w:rPr>
          <w:rFonts w:ascii="Times New Roman" w:eastAsia="Calibri" w:hAnsi="Times New Roman" w:cs="Times New Roman"/>
          <w:color w:val="000000"/>
          <w:kern w:val="0"/>
          <w:lang w:val="sr-Cyrl-RS"/>
          <w14:ligatures w14:val="none"/>
        </w:rPr>
        <w:t>У оквиру</w:t>
      </w:r>
      <w:r w:rsidR="002601C4" w:rsidRPr="00226F9D">
        <w:rPr>
          <w:rFonts w:ascii="Times New Roman" w:eastAsia="Calibri" w:hAnsi="Times New Roman" w:cs="Times New Roman"/>
          <w:color w:val="000000"/>
          <w:kern w:val="0"/>
          <w:u w:val="single"/>
          <w:lang w:val="sr-Cyrl-RS"/>
          <w14:ligatures w14:val="none"/>
        </w:rPr>
        <w:t xml:space="preserve"> Програмског циља 2</w:t>
      </w:r>
      <w:r w:rsidRPr="00226F9D">
        <w:rPr>
          <w:rFonts w:ascii="Times New Roman" w:eastAsia="Calibri" w:hAnsi="Times New Roman" w:cs="Times New Roman"/>
          <w:color w:val="000000"/>
          <w:kern w:val="0"/>
          <w:lang w:val="sr-Cyrl-RS"/>
          <w14:ligatures w14:val="none"/>
        </w:rPr>
        <w:t xml:space="preserve">, од суштинског значаја за кохерентност реформских процеса јесте тесна веза овог програма са Програмом за реформу управљања јавним финансијама 2026-2030, и самим тим и предоминантна улога Министарства финансија у том погледу; У складу са законски дефинисаним саставом и оквиром деловања Комисије за финансирање ЛС, део активности предвиђен је кроз функционисање овог тела (којим председава МФИН, а које укључује и представнике МДУЛС, Министарства привреде, СКГО и непосредно неколицине ЈЛС); Ови актери, уз значајно партнерство са Републичким секретаријатом за јавне политике, кључни су и за предузимање реформских корака у правцу редефинисања методологије и </w:t>
      </w:r>
      <w:r w:rsidRPr="00226F9D">
        <w:rPr>
          <w:rFonts w:ascii="Times New Roman" w:eastAsia="Calibri" w:hAnsi="Times New Roman" w:cs="Times New Roman"/>
          <w:color w:val="000000"/>
          <w:kern w:val="0"/>
          <w:lang w:val="sr-Cyrl-RS"/>
          <w14:ligatures w14:val="none"/>
        </w:rPr>
        <w:lastRenderedPageBreak/>
        <w:t>правног оквира за израчунавање степена развијености ЈЛС; РСЈП и у овом програму остаје носилац активности за подршку ЛС и усмеравање жељених унапређења у погледу средњорочног планирања; а НАЈУ за формалне програме обука из обухвата мера под овим циљем.</w:t>
      </w:r>
    </w:p>
    <w:p w14:paraId="770B9639" w14:textId="77777777" w:rsidR="008E4D40" w:rsidRPr="00226F9D" w:rsidRDefault="008E4D40" w:rsidP="00090884">
      <w:pPr>
        <w:spacing w:after="0" w:line="240" w:lineRule="auto"/>
        <w:jc w:val="both"/>
        <w:rPr>
          <w:rFonts w:ascii="Times New Roman" w:eastAsia="Arial" w:hAnsi="Times New Roman" w:cs="Times New Roman"/>
          <w:kern w:val="0"/>
          <w:lang w:val="sr-Latn-RS"/>
          <w14:ligatures w14:val="none"/>
        </w:rPr>
      </w:pPr>
    </w:p>
    <w:p w14:paraId="73DEFD10" w14:textId="4DC6FBD7" w:rsidR="00077DA3" w:rsidRPr="00226F9D" w:rsidRDefault="00077DA3" w:rsidP="00090884">
      <w:pPr>
        <w:spacing w:after="0" w:line="240" w:lineRule="auto"/>
        <w:jc w:val="both"/>
        <w:rPr>
          <w:rFonts w:ascii="Times New Roman" w:eastAsia="Calibri" w:hAnsi="Times New Roman" w:cs="Times New Roman"/>
          <w:color w:val="000000"/>
          <w:kern w:val="0"/>
          <w:lang w:val="sr-Latn-RS"/>
          <w14:ligatures w14:val="none"/>
        </w:rPr>
      </w:pPr>
      <w:r w:rsidRPr="00226F9D">
        <w:rPr>
          <w:rFonts w:ascii="Times New Roman" w:eastAsia="Calibri" w:hAnsi="Times New Roman" w:cs="Times New Roman"/>
          <w:color w:val="000000"/>
          <w:kern w:val="0"/>
          <w:lang w:val="sr-Cyrl-RS"/>
          <w14:ligatures w14:val="none"/>
        </w:rPr>
        <w:t xml:space="preserve">У оквиру </w:t>
      </w:r>
      <w:r w:rsidR="002601C4" w:rsidRPr="00226F9D">
        <w:rPr>
          <w:rFonts w:ascii="Times New Roman" w:eastAsia="Calibri" w:hAnsi="Times New Roman" w:cs="Times New Roman"/>
          <w:color w:val="000000"/>
          <w:kern w:val="0"/>
          <w:u w:val="single"/>
          <w:lang w:val="sr-Cyrl-RS"/>
          <w14:ligatures w14:val="none"/>
        </w:rPr>
        <w:t>Посебног циља 3</w:t>
      </w:r>
      <w:r w:rsidRPr="00226F9D">
        <w:rPr>
          <w:rFonts w:ascii="Times New Roman" w:eastAsia="Calibri" w:hAnsi="Times New Roman" w:cs="Times New Roman"/>
          <w:color w:val="000000"/>
          <w:kern w:val="0"/>
          <w:lang w:val="sr-Cyrl-RS"/>
          <w14:ligatures w14:val="none"/>
        </w:rPr>
        <w:t>, у реализацији мера које се односе на реформисање управљања људским ресурсима, процеса стручног усавршавања и система плата на локалном нивоу, уз деловање већ споменутих актера - МДУЛС, НАЈУ, МФИН, СКГО– природни партнер јесте и Савет за стручно усавршавање запослених у ЈЛС, а у делу активности компатибилност се осигурава са пројектом чији је спроводилац Савет Европе; Кључна координација у правцу даље успешне примене развојног планирања обавља се посредством РСЈП, а носилац дела активности усмерених на припрему за ефективну примену кохезионе политике ЕУ јесте и Министарство надлежно за европске интеграције.</w:t>
      </w:r>
    </w:p>
    <w:p w14:paraId="1444652C" w14:textId="77777777" w:rsidR="008E4D40" w:rsidRPr="00226F9D" w:rsidRDefault="008E4D40" w:rsidP="00090884">
      <w:pPr>
        <w:spacing w:after="0" w:line="240" w:lineRule="auto"/>
        <w:jc w:val="both"/>
        <w:rPr>
          <w:rFonts w:ascii="Times New Roman" w:eastAsia="Arial" w:hAnsi="Times New Roman" w:cs="Times New Roman"/>
          <w:kern w:val="0"/>
          <w:lang w:val="sr-Latn-RS"/>
          <w14:ligatures w14:val="none"/>
        </w:rPr>
      </w:pPr>
    </w:p>
    <w:p w14:paraId="4C9F4EB7" w14:textId="0E491042" w:rsidR="00077DA3" w:rsidRPr="00226F9D" w:rsidRDefault="00077DA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У оквиру </w:t>
      </w:r>
      <w:r w:rsidR="00B21E24" w:rsidRPr="00226F9D">
        <w:rPr>
          <w:rFonts w:ascii="Times New Roman" w:eastAsia="Arial" w:hAnsi="Times New Roman" w:cs="Times New Roman"/>
          <w:kern w:val="0"/>
          <w:u w:val="single"/>
          <w:lang w:val="sr-Cyrl-RS"/>
          <w14:ligatures w14:val="none"/>
        </w:rPr>
        <w:t>Посебног циља 4</w:t>
      </w:r>
      <w:r w:rsidRPr="00226F9D">
        <w:rPr>
          <w:rFonts w:ascii="Times New Roman" w:eastAsia="Arial" w:hAnsi="Times New Roman" w:cs="Times New Roman"/>
          <w:kern w:val="0"/>
          <w:lang w:val="sr-Cyrl-RS"/>
          <w14:ligatures w14:val="none"/>
        </w:rPr>
        <w:t>, различита ресорна министарства и СКГО раде најнепосредније са МДУЛС на мапирању ефикасније расподеле послова јавне управе ка ЈЛС и унапређењу међуопштинске сарадње, односно са РСЈП у погледу административних поступака који се спроводе на нивоу ЈЛС, њиховој оптимизацији и напреднијем коришћењу Регистра административних поступака; Комплетан обухват активности усмерених на развој система комуналних делатности – реализује се посредством министарства надлежног за грађевинарство и инфраструктуру</w:t>
      </w:r>
      <w:r w:rsidR="00091486" w:rsidRPr="00226F9D">
        <w:rPr>
          <w:rFonts w:ascii="Times New Roman" w:eastAsia="Arial" w:hAnsi="Times New Roman" w:cs="Times New Roman"/>
          <w:kern w:val="0"/>
          <w:lang w:val="sr-Latn-RS"/>
          <w14:ligatures w14:val="none"/>
        </w:rPr>
        <w:t xml:space="preserve"> </w:t>
      </w:r>
      <w:r w:rsidR="00091486" w:rsidRPr="00226F9D">
        <w:rPr>
          <w:rFonts w:ascii="Times New Roman" w:eastAsia="Arial" w:hAnsi="Times New Roman" w:cs="Times New Roman"/>
          <w:kern w:val="0"/>
          <w:lang w:val="sr-Cyrl-RS"/>
          <w14:ligatures w14:val="none"/>
        </w:rPr>
        <w:t>(МГСИ)</w:t>
      </w:r>
      <w:r w:rsidRPr="00226F9D">
        <w:rPr>
          <w:rFonts w:ascii="Times New Roman" w:eastAsia="Arial" w:hAnsi="Times New Roman" w:cs="Times New Roman"/>
          <w:kern w:val="0"/>
          <w:lang w:val="sr-Cyrl-RS"/>
          <w14:ligatures w14:val="none"/>
        </w:rPr>
        <w:t>, уз активну партнерску улогу пословног удружења комуналних предузећа – КОМДЕЛ; Од значаја је укључивање МФИН и министарства надлежног за здравље у погледу припреме Нацрта закона о гробљима и сахрањивању, док је највећи обухват партнера заступљен у погледу припреме подзаконског акта у вези са методолог</w:t>
      </w:r>
      <w:r w:rsidR="00836183">
        <w:rPr>
          <w:rFonts w:ascii="Times New Roman" w:eastAsia="Arial" w:hAnsi="Times New Roman" w:cs="Times New Roman"/>
          <w:kern w:val="0"/>
          <w:lang w:val="sr-Cyrl-RS"/>
          <w14:ligatures w14:val="none"/>
        </w:rPr>
        <w:t>иј</w:t>
      </w:r>
      <w:r w:rsidRPr="00226F9D">
        <w:rPr>
          <w:rFonts w:ascii="Times New Roman" w:eastAsia="Arial" w:hAnsi="Times New Roman" w:cs="Times New Roman"/>
          <w:kern w:val="0"/>
          <w:lang w:val="sr-Cyrl-RS"/>
          <w14:ligatures w14:val="none"/>
        </w:rPr>
        <w:t>ом за формирање цена комуналних услуга (уз ресоре финансија, привреде, животне средине, социјалних питања, пољопривреде, шумарства, водопривреде, као нови актери фигурирају и Републичка дирекција за воде, Синдикати запослених у комуналним стамбеним делатностима и Привредна комора Србије).</w:t>
      </w:r>
    </w:p>
    <w:p w14:paraId="169B9EB8" w14:textId="77777777" w:rsidR="00077DA3" w:rsidRPr="00226F9D" w:rsidRDefault="00077DA3" w:rsidP="006B59F4">
      <w:pPr>
        <w:spacing w:after="0" w:line="240" w:lineRule="auto"/>
        <w:jc w:val="both"/>
        <w:rPr>
          <w:rFonts w:ascii="Times New Roman" w:eastAsia="Arial" w:hAnsi="Times New Roman" w:cs="Times New Roman"/>
          <w:kern w:val="0"/>
          <w:lang w:val="sr-Cyrl-RS"/>
          <w14:ligatures w14:val="none"/>
        </w:rPr>
      </w:pPr>
    </w:p>
    <w:p w14:paraId="6B24C352" w14:textId="77777777" w:rsidR="00077DA3" w:rsidRPr="00226F9D" w:rsidRDefault="00077DA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Циљне групе на које се односи Програм и најдиректнији корисници активности - су градови и општине, запослени у локалној самоуправи, установама и локалним (комуналним) предузећима, као и регионалним развојним агенцијама. Кроз побољшање квалитета и одговорности управе, транспарентније управљање јавним финансијама и већу доступност и квалитет јавних услуга, кључну циљну групу чине саме локалне заједнице, односно сви грађани Републике Србије и привредни субјекти упућени на услуге ЈЛС.</w:t>
      </w:r>
    </w:p>
    <w:p w14:paraId="732C8995" w14:textId="77777777" w:rsidR="009B5EEC" w:rsidRPr="00226F9D" w:rsidRDefault="009B5EEC" w:rsidP="00090884">
      <w:pPr>
        <w:spacing w:after="0" w:line="240" w:lineRule="auto"/>
        <w:jc w:val="both"/>
        <w:rPr>
          <w:rFonts w:ascii="Times New Roman" w:eastAsia="Arial" w:hAnsi="Times New Roman" w:cs="Times New Roman"/>
          <w:kern w:val="0"/>
          <w:lang w:val="sr-Cyrl-RS"/>
          <w14:ligatures w14:val="none"/>
        </w:rPr>
      </w:pPr>
    </w:p>
    <w:p w14:paraId="7C660FC1" w14:textId="77777777" w:rsidR="00077DA3" w:rsidRPr="00226F9D" w:rsidRDefault="00077DA3" w:rsidP="00090884">
      <w:pPr>
        <w:spacing w:after="0" w:line="240" w:lineRule="auto"/>
        <w:jc w:val="both"/>
        <w:rPr>
          <w:rFonts w:ascii="Times New Roman" w:eastAsia="Arial" w:hAnsi="Times New Roman" w:cs="Times New Roman"/>
          <w:kern w:val="0"/>
          <w:lang w:val="sr-Cyrl-RS"/>
          <w14:ligatures w14:val="none"/>
        </w:rPr>
      </w:pPr>
      <w:r w:rsidRPr="00226F9D">
        <w:rPr>
          <w:rFonts w:ascii="Times New Roman" w:eastAsia="Arial" w:hAnsi="Times New Roman" w:cs="Times New Roman"/>
          <w:kern w:val="0"/>
          <w:lang w:val="sr-Cyrl-RS"/>
          <w14:ligatures w14:val="none"/>
        </w:rPr>
        <w:t xml:space="preserve">Значајно је споменути и категорију актера коју чине међународни развојни партнери, пре свега донатори средстава за реализацију пројеката усмерених на реформисање система ЛС. Спровођење претходног као и новог ПРСЛС обележено је значајном подршком међународних организација односно развојних агенција, при чему су надлежни пројектни и програмски тимови активно ангажовани у процесима планирања, праћења спровођења и извештавања о ПРСЛС (што укључује и извештајне референце о ПРСЛС у прегледима СИГМА и годишњим извештајима ЕК о напретку Републике Србије у процесу приступања ЕУ).    </w:t>
      </w:r>
    </w:p>
    <w:p w14:paraId="428BCE8B" w14:textId="77777777" w:rsidR="00A852F6" w:rsidRPr="00226F9D" w:rsidRDefault="00A852F6" w:rsidP="00090884">
      <w:pPr>
        <w:spacing w:after="0" w:line="240" w:lineRule="auto"/>
        <w:jc w:val="both"/>
        <w:rPr>
          <w:rFonts w:ascii="Times New Roman" w:eastAsia="Arial" w:hAnsi="Times New Roman" w:cs="Times New Roman"/>
          <w:kern w:val="0"/>
          <w:lang w:val="sr-Latn-RS"/>
          <w14:ligatures w14:val="none"/>
        </w:rPr>
      </w:pPr>
    </w:p>
    <w:p w14:paraId="64BA86AC" w14:textId="62CD5883" w:rsidR="00FB70CD" w:rsidRPr="00226F9D" w:rsidRDefault="00FB70CD">
      <w:pPr>
        <w:rPr>
          <w:rFonts w:ascii="Times New Roman" w:eastAsia="Arial" w:hAnsi="Times New Roman" w:cs="Times New Roman"/>
          <w:kern w:val="0"/>
          <w:lang w:val="sr-Latn-RS"/>
          <w14:ligatures w14:val="none"/>
        </w:rPr>
      </w:pPr>
      <w:r w:rsidRPr="00226F9D">
        <w:rPr>
          <w:rFonts w:ascii="Times New Roman" w:eastAsia="Arial" w:hAnsi="Times New Roman" w:cs="Times New Roman"/>
          <w:kern w:val="0"/>
          <w:lang w:val="sr-Latn-RS"/>
          <w14:ligatures w14:val="none"/>
        </w:rPr>
        <w:br w:type="page"/>
      </w:r>
    </w:p>
    <w:p w14:paraId="56F4A67E" w14:textId="77777777" w:rsidR="001D377B" w:rsidRPr="00226F9D" w:rsidRDefault="001D377B" w:rsidP="001D377B">
      <w:pPr>
        <w:rPr>
          <w:rFonts w:ascii="Times New Roman" w:hAnsi="Times New Roman" w:cs="Times New Roman"/>
          <w:lang w:val="sr-Cyrl-RS"/>
        </w:rPr>
      </w:pPr>
    </w:p>
    <w:p w14:paraId="02A40E56" w14:textId="77777777" w:rsidR="001D377B" w:rsidRPr="00226F9D" w:rsidRDefault="001D377B" w:rsidP="001D377B">
      <w:pPr>
        <w:rPr>
          <w:rFonts w:ascii="Times New Roman" w:hAnsi="Times New Roman" w:cs="Times New Roman"/>
          <w:lang w:val="sr-Cyrl-RS"/>
        </w:rPr>
      </w:pPr>
    </w:p>
    <w:p w14:paraId="2E836376" w14:textId="16705624" w:rsidR="00A852F6" w:rsidRPr="00226F9D" w:rsidRDefault="004B5362" w:rsidP="005B0999">
      <w:pPr>
        <w:pStyle w:val="Heading1"/>
        <w:rPr>
          <w:rFonts w:ascii="Times New Roman" w:hAnsi="Times New Roman" w:cs="Times New Roman"/>
        </w:rPr>
      </w:pPr>
      <w:bookmarkStart w:id="47" w:name="_Toc222753927"/>
      <w:r w:rsidRPr="00226F9D">
        <w:rPr>
          <w:rFonts w:ascii="Times New Roman" w:hAnsi="Times New Roman" w:cs="Times New Roman"/>
        </w:rPr>
        <w:t xml:space="preserve">VI </w:t>
      </w:r>
      <w:r w:rsidR="00F1569D" w:rsidRPr="00226F9D">
        <w:rPr>
          <w:rFonts w:ascii="Times New Roman" w:hAnsi="Times New Roman" w:cs="Times New Roman"/>
        </w:rPr>
        <w:t>Процена финансијских средстава за спровођење Програма</w:t>
      </w:r>
      <w:bookmarkEnd w:id="47"/>
    </w:p>
    <w:p w14:paraId="2742EB8C" w14:textId="77777777" w:rsidR="001D377B" w:rsidRPr="00226F9D" w:rsidRDefault="001D377B" w:rsidP="001D377B">
      <w:pPr>
        <w:spacing w:after="0" w:line="240" w:lineRule="auto"/>
        <w:jc w:val="both"/>
        <w:rPr>
          <w:rFonts w:ascii="Times New Roman" w:eastAsia="Times New Roman" w:hAnsi="Times New Roman" w:cs="Times New Roman"/>
          <w:kern w:val="0"/>
          <w:lang w:val="sr-Cyrl-RS"/>
          <w14:ligatures w14:val="none"/>
        </w:rPr>
      </w:pPr>
    </w:p>
    <w:p w14:paraId="00CB47A3" w14:textId="77777777" w:rsidR="00E30C8F" w:rsidRPr="00226F9D" w:rsidRDefault="00E30C8F" w:rsidP="00E30C8F">
      <w:pPr>
        <w:spacing w:after="0" w:line="240" w:lineRule="auto"/>
        <w:jc w:val="both"/>
        <w:rPr>
          <w:rFonts w:ascii="Times New Roman" w:eastAsia="Calibri" w:hAnsi="Times New Roman" w:cs="Times New Roman"/>
          <w:color w:val="000000"/>
          <w:kern w:val="0"/>
          <w:lang w:val="sr-Cyrl-RS"/>
          <w14:ligatures w14:val="none"/>
        </w:rPr>
      </w:pPr>
      <w:r w:rsidRPr="00226F9D">
        <w:rPr>
          <w:rFonts w:ascii="Times New Roman" w:eastAsia="Calibri" w:hAnsi="Times New Roman" w:cs="Times New Roman"/>
          <w:color w:val="000000"/>
          <w:kern w:val="0"/>
          <w:lang w:val="sr-Cyrl-RS"/>
          <w14:ligatures w14:val="none"/>
        </w:rPr>
        <w:t xml:space="preserve">Укупна средства за спровођење Програма процењена су на износ од 753.308.100,00 динара за период 2026-2030. године. Од тога обезбеђено је 455.648.340,00 динара, док су укупна необезбеђена средства процењена на износ од 297.659.760,00 динара. </w:t>
      </w:r>
    </w:p>
    <w:p w14:paraId="1187FA88" w14:textId="77777777" w:rsidR="00E30C8F" w:rsidRPr="00226F9D" w:rsidRDefault="00E30C8F" w:rsidP="00E30C8F">
      <w:pPr>
        <w:spacing w:after="0" w:line="240" w:lineRule="auto"/>
        <w:jc w:val="both"/>
        <w:rPr>
          <w:rFonts w:ascii="Times New Roman" w:eastAsia="Calibri" w:hAnsi="Times New Roman" w:cs="Times New Roman"/>
          <w:color w:val="000000"/>
          <w:kern w:val="0"/>
          <w:lang w:val="sr-Cyrl-RS"/>
          <w14:ligatures w14:val="none"/>
        </w:rPr>
      </w:pPr>
      <w:r w:rsidRPr="00226F9D">
        <w:rPr>
          <w:rFonts w:ascii="Times New Roman" w:eastAsia="Calibri" w:hAnsi="Times New Roman" w:cs="Times New Roman"/>
          <w:color w:val="000000"/>
          <w:kern w:val="0"/>
          <w:lang w:val="sr-Cyrl-RS"/>
          <w14:ligatures w14:val="none"/>
        </w:rPr>
        <w:t>Од укупних потребних средстава за спровођење програма 276.987.600,00 динара обезбеђује се из буџета Републике Србије, од којих су 15.529.760,00  динара планирана за 2029. и 2030. годину. Укупна донаторска средства за спровођење Програма процењена су на 476.320.500,00 динара, од чега је обезбеђено 194.190.500,00 динара.</w:t>
      </w:r>
    </w:p>
    <w:p w14:paraId="0B8BB05C" w14:textId="5D8FB5E0" w:rsidR="001D377B" w:rsidRPr="00226F9D" w:rsidRDefault="00E30C8F" w:rsidP="0012502E">
      <w:pPr>
        <w:spacing w:after="60" w:line="240" w:lineRule="auto"/>
        <w:jc w:val="both"/>
        <w:rPr>
          <w:rFonts w:ascii="Times New Roman" w:eastAsia="Calibri" w:hAnsi="Times New Roman" w:cs="Times New Roman"/>
          <w:color w:val="000000"/>
          <w:kern w:val="0"/>
          <w:lang w:val="sr-Latn-RS"/>
          <w14:ligatures w14:val="none"/>
        </w:rPr>
      </w:pPr>
      <w:r w:rsidRPr="00226F9D">
        <w:rPr>
          <w:rFonts w:ascii="Times New Roman" w:eastAsia="Calibri" w:hAnsi="Times New Roman" w:cs="Times New Roman"/>
          <w:color w:val="000000"/>
          <w:kern w:val="0"/>
          <w:lang w:val="sr-Cyrl-RS"/>
          <w14:ligatures w14:val="none"/>
        </w:rPr>
        <w:t>За спровођење Програма нису потребна додатна финансијска средства из буџета.</w:t>
      </w:r>
    </w:p>
    <w:p w14:paraId="32182E6B" w14:textId="77777777" w:rsidR="0012502E" w:rsidRPr="00226F9D" w:rsidRDefault="0012502E" w:rsidP="0012502E">
      <w:pPr>
        <w:keepNext/>
        <w:keepLines/>
        <w:numPr>
          <w:ilvl w:val="2"/>
          <w:numId w:val="0"/>
        </w:numPr>
        <w:spacing w:before="160" w:after="80" w:line="240" w:lineRule="auto"/>
        <w:ind w:left="720" w:hanging="720"/>
        <w:jc w:val="both"/>
        <w:outlineLvl w:val="2"/>
        <w:rPr>
          <w:rFonts w:ascii="Times New Roman" w:eastAsiaTheme="majorEastAsia" w:hAnsi="Times New Roman" w:cs="Times New Roman"/>
          <w:color w:val="0F4761" w:themeColor="accent1" w:themeShade="BF"/>
          <w:kern w:val="0"/>
          <w:sz w:val="28"/>
          <w:szCs w:val="28"/>
          <w:lang w:val="sr-Cyrl-RS"/>
          <w14:ligatures w14:val="none"/>
        </w:rPr>
      </w:pPr>
      <w:bookmarkStart w:id="48" w:name="_Toc214824530"/>
      <w:bookmarkStart w:id="49" w:name="_Toc222753928"/>
      <w:bookmarkStart w:id="50" w:name="_Toc208326893"/>
      <w:r w:rsidRPr="00226F9D">
        <w:rPr>
          <w:rFonts w:ascii="Times New Roman" w:eastAsiaTheme="majorEastAsia" w:hAnsi="Times New Roman" w:cs="Times New Roman"/>
          <w:color w:val="0F4761" w:themeColor="accent1" w:themeShade="BF"/>
          <w:kern w:val="0"/>
          <w:sz w:val="28"/>
          <w:szCs w:val="28"/>
          <w:lang w:val="sr-Cyrl-RS"/>
          <w14:ligatures w14:val="none"/>
        </w:rPr>
        <w:t>Процењена</w:t>
      </w:r>
      <w:r w:rsidRPr="00226F9D">
        <w:rPr>
          <w:rFonts w:ascii="Times New Roman" w:eastAsiaTheme="majorEastAsia" w:hAnsi="Times New Roman" w:cs="Times New Roman"/>
          <w:color w:val="0F4761" w:themeColor="accent1" w:themeShade="BF"/>
          <w:kern w:val="0"/>
          <w:sz w:val="28"/>
          <w:szCs w:val="28"/>
          <w:lang w:val="ru-RU"/>
          <w14:ligatures w14:val="none"/>
        </w:rPr>
        <w:t xml:space="preserve"> </w:t>
      </w:r>
      <w:r w:rsidRPr="00226F9D">
        <w:rPr>
          <w:rFonts w:ascii="Times New Roman" w:eastAsiaTheme="majorEastAsia" w:hAnsi="Times New Roman" w:cs="Times New Roman"/>
          <w:color w:val="0F4761" w:themeColor="accent1" w:themeShade="BF"/>
          <w:kern w:val="0"/>
          <w:sz w:val="28"/>
          <w:szCs w:val="28"/>
          <w:lang w:val="sr-Cyrl-RS"/>
          <w14:ligatures w14:val="none"/>
        </w:rPr>
        <w:t>укупна средства по приоритетним циљевима и годинама</w:t>
      </w:r>
      <w:bookmarkEnd w:id="48"/>
      <w:bookmarkEnd w:id="49"/>
    </w:p>
    <w:p w14:paraId="62FECECB" w14:textId="77777777" w:rsidR="001D377B" w:rsidRPr="00226F9D" w:rsidRDefault="001D377B" w:rsidP="0012502E">
      <w:pPr>
        <w:spacing w:after="60" w:line="240" w:lineRule="auto"/>
        <w:jc w:val="both"/>
        <w:rPr>
          <w:rFonts w:ascii="Times New Roman" w:eastAsia="Calibri" w:hAnsi="Times New Roman" w:cs="Times New Roman"/>
          <w:color w:val="000000"/>
          <w:kern w:val="0"/>
          <w:lang w:val="sr-Latn-RS"/>
          <w14:ligatures w14:val="none"/>
        </w:rPr>
      </w:pPr>
    </w:p>
    <w:p w14:paraId="64B993C3" w14:textId="08F9675B" w:rsidR="0012502E" w:rsidRPr="00226F9D" w:rsidRDefault="0012502E" w:rsidP="0012502E">
      <w:pPr>
        <w:spacing w:after="60" w:line="240" w:lineRule="auto"/>
        <w:jc w:val="both"/>
        <w:rPr>
          <w:rFonts w:ascii="Times New Roman" w:eastAsia="Calibri" w:hAnsi="Times New Roman" w:cs="Times New Roman"/>
          <w:color w:val="000000"/>
          <w:kern w:val="0"/>
          <w:lang w:val="sr-Latn-RS"/>
          <w14:ligatures w14:val="none"/>
        </w:rPr>
      </w:pPr>
      <w:r w:rsidRPr="00226F9D">
        <w:rPr>
          <w:rFonts w:ascii="Times New Roman" w:eastAsia="Calibri" w:hAnsi="Times New Roman" w:cs="Times New Roman"/>
          <w:color w:val="000000"/>
          <w:kern w:val="0"/>
          <w:lang w:val="sr-Cyrl-RS"/>
          <w14:ligatures w14:val="none"/>
        </w:rPr>
        <w:t>Процењене вредности исказане су у хиљадама динара</w:t>
      </w:r>
      <w:bookmarkEnd w:id="50"/>
      <w:r w:rsidRPr="00226F9D">
        <w:rPr>
          <w:rFonts w:ascii="Times New Roman" w:eastAsia="Calibri" w:hAnsi="Times New Roman" w:cs="Times New Roman"/>
          <w:color w:val="000000"/>
          <w:kern w:val="0"/>
          <w:lang w:val="sr-Cyrl-RS"/>
          <w14:ligatures w14:val="none"/>
        </w:rPr>
        <w:t>.</w:t>
      </w:r>
    </w:p>
    <w:p w14:paraId="11D64CF2" w14:textId="77777777" w:rsidR="001D377B" w:rsidRPr="00226F9D" w:rsidRDefault="001D377B" w:rsidP="0012502E">
      <w:pPr>
        <w:spacing w:after="60" w:line="240" w:lineRule="auto"/>
        <w:jc w:val="both"/>
        <w:rPr>
          <w:rFonts w:ascii="Times New Roman" w:eastAsia="Calibri" w:hAnsi="Times New Roman" w:cs="Times New Roman"/>
          <w:color w:val="000000"/>
          <w:kern w:val="0"/>
          <w:lang w:val="sr-Latn-RS"/>
          <w14:ligatures w14:val="none"/>
        </w:rPr>
      </w:pPr>
    </w:p>
    <w:p w14:paraId="3E669853" w14:textId="0C0D1984" w:rsidR="0012502E" w:rsidRPr="00226F9D" w:rsidRDefault="0012502E" w:rsidP="0012502E">
      <w:pPr>
        <w:keepNext/>
        <w:spacing w:after="60" w:line="240" w:lineRule="auto"/>
        <w:jc w:val="both"/>
        <w:rPr>
          <w:rFonts w:ascii="Times New Roman" w:eastAsia="Times New Roman" w:hAnsi="Times New Roman" w:cs="Times New Roman"/>
          <w:i/>
          <w:iCs/>
          <w:color w:val="0E2841" w:themeColor="text2"/>
          <w:kern w:val="0"/>
          <w:lang w:val="sr-Latn-RS" w:eastAsia="en-GB"/>
          <w14:ligatures w14:val="none"/>
        </w:rPr>
      </w:pPr>
      <w:r w:rsidRPr="00226F9D">
        <w:rPr>
          <w:rFonts w:ascii="Times New Roman" w:eastAsia="Times New Roman" w:hAnsi="Times New Roman" w:cs="Times New Roman"/>
          <w:b/>
          <w:bCs/>
          <w:i/>
          <w:iCs/>
          <w:color w:val="0E2841" w:themeColor="text2"/>
          <w:kern w:val="0"/>
          <w:lang w:val="sr-Cyrl-RS" w:eastAsia="en-GB"/>
          <w14:ligatures w14:val="none"/>
        </w:rPr>
        <w:t xml:space="preserve">Табела </w:t>
      </w:r>
      <w:r w:rsidRPr="00226F9D">
        <w:rPr>
          <w:rFonts w:ascii="Times New Roman" w:eastAsia="Times New Roman" w:hAnsi="Times New Roman" w:cs="Times New Roman"/>
          <w:b/>
          <w:bCs/>
          <w:i/>
          <w:iCs/>
          <w:color w:val="0E2841" w:themeColor="text2"/>
          <w:kern w:val="0"/>
          <w:lang w:val="sr-Cyrl-RS" w:eastAsia="en-GB"/>
          <w14:ligatures w14:val="none"/>
        </w:rPr>
        <w:fldChar w:fldCharType="begin"/>
      </w:r>
      <w:r w:rsidRPr="00226F9D">
        <w:rPr>
          <w:rFonts w:ascii="Times New Roman" w:eastAsia="Times New Roman" w:hAnsi="Times New Roman" w:cs="Times New Roman"/>
          <w:b/>
          <w:bCs/>
          <w:i/>
          <w:iCs/>
          <w:color w:val="0E2841" w:themeColor="text2"/>
          <w:kern w:val="0"/>
          <w:lang w:val="sr-Cyrl-RS" w:eastAsia="en-GB"/>
          <w14:ligatures w14:val="none"/>
        </w:rPr>
        <w:instrText xml:space="preserve"> SEQ Табела \* ARABIC </w:instrText>
      </w:r>
      <w:r w:rsidRPr="00226F9D">
        <w:rPr>
          <w:rFonts w:ascii="Times New Roman" w:eastAsia="Times New Roman" w:hAnsi="Times New Roman" w:cs="Times New Roman"/>
          <w:b/>
          <w:bCs/>
          <w:i/>
          <w:iCs/>
          <w:color w:val="0E2841" w:themeColor="text2"/>
          <w:kern w:val="0"/>
          <w:lang w:val="sr-Cyrl-RS" w:eastAsia="en-GB"/>
          <w14:ligatures w14:val="none"/>
        </w:rPr>
        <w:fldChar w:fldCharType="separate"/>
      </w:r>
      <w:r w:rsidR="00F21F7D">
        <w:rPr>
          <w:rFonts w:ascii="Times New Roman" w:eastAsia="Times New Roman" w:hAnsi="Times New Roman" w:cs="Times New Roman"/>
          <w:b/>
          <w:bCs/>
          <w:i/>
          <w:iCs/>
          <w:noProof/>
          <w:color w:val="0E2841" w:themeColor="text2"/>
          <w:kern w:val="0"/>
          <w:lang w:val="sr-Cyrl-RS" w:eastAsia="en-GB"/>
          <w14:ligatures w14:val="none"/>
        </w:rPr>
        <w:t>1</w:t>
      </w:r>
      <w:r w:rsidRPr="00226F9D">
        <w:rPr>
          <w:rFonts w:ascii="Times New Roman" w:eastAsia="Times New Roman" w:hAnsi="Times New Roman" w:cs="Times New Roman"/>
          <w:b/>
          <w:bCs/>
          <w:i/>
          <w:iCs/>
          <w:color w:val="0E2841" w:themeColor="text2"/>
          <w:kern w:val="0"/>
          <w:lang w:val="sr-Cyrl-RS" w:eastAsia="en-GB"/>
          <w14:ligatures w14:val="none"/>
        </w:rPr>
        <w:fldChar w:fldCharType="end"/>
      </w:r>
      <w:r w:rsidRPr="00226F9D">
        <w:rPr>
          <w:rFonts w:ascii="Times New Roman" w:eastAsia="Times New Roman" w:hAnsi="Times New Roman" w:cs="Times New Roman"/>
          <w:b/>
          <w:bCs/>
          <w:i/>
          <w:iCs/>
          <w:color w:val="0E2841" w:themeColor="text2"/>
          <w:kern w:val="0"/>
          <w:lang w:val="sr-Cyrl-RS" w:eastAsia="en-GB"/>
          <w14:ligatures w14:val="none"/>
        </w:rPr>
        <w:t>.</w:t>
      </w:r>
      <w:r w:rsidRPr="00226F9D">
        <w:rPr>
          <w:rFonts w:ascii="Times New Roman" w:eastAsia="Times New Roman" w:hAnsi="Times New Roman" w:cs="Times New Roman"/>
          <w:i/>
          <w:iCs/>
          <w:color w:val="0E2841" w:themeColor="text2"/>
          <w:kern w:val="0"/>
          <w:lang w:val="sr-Cyrl-RS" w:eastAsia="en-GB"/>
          <w14:ligatures w14:val="none"/>
        </w:rPr>
        <w:t xml:space="preserve"> Процењена потребна укупна додатна средства по приоритетним циљевима и годинама</w:t>
      </w:r>
    </w:p>
    <w:p w14:paraId="4ECF8600" w14:textId="77777777" w:rsidR="001D377B" w:rsidRPr="00226F9D" w:rsidRDefault="001D377B" w:rsidP="0012502E">
      <w:pPr>
        <w:keepNext/>
        <w:spacing w:after="60" w:line="240" w:lineRule="auto"/>
        <w:jc w:val="both"/>
        <w:rPr>
          <w:rFonts w:ascii="Times New Roman" w:eastAsia="Times New Roman" w:hAnsi="Times New Roman" w:cs="Times New Roman"/>
          <w:i/>
          <w:iCs/>
          <w:color w:val="0E2841" w:themeColor="text2"/>
          <w:kern w:val="0"/>
          <w:lang w:val="sr-Latn-RS" w:eastAsia="en-GB"/>
          <w14:ligatures w14:val="none"/>
        </w:rPr>
      </w:pPr>
    </w:p>
    <w:tbl>
      <w:tblPr>
        <w:tblW w:w="0" w:type="auto"/>
        <w:tblInd w:w="10" w:type="dxa"/>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CellMar>
          <w:left w:w="10" w:type="dxa"/>
          <w:right w:w="10" w:type="dxa"/>
        </w:tblCellMar>
        <w:tblLook w:val="04A0" w:firstRow="1" w:lastRow="0" w:firstColumn="1" w:lastColumn="0" w:noHBand="0" w:noVBand="1"/>
      </w:tblPr>
      <w:tblGrid>
        <w:gridCol w:w="4290"/>
        <w:gridCol w:w="920"/>
        <w:gridCol w:w="920"/>
        <w:gridCol w:w="920"/>
        <w:gridCol w:w="820"/>
        <w:gridCol w:w="820"/>
        <w:gridCol w:w="922"/>
      </w:tblGrid>
      <w:tr w:rsidR="000C2FEA" w:rsidRPr="00226F9D" w14:paraId="6CF0D3D1" w14:textId="77777777" w:rsidTr="00431C53">
        <w:tc>
          <w:tcPr>
            <w:tcW w:w="0" w:type="auto"/>
          </w:tcPr>
          <w:p w14:paraId="209030FC" w14:textId="77777777" w:rsidR="00B5133A" w:rsidRPr="00226F9D" w:rsidRDefault="00B5133A" w:rsidP="005B1172">
            <w:pPr>
              <w:rPr>
                <w:rFonts w:ascii="Times New Roman" w:hAnsi="Times New Roman" w:cs="Times New Roman"/>
                <w:b/>
                <w:sz w:val="20"/>
                <w:szCs w:val="20"/>
              </w:rPr>
            </w:pPr>
            <w:r w:rsidRPr="00226F9D">
              <w:rPr>
                <w:rFonts w:ascii="Times New Roman" w:hAnsi="Times New Roman" w:cs="Times New Roman"/>
                <w:b/>
                <w:sz w:val="20"/>
                <w:szCs w:val="20"/>
              </w:rPr>
              <w:t>ПОСЕБНИ ЦИЉЕВИ</w:t>
            </w:r>
          </w:p>
        </w:tc>
        <w:tc>
          <w:tcPr>
            <w:tcW w:w="0" w:type="auto"/>
          </w:tcPr>
          <w:p w14:paraId="56B3F136" w14:textId="77777777" w:rsidR="00B5133A" w:rsidRPr="00226F9D" w:rsidRDefault="00B5133A"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2026</w:t>
            </w:r>
          </w:p>
        </w:tc>
        <w:tc>
          <w:tcPr>
            <w:tcW w:w="0" w:type="auto"/>
          </w:tcPr>
          <w:p w14:paraId="50399143" w14:textId="77777777" w:rsidR="00B5133A" w:rsidRPr="00226F9D" w:rsidRDefault="00B5133A"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2027</w:t>
            </w:r>
          </w:p>
        </w:tc>
        <w:tc>
          <w:tcPr>
            <w:tcW w:w="0" w:type="auto"/>
          </w:tcPr>
          <w:p w14:paraId="4B869FB7" w14:textId="77777777" w:rsidR="00B5133A" w:rsidRPr="00226F9D" w:rsidRDefault="00B5133A"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2028</w:t>
            </w:r>
          </w:p>
        </w:tc>
        <w:tc>
          <w:tcPr>
            <w:tcW w:w="0" w:type="auto"/>
          </w:tcPr>
          <w:p w14:paraId="06AA0A4C" w14:textId="77777777" w:rsidR="00B5133A" w:rsidRPr="00226F9D" w:rsidRDefault="00B5133A"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2029</w:t>
            </w:r>
          </w:p>
        </w:tc>
        <w:tc>
          <w:tcPr>
            <w:tcW w:w="0" w:type="auto"/>
          </w:tcPr>
          <w:p w14:paraId="4459BEC8" w14:textId="77777777" w:rsidR="00B5133A" w:rsidRPr="00226F9D" w:rsidRDefault="00B5133A"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2030</w:t>
            </w:r>
          </w:p>
        </w:tc>
        <w:tc>
          <w:tcPr>
            <w:tcW w:w="0" w:type="auto"/>
          </w:tcPr>
          <w:p w14:paraId="41F8C8D6" w14:textId="77777777" w:rsidR="00B5133A" w:rsidRPr="00226F9D" w:rsidRDefault="00B5133A" w:rsidP="005B1172">
            <w:pPr>
              <w:jc w:val="center"/>
              <w:rPr>
                <w:rFonts w:ascii="Times New Roman" w:hAnsi="Times New Roman" w:cs="Times New Roman"/>
                <w:b/>
                <w:sz w:val="20"/>
                <w:szCs w:val="20"/>
              </w:rPr>
            </w:pPr>
            <w:r w:rsidRPr="00226F9D">
              <w:rPr>
                <w:rFonts w:ascii="Times New Roman" w:hAnsi="Times New Roman" w:cs="Times New Roman"/>
                <w:b/>
                <w:sz w:val="20"/>
                <w:szCs w:val="20"/>
              </w:rPr>
              <w:t>УКУПНО</w:t>
            </w:r>
          </w:p>
        </w:tc>
      </w:tr>
      <w:tr w:rsidR="000C2FEA" w:rsidRPr="00226F9D" w14:paraId="5AD0A2DE" w14:textId="77777777" w:rsidTr="00431C53">
        <w:tc>
          <w:tcPr>
            <w:tcW w:w="0" w:type="auto"/>
          </w:tcPr>
          <w:p w14:paraId="5450D870" w14:textId="77777777" w:rsidR="00B5133A" w:rsidRPr="00226F9D" w:rsidRDefault="00B5133A" w:rsidP="005B1172">
            <w:pPr>
              <w:rPr>
                <w:rFonts w:ascii="Times New Roman" w:hAnsi="Times New Roman" w:cs="Times New Roman"/>
                <w:sz w:val="20"/>
                <w:szCs w:val="20"/>
              </w:rPr>
            </w:pPr>
            <w:r w:rsidRPr="00226F9D">
              <w:rPr>
                <w:rFonts w:ascii="Times New Roman" w:hAnsi="Times New Roman" w:cs="Times New Roman"/>
                <w:sz w:val="20"/>
                <w:szCs w:val="20"/>
              </w:rPr>
              <w:t xml:space="preserve">Посебни циљ 1: Унапређење положаја и одговорности локалне самоуправе </w:t>
            </w:r>
          </w:p>
        </w:tc>
        <w:tc>
          <w:tcPr>
            <w:tcW w:w="0" w:type="auto"/>
          </w:tcPr>
          <w:p w14:paraId="3C8C33B4"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128.900,00</w:t>
            </w:r>
          </w:p>
        </w:tc>
        <w:tc>
          <w:tcPr>
            <w:tcW w:w="0" w:type="auto"/>
          </w:tcPr>
          <w:p w14:paraId="69A861A5"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120.466,96</w:t>
            </w:r>
          </w:p>
        </w:tc>
        <w:tc>
          <w:tcPr>
            <w:tcW w:w="0" w:type="auto"/>
          </w:tcPr>
          <w:p w14:paraId="7BB6EE4D"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49.970,88</w:t>
            </w:r>
          </w:p>
        </w:tc>
        <w:tc>
          <w:tcPr>
            <w:tcW w:w="0" w:type="auto"/>
          </w:tcPr>
          <w:p w14:paraId="33E0E760"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35.597,88</w:t>
            </w:r>
          </w:p>
        </w:tc>
        <w:tc>
          <w:tcPr>
            <w:tcW w:w="0" w:type="auto"/>
          </w:tcPr>
          <w:p w14:paraId="56191AD3"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21.204,88</w:t>
            </w:r>
          </w:p>
        </w:tc>
        <w:tc>
          <w:tcPr>
            <w:tcW w:w="0" w:type="auto"/>
          </w:tcPr>
          <w:p w14:paraId="1C26FF66" w14:textId="77777777" w:rsidR="00B5133A" w:rsidRPr="00226F9D" w:rsidRDefault="00B5133A" w:rsidP="005B1172">
            <w:pPr>
              <w:jc w:val="center"/>
              <w:rPr>
                <w:rFonts w:ascii="Times New Roman" w:hAnsi="Times New Roman" w:cs="Times New Roman"/>
                <w:b/>
                <w:sz w:val="20"/>
                <w:szCs w:val="20"/>
                <w:lang w:val="sl-SI"/>
              </w:rPr>
            </w:pPr>
            <w:r w:rsidRPr="00226F9D">
              <w:rPr>
                <w:rFonts w:ascii="Times New Roman" w:hAnsi="Times New Roman" w:cs="Times New Roman"/>
                <w:b/>
                <w:sz w:val="20"/>
                <w:szCs w:val="20"/>
              </w:rPr>
              <w:t>356.140,60</w:t>
            </w:r>
          </w:p>
        </w:tc>
      </w:tr>
      <w:tr w:rsidR="000C2FEA" w:rsidRPr="00226F9D" w14:paraId="08583520" w14:textId="77777777" w:rsidTr="00431C53">
        <w:tc>
          <w:tcPr>
            <w:tcW w:w="0" w:type="auto"/>
          </w:tcPr>
          <w:p w14:paraId="4441174C" w14:textId="77777777" w:rsidR="00B5133A" w:rsidRPr="00226F9D" w:rsidRDefault="00B5133A" w:rsidP="005B1172">
            <w:pPr>
              <w:rPr>
                <w:rFonts w:ascii="Times New Roman" w:hAnsi="Times New Roman" w:cs="Times New Roman"/>
                <w:sz w:val="20"/>
                <w:szCs w:val="20"/>
              </w:rPr>
            </w:pPr>
            <w:r w:rsidRPr="00226F9D">
              <w:rPr>
                <w:rFonts w:ascii="Times New Roman" w:hAnsi="Times New Roman" w:cs="Times New Roman"/>
                <w:sz w:val="20"/>
                <w:szCs w:val="20"/>
              </w:rPr>
              <w:t xml:space="preserve">Посебни циљ 2: Унапређење система финансирања локалне самоуправе </w:t>
            </w:r>
          </w:p>
        </w:tc>
        <w:tc>
          <w:tcPr>
            <w:tcW w:w="0" w:type="auto"/>
          </w:tcPr>
          <w:p w14:paraId="1027A8A3"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3.990,00</w:t>
            </w:r>
          </w:p>
        </w:tc>
        <w:tc>
          <w:tcPr>
            <w:tcW w:w="0" w:type="auto"/>
          </w:tcPr>
          <w:p w14:paraId="5C7D2983"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2.520,00</w:t>
            </w:r>
          </w:p>
        </w:tc>
        <w:tc>
          <w:tcPr>
            <w:tcW w:w="0" w:type="auto"/>
          </w:tcPr>
          <w:p w14:paraId="48AE7E8D"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4.220,00</w:t>
            </w:r>
          </w:p>
        </w:tc>
        <w:tc>
          <w:tcPr>
            <w:tcW w:w="0" w:type="auto"/>
          </w:tcPr>
          <w:p w14:paraId="6939B9A4"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1.495,00</w:t>
            </w:r>
          </w:p>
        </w:tc>
        <w:tc>
          <w:tcPr>
            <w:tcW w:w="0" w:type="auto"/>
          </w:tcPr>
          <w:p w14:paraId="6693C149"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1.845,00</w:t>
            </w:r>
          </w:p>
        </w:tc>
        <w:tc>
          <w:tcPr>
            <w:tcW w:w="0" w:type="auto"/>
          </w:tcPr>
          <w:p w14:paraId="4D6AFF43" w14:textId="77777777" w:rsidR="00B5133A" w:rsidRPr="00226F9D" w:rsidRDefault="00B5133A" w:rsidP="005B1172">
            <w:pPr>
              <w:jc w:val="center"/>
              <w:rPr>
                <w:rFonts w:ascii="Times New Roman" w:hAnsi="Times New Roman" w:cs="Times New Roman"/>
                <w:b/>
                <w:sz w:val="20"/>
                <w:szCs w:val="20"/>
                <w:lang w:val="sl-SI"/>
              </w:rPr>
            </w:pPr>
            <w:r w:rsidRPr="00226F9D">
              <w:rPr>
                <w:rFonts w:ascii="Times New Roman" w:hAnsi="Times New Roman" w:cs="Times New Roman"/>
                <w:b/>
                <w:sz w:val="20"/>
                <w:szCs w:val="20"/>
              </w:rPr>
              <w:t>14.070,00</w:t>
            </w:r>
          </w:p>
        </w:tc>
      </w:tr>
      <w:tr w:rsidR="000C2FEA" w:rsidRPr="00226F9D" w14:paraId="2C8785F3" w14:textId="77777777" w:rsidTr="00431C53">
        <w:tc>
          <w:tcPr>
            <w:tcW w:w="0" w:type="auto"/>
          </w:tcPr>
          <w:p w14:paraId="5EF5133A" w14:textId="77777777" w:rsidR="00B5133A" w:rsidRPr="00226F9D" w:rsidRDefault="00B5133A" w:rsidP="005B1172">
            <w:pPr>
              <w:rPr>
                <w:rFonts w:ascii="Times New Roman" w:hAnsi="Times New Roman" w:cs="Times New Roman"/>
                <w:sz w:val="20"/>
                <w:szCs w:val="20"/>
              </w:rPr>
            </w:pPr>
            <w:r w:rsidRPr="00226F9D">
              <w:rPr>
                <w:rFonts w:ascii="Times New Roman" w:hAnsi="Times New Roman" w:cs="Times New Roman"/>
                <w:sz w:val="20"/>
                <w:szCs w:val="20"/>
              </w:rPr>
              <w:t>Посебни циљ 3: Унапређена организација и капацитети локалне управе   </w:t>
            </w:r>
          </w:p>
        </w:tc>
        <w:tc>
          <w:tcPr>
            <w:tcW w:w="0" w:type="auto"/>
          </w:tcPr>
          <w:p w14:paraId="7AEF9114"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49.168,00</w:t>
            </w:r>
          </w:p>
        </w:tc>
        <w:tc>
          <w:tcPr>
            <w:tcW w:w="0" w:type="auto"/>
          </w:tcPr>
          <w:p w14:paraId="539D9384"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69.879,40</w:t>
            </w:r>
          </w:p>
        </w:tc>
        <w:tc>
          <w:tcPr>
            <w:tcW w:w="0" w:type="auto"/>
          </w:tcPr>
          <w:p w14:paraId="5F31147B"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29.543,10</w:t>
            </w:r>
          </w:p>
        </w:tc>
        <w:tc>
          <w:tcPr>
            <w:tcW w:w="0" w:type="auto"/>
          </w:tcPr>
          <w:p w14:paraId="78EB913D"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1.800,00</w:t>
            </w:r>
          </w:p>
        </w:tc>
        <w:tc>
          <w:tcPr>
            <w:tcW w:w="0" w:type="auto"/>
          </w:tcPr>
          <w:p w14:paraId="002FDA35"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3.500,00</w:t>
            </w:r>
          </w:p>
        </w:tc>
        <w:tc>
          <w:tcPr>
            <w:tcW w:w="0" w:type="auto"/>
          </w:tcPr>
          <w:p w14:paraId="46D2DF45" w14:textId="77777777" w:rsidR="00B5133A" w:rsidRPr="00226F9D" w:rsidRDefault="00B5133A" w:rsidP="005B1172">
            <w:pPr>
              <w:jc w:val="center"/>
              <w:rPr>
                <w:rFonts w:ascii="Times New Roman" w:hAnsi="Times New Roman" w:cs="Times New Roman"/>
                <w:b/>
                <w:sz w:val="20"/>
                <w:szCs w:val="20"/>
                <w:lang w:val="sl-SI"/>
              </w:rPr>
            </w:pPr>
            <w:r w:rsidRPr="00226F9D">
              <w:rPr>
                <w:rFonts w:ascii="Times New Roman" w:hAnsi="Times New Roman" w:cs="Times New Roman"/>
                <w:b/>
                <w:sz w:val="20"/>
                <w:szCs w:val="20"/>
              </w:rPr>
              <w:t>153.890,50</w:t>
            </w:r>
          </w:p>
        </w:tc>
      </w:tr>
      <w:tr w:rsidR="000C2FEA" w:rsidRPr="00226F9D" w14:paraId="48C37738" w14:textId="77777777" w:rsidTr="00431C53">
        <w:tc>
          <w:tcPr>
            <w:tcW w:w="0" w:type="auto"/>
          </w:tcPr>
          <w:p w14:paraId="11C76A9F" w14:textId="77777777" w:rsidR="00B5133A" w:rsidRPr="00226F9D" w:rsidRDefault="00B5133A" w:rsidP="005B1172">
            <w:pPr>
              <w:rPr>
                <w:rFonts w:ascii="Times New Roman" w:hAnsi="Times New Roman" w:cs="Times New Roman"/>
                <w:sz w:val="20"/>
                <w:szCs w:val="20"/>
              </w:rPr>
            </w:pPr>
            <w:r w:rsidRPr="00226F9D">
              <w:rPr>
                <w:rFonts w:ascii="Times New Roman" w:hAnsi="Times New Roman" w:cs="Times New Roman"/>
                <w:sz w:val="20"/>
                <w:szCs w:val="20"/>
              </w:rPr>
              <w:t>Посебни циљ</w:t>
            </w:r>
            <w:r w:rsidRPr="00226F9D">
              <w:rPr>
                <w:rFonts w:ascii="Times New Roman" w:hAnsi="Times New Roman" w:cs="Times New Roman"/>
                <w:sz w:val="20"/>
                <w:szCs w:val="20"/>
                <w:lang w:val="ru-RU"/>
              </w:rPr>
              <w:t xml:space="preserve"> 4: </w:t>
            </w:r>
            <w:r w:rsidRPr="00226F9D">
              <w:rPr>
                <w:rFonts w:ascii="Times New Roman" w:hAnsi="Times New Roman" w:cs="Times New Roman"/>
                <w:sz w:val="20"/>
                <w:szCs w:val="20"/>
              </w:rPr>
              <w:t xml:space="preserve">Унапређење квалитета и доступности услуга локалних органа управе, комуналних услуга и услуга јавних установа </w:t>
            </w:r>
          </w:p>
        </w:tc>
        <w:tc>
          <w:tcPr>
            <w:tcW w:w="0" w:type="auto"/>
          </w:tcPr>
          <w:p w14:paraId="2A52238A"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75.770,00</w:t>
            </w:r>
          </w:p>
        </w:tc>
        <w:tc>
          <w:tcPr>
            <w:tcW w:w="0" w:type="auto"/>
          </w:tcPr>
          <w:p w14:paraId="2C2A2D71"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24.556,00</w:t>
            </w:r>
          </w:p>
        </w:tc>
        <w:tc>
          <w:tcPr>
            <w:tcW w:w="0" w:type="auto"/>
          </w:tcPr>
          <w:p w14:paraId="691E0664"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55.918,00</w:t>
            </w:r>
          </w:p>
        </w:tc>
        <w:tc>
          <w:tcPr>
            <w:tcW w:w="0" w:type="auto"/>
          </w:tcPr>
          <w:p w14:paraId="3FE808F6"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51.963,00</w:t>
            </w:r>
          </w:p>
        </w:tc>
        <w:tc>
          <w:tcPr>
            <w:tcW w:w="0" w:type="auto"/>
          </w:tcPr>
          <w:p w14:paraId="43ACAF04" w14:textId="77777777" w:rsidR="00B5133A" w:rsidRPr="00226F9D" w:rsidRDefault="00B5133A"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21.000,00</w:t>
            </w:r>
          </w:p>
        </w:tc>
        <w:tc>
          <w:tcPr>
            <w:tcW w:w="0" w:type="auto"/>
          </w:tcPr>
          <w:p w14:paraId="52C30AA3" w14:textId="77777777" w:rsidR="00B5133A" w:rsidRPr="00226F9D" w:rsidRDefault="00B5133A" w:rsidP="005B1172">
            <w:pPr>
              <w:jc w:val="center"/>
              <w:rPr>
                <w:rFonts w:ascii="Times New Roman" w:hAnsi="Times New Roman" w:cs="Times New Roman"/>
                <w:b/>
                <w:sz w:val="20"/>
                <w:szCs w:val="20"/>
                <w:lang w:val="sl-SI"/>
              </w:rPr>
            </w:pPr>
            <w:r w:rsidRPr="00226F9D">
              <w:rPr>
                <w:rFonts w:ascii="Times New Roman" w:hAnsi="Times New Roman" w:cs="Times New Roman"/>
                <w:b/>
                <w:sz w:val="20"/>
                <w:szCs w:val="20"/>
              </w:rPr>
              <w:t>229.207,00</w:t>
            </w:r>
          </w:p>
        </w:tc>
      </w:tr>
      <w:tr w:rsidR="000C2FEA" w:rsidRPr="00226F9D" w14:paraId="779F8EA5" w14:textId="77777777" w:rsidTr="00431C53">
        <w:tc>
          <w:tcPr>
            <w:tcW w:w="0" w:type="auto"/>
          </w:tcPr>
          <w:p w14:paraId="7182DA6B" w14:textId="77777777" w:rsidR="00B5133A" w:rsidRPr="00226F9D" w:rsidRDefault="00B5133A" w:rsidP="005B1172">
            <w:pPr>
              <w:jc w:val="right"/>
              <w:rPr>
                <w:rFonts w:ascii="Times New Roman" w:hAnsi="Times New Roman" w:cs="Times New Roman"/>
                <w:b/>
                <w:sz w:val="20"/>
                <w:szCs w:val="20"/>
              </w:rPr>
            </w:pPr>
            <w:r w:rsidRPr="00226F9D">
              <w:rPr>
                <w:rFonts w:ascii="Times New Roman" w:hAnsi="Times New Roman" w:cs="Times New Roman"/>
                <w:b/>
                <w:sz w:val="20"/>
                <w:szCs w:val="20"/>
              </w:rPr>
              <w:t>УКУПНО:</w:t>
            </w:r>
          </w:p>
        </w:tc>
        <w:tc>
          <w:tcPr>
            <w:tcW w:w="0" w:type="auto"/>
          </w:tcPr>
          <w:p w14:paraId="44021ED3" w14:textId="77777777" w:rsidR="00B5133A" w:rsidRPr="00226F9D" w:rsidRDefault="00B5133A" w:rsidP="005B1172">
            <w:pPr>
              <w:jc w:val="center"/>
              <w:rPr>
                <w:rFonts w:ascii="Times New Roman" w:hAnsi="Times New Roman" w:cs="Times New Roman"/>
                <w:b/>
                <w:sz w:val="20"/>
                <w:szCs w:val="20"/>
                <w:lang w:val="sl-SI"/>
              </w:rPr>
            </w:pPr>
            <w:r w:rsidRPr="00226F9D">
              <w:rPr>
                <w:rFonts w:ascii="Times New Roman" w:hAnsi="Times New Roman" w:cs="Times New Roman"/>
                <w:b/>
                <w:sz w:val="20"/>
                <w:szCs w:val="20"/>
              </w:rPr>
              <w:t>257.828,00</w:t>
            </w:r>
          </w:p>
        </w:tc>
        <w:tc>
          <w:tcPr>
            <w:tcW w:w="0" w:type="auto"/>
          </w:tcPr>
          <w:p w14:paraId="20656A7B" w14:textId="77777777" w:rsidR="00B5133A" w:rsidRPr="00226F9D" w:rsidRDefault="00B5133A" w:rsidP="005B1172">
            <w:pPr>
              <w:jc w:val="center"/>
              <w:rPr>
                <w:rFonts w:ascii="Times New Roman" w:hAnsi="Times New Roman" w:cs="Times New Roman"/>
                <w:b/>
                <w:sz w:val="20"/>
                <w:szCs w:val="20"/>
                <w:lang w:val="sl-SI"/>
              </w:rPr>
            </w:pPr>
            <w:r w:rsidRPr="00226F9D">
              <w:rPr>
                <w:rFonts w:ascii="Times New Roman" w:hAnsi="Times New Roman" w:cs="Times New Roman"/>
                <w:b/>
                <w:sz w:val="20"/>
                <w:szCs w:val="20"/>
              </w:rPr>
              <w:t>217.422,36</w:t>
            </w:r>
          </w:p>
        </w:tc>
        <w:tc>
          <w:tcPr>
            <w:tcW w:w="0" w:type="auto"/>
          </w:tcPr>
          <w:p w14:paraId="6DB2C4C0" w14:textId="77777777" w:rsidR="00B5133A" w:rsidRPr="00226F9D" w:rsidRDefault="00B5133A" w:rsidP="005B1172">
            <w:pPr>
              <w:jc w:val="center"/>
              <w:rPr>
                <w:rFonts w:ascii="Times New Roman" w:hAnsi="Times New Roman" w:cs="Times New Roman"/>
                <w:b/>
                <w:sz w:val="20"/>
                <w:szCs w:val="20"/>
                <w:lang w:val="sl-SI"/>
              </w:rPr>
            </w:pPr>
            <w:r w:rsidRPr="00226F9D">
              <w:rPr>
                <w:rFonts w:ascii="Times New Roman" w:hAnsi="Times New Roman" w:cs="Times New Roman"/>
                <w:b/>
                <w:sz w:val="20"/>
                <w:szCs w:val="20"/>
              </w:rPr>
              <w:t>139.651,98</w:t>
            </w:r>
          </w:p>
        </w:tc>
        <w:tc>
          <w:tcPr>
            <w:tcW w:w="0" w:type="auto"/>
          </w:tcPr>
          <w:p w14:paraId="7E32F24E" w14:textId="77777777" w:rsidR="00B5133A" w:rsidRPr="00226F9D" w:rsidRDefault="00B5133A" w:rsidP="005B1172">
            <w:pPr>
              <w:jc w:val="center"/>
              <w:rPr>
                <w:rFonts w:ascii="Times New Roman" w:hAnsi="Times New Roman" w:cs="Times New Roman"/>
                <w:b/>
                <w:sz w:val="20"/>
                <w:szCs w:val="20"/>
                <w:lang w:val="sl-SI"/>
              </w:rPr>
            </w:pPr>
            <w:r w:rsidRPr="00226F9D">
              <w:rPr>
                <w:rFonts w:ascii="Times New Roman" w:hAnsi="Times New Roman" w:cs="Times New Roman"/>
                <w:b/>
                <w:sz w:val="20"/>
                <w:szCs w:val="20"/>
              </w:rPr>
              <w:t>90.855,88</w:t>
            </w:r>
          </w:p>
        </w:tc>
        <w:tc>
          <w:tcPr>
            <w:tcW w:w="0" w:type="auto"/>
          </w:tcPr>
          <w:p w14:paraId="0386A495" w14:textId="77777777" w:rsidR="00B5133A" w:rsidRPr="00226F9D" w:rsidRDefault="00B5133A" w:rsidP="005B1172">
            <w:pPr>
              <w:jc w:val="center"/>
              <w:rPr>
                <w:rFonts w:ascii="Times New Roman" w:hAnsi="Times New Roman" w:cs="Times New Roman"/>
                <w:b/>
                <w:sz w:val="20"/>
                <w:szCs w:val="20"/>
                <w:lang w:val="sl-SI"/>
              </w:rPr>
            </w:pPr>
            <w:r w:rsidRPr="00226F9D">
              <w:rPr>
                <w:rFonts w:ascii="Times New Roman" w:hAnsi="Times New Roman" w:cs="Times New Roman"/>
                <w:b/>
                <w:sz w:val="20"/>
                <w:szCs w:val="20"/>
              </w:rPr>
              <w:t>47.549,88</w:t>
            </w:r>
          </w:p>
        </w:tc>
        <w:tc>
          <w:tcPr>
            <w:tcW w:w="0" w:type="auto"/>
          </w:tcPr>
          <w:p w14:paraId="5F64A08C" w14:textId="77777777" w:rsidR="00B5133A" w:rsidRPr="00226F9D" w:rsidRDefault="00B5133A" w:rsidP="005B1172">
            <w:pPr>
              <w:jc w:val="center"/>
              <w:rPr>
                <w:rFonts w:ascii="Times New Roman" w:hAnsi="Times New Roman" w:cs="Times New Roman"/>
                <w:b/>
                <w:sz w:val="20"/>
                <w:szCs w:val="20"/>
                <w:lang w:val="sl-SI"/>
              </w:rPr>
            </w:pPr>
            <w:r w:rsidRPr="00226F9D">
              <w:rPr>
                <w:rFonts w:ascii="Times New Roman" w:hAnsi="Times New Roman" w:cs="Times New Roman"/>
                <w:b/>
                <w:sz w:val="20"/>
                <w:szCs w:val="20"/>
              </w:rPr>
              <w:t>753.308,10</w:t>
            </w:r>
          </w:p>
        </w:tc>
      </w:tr>
    </w:tbl>
    <w:p w14:paraId="51F7B404" w14:textId="74170F05" w:rsidR="0012502E" w:rsidRPr="00226F9D" w:rsidRDefault="0012502E" w:rsidP="0012502E">
      <w:pPr>
        <w:keepNext/>
        <w:keepLines/>
        <w:numPr>
          <w:ilvl w:val="2"/>
          <w:numId w:val="0"/>
        </w:numPr>
        <w:spacing w:before="160" w:after="80" w:line="240" w:lineRule="auto"/>
        <w:ind w:left="720" w:hanging="720"/>
        <w:jc w:val="both"/>
        <w:outlineLvl w:val="2"/>
        <w:rPr>
          <w:rFonts w:ascii="Times New Roman" w:eastAsiaTheme="majorEastAsia" w:hAnsi="Times New Roman" w:cs="Times New Roman"/>
          <w:color w:val="0F4761" w:themeColor="accent1" w:themeShade="BF"/>
          <w:kern w:val="0"/>
          <w:sz w:val="28"/>
          <w:szCs w:val="28"/>
          <w:lang w:val="sr-Latn-RS"/>
          <w14:ligatures w14:val="none"/>
        </w:rPr>
      </w:pPr>
      <w:bookmarkStart w:id="51" w:name="_Toc222753929"/>
      <w:bookmarkStart w:id="52" w:name="_Toc208326894"/>
      <w:r w:rsidRPr="00226F9D">
        <w:rPr>
          <w:rFonts w:ascii="Times New Roman" w:eastAsiaTheme="majorEastAsia" w:hAnsi="Times New Roman" w:cs="Times New Roman"/>
          <w:color w:val="0F4761" w:themeColor="accent1" w:themeShade="BF"/>
          <w:kern w:val="0"/>
          <w:sz w:val="28"/>
          <w:szCs w:val="28"/>
          <w:lang w:val="sr-Cyrl-RS"/>
          <w14:ligatures w14:val="none"/>
        </w:rPr>
        <w:t>Процењена</w:t>
      </w:r>
      <w:r w:rsidRPr="00226F9D">
        <w:rPr>
          <w:rFonts w:ascii="Times New Roman" w:eastAsiaTheme="majorEastAsia" w:hAnsi="Times New Roman" w:cs="Times New Roman"/>
          <w:color w:val="0F4761" w:themeColor="accent1" w:themeShade="BF"/>
          <w:kern w:val="0"/>
          <w:sz w:val="28"/>
          <w:szCs w:val="28"/>
          <w:lang w:val="ru-RU"/>
          <w14:ligatures w14:val="none"/>
        </w:rPr>
        <w:t xml:space="preserve"> </w:t>
      </w:r>
      <w:r w:rsidRPr="00226F9D">
        <w:rPr>
          <w:rFonts w:ascii="Times New Roman" w:eastAsiaTheme="majorEastAsia" w:hAnsi="Times New Roman" w:cs="Times New Roman"/>
          <w:color w:val="0F4761" w:themeColor="accent1" w:themeShade="BF"/>
          <w:kern w:val="0"/>
          <w:sz w:val="28"/>
          <w:szCs w:val="28"/>
          <w:lang w:val="sr-Cyrl-RS"/>
          <w14:ligatures w14:val="none"/>
        </w:rPr>
        <w:t>укупна средства по планираним мерама и годинама</w:t>
      </w:r>
      <w:bookmarkEnd w:id="51"/>
    </w:p>
    <w:p w14:paraId="0A8A0BA7" w14:textId="77777777" w:rsidR="001D377B" w:rsidRPr="00226F9D" w:rsidRDefault="001D377B" w:rsidP="0012502E">
      <w:pPr>
        <w:spacing w:after="60" w:line="240" w:lineRule="auto"/>
        <w:jc w:val="both"/>
        <w:rPr>
          <w:rFonts w:ascii="Times New Roman" w:eastAsia="Calibri" w:hAnsi="Times New Roman" w:cs="Times New Roman"/>
          <w:color w:val="000000"/>
          <w:kern w:val="0"/>
          <w:lang w:val="sr-Latn-RS"/>
          <w14:ligatures w14:val="none"/>
        </w:rPr>
      </w:pPr>
    </w:p>
    <w:p w14:paraId="26C1DE30" w14:textId="6CEDCC06" w:rsidR="0012502E" w:rsidRPr="00226F9D" w:rsidRDefault="0012502E" w:rsidP="0012502E">
      <w:pPr>
        <w:spacing w:after="60" w:line="240" w:lineRule="auto"/>
        <w:jc w:val="both"/>
        <w:rPr>
          <w:rFonts w:ascii="Times New Roman" w:eastAsia="Calibri" w:hAnsi="Times New Roman" w:cs="Times New Roman"/>
          <w:color w:val="000000"/>
          <w:kern w:val="0"/>
          <w:lang w:val="sr-Latn-RS"/>
          <w14:ligatures w14:val="none"/>
        </w:rPr>
      </w:pPr>
      <w:r w:rsidRPr="00226F9D">
        <w:rPr>
          <w:rFonts w:ascii="Times New Roman" w:eastAsia="Calibri" w:hAnsi="Times New Roman" w:cs="Times New Roman"/>
          <w:color w:val="000000"/>
          <w:kern w:val="0"/>
          <w:lang w:val="sr-Cyrl-RS"/>
          <w14:ligatures w14:val="none"/>
        </w:rPr>
        <w:t>Процењене вредности исказане су у хиљадама динара.</w:t>
      </w:r>
    </w:p>
    <w:p w14:paraId="55896645" w14:textId="77777777" w:rsidR="001D377B" w:rsidRPr="00226F9D" w:rsidRDefault="001D377B" w:rsidP="0012502E">
      <w:pPr>
        <w:spacing w:after="60" w:line="240" w:lineRule="auto"/>
        <w:jc w:val="both"/>
        <w:rPr>
          <w:rFonts w:ascii="Times New Roman" w:eastAsia="Calibri" w:hAnsi="Times New Roman" w:cs="Times New Roman"/>
          <w:color w:val="000000"/>
          <w:kern w:val="0"/>
          <w:lang w:val="sr-Latn-RS"/>
          <w14:ligatures w14:val="none"/>
        </w:rPr>
      </w:pPr>
    </w:p>
    <w:p w14:paraId="76759E04" w14:textId="77777777" w:rsidR="0012502E" w:rsidRPr="00226F9D" w:rsidRDefault="0012502E" w:rsidP="0012502E">
      <w:pPr>
        <w:spacing w:after="60" w:line="240" w:lineRule="auto"/>
        <w:jc w:val="both"/>
        <w:rPr>
          <w:rFonts w:ascii="Times New Roman" w:eastAsia="Arial" w:hAnsi="Times New Roman" w:cs="Times New Roman"/>
          <w:i/>
          <w:color w:val="0E2841" w:themeColor="text2"/>
          <w:kern w:val="0"/>
          <w:lang w:val="sr-Latn-RS"/>
          <w14:ligatures w14:val="none"/>
        </w:rPr>
      </w:pPr>
      <w:r w:rsidRPr="00226F9D">
        <w:rPr>
          <w:rFonts w:ascii="Times New Roman" w:eastAsia="Arial" w:hAnsi="Times New Roman" w:cs="Times New Roman"/>
          <w:b/>
          <w:i/>
          <w:color w:val="0E2841" w:themeColor="text2"/>
          <w:kern w:val="0"/>
          <w:lang w:val="sr-Cyrl-RS"/>
          <w14:ligatures w14:val="none"/>
        </w:rPr>
        <w:t>Табела 2.</w:t>
      </w:r>
      <w:r w:rsidRPr="00226F9D">
        <w:rPr>
          <w:rFonts w:ascii="Times New Roman" w:eastAsia="Arial" w:hAnsi="Times New Roman" w:cs="Times New Roman"/>
          <w:i/>
          <w:color w:val="0E2841" w:themeColor="text2"/>
          <w:kern w:val="0"/>
          <w:lang w:val="sr-Cyrl-RS"/>
          <w14:ligatures w14:val="none"/>
        </w:rPr>
        <w:t xml:space="preserve"> Приказ планираних потребних финансијских средстава по планираним мерама</w:t>
      </w:r>
    </w:p>
    <w:p w14:paraId="49506AAD" w14:textId="77777777" w:rsidR="001D377B" w:rsidRPr="00226F9D" w:rsidRDefault="001D377B" w:rsidP="0012502E">
      <w:pPr>
        <w:spacing w:after="60" w:line="240" w:lineRule="auto"/>
        <w:jc w:val="both"/>
        <w:rPr>
          <w:rFonts w:ascii="Times New Roman" w:eastAsia="Arial" w:hAnsi="Times New Roman" w:cs="Times New Roman"/>
          <w:i/>
          <w:iCs/>
          <w:color w:val="000000" w:themeColor="text1"/>
          <w:kern w:val="0"/>
          <w:lang w:val="sr-Latn-RS"/>
          <w14:ligatures w14:val="none"/>
        </w:rPr>
      </w:pPr>
    </w:p>
    <w:tbl>
      <w:tblPr>
        <w:tblW w:w="9970" w:type="dxa"/>
        <w:tblLook w:val="04A0" w:firstRow="1" w:lastRow="0" w:firstColumn="1" w:lastColumn="0" w:noHBand="0" w:noVBand="1"/>
      </w:tblPr>
      <w:tblGrid>
        <w:gridCol w:w="3020"/>
        <w:gridCol w:w="1116"/>
        <w:gridCol w:w="1116"/>
        <w:gridCol w:w="1016"/>
        <w:gridCol w:w="1016"/>
        <w:gridCol w:w="1016"/>
        <w:gridCol w:w="1434"/>
        <w:gridCol w:w="236"/>
      </w:tblGrid>
      <w:tr w:rsidR="00BC794C" w:rsidRPr="00226F9D" w14:paraId="14AF7E9D" w14:textId="77777777" w:rsidTr="005B1172">
        <w:trPr>
          <w:gridAfter w:val="1"/>
          <w:wAfter w:w="236" w:type="dxa"/>
          <w:trHeight w:val="300"/>
        </w:trPr>
        <w:tc>
          <w:tcPr>
            <w:tcW w:w="9734" w:type="dxa"/>
            <w:gridSpan w:val="7"/>
            <w:tcBorders>
              <w:top w:val="single" w:sz="4" w:space="0" w:color="auto"/>
              <w:left w:val="single" w:sz="4" w:space="0" w:color="auto"/>
              <w:bottom w:val="single" w:sz="4" w:space="0" w:color="auto"/>
              <w:right w:val="single" w:sz="4" w:space="0" w:color="auto"/>
            </w:tcBorders>
            <w:vAlign w:val="center"/>
            <w:hideMark/>
          </w:tcPr>
          <w:p w14:paraId="702348DF" w14:textId="77777777" w:rsidR="00BC794C" w:rsidRPr="00226F9D" w:rsidRDefault="00BC794C" w:rsidP="00BC794C">
            <w:pPr>
              <w:spacing w:after="0" w:line="240" w:lineRule="auto"/>
              <w:jc w:val="center"/>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kern w:val="0"/>
                <w:sz w:val="20"/>
                <w:szCs w:val="20"/>
                <w:lang w:val="sr-Cyrl-RS"/>
                <w14:ligatures w14:val="none"/>
              </w:rPr>
              <w:t>Посебни циљ 1: Унапређење положаја и одговорности локалне самоуправе</w:t>
            </w:r>
          </w:p>
        </w:tc>
      </w:tr>
      <w:tr w:rsidR="00BC794C" w:rsidRPr="00226F9D" w14:paraId="676EEDD8" w14:textId="77777777" w:rsidTr="005B1172">
        <w:trPr>
          <w:gridAfter w:val="1"/>
          <w:wAfter w:w="236" w:type="dxa"/>
          <w:trHeight w:val="499"/>
        </w:trPr>
        <w:tc>
          <w:tcPr>
            <w:tcW w:w="0" w:type="auto"/>
            <w:vMerge w:val="restart"/>
            <w:tcBorders>
              <w:top w:val="nil"/>
              <w:left w:val="single" w:sz="4" w:space="0" w:color="auto"/>
              <w:bottom w:val="single" w:sz="4" w:space="0" w:color="auto"/>
              <w:right w:val="single" w:sz="4" w:space="0" w:color="auto"/>
            </w:tcBorders>
            <w:shd w:val="clear" w:color="000000" w:fill="F2F2F2"/>
            <w:vAlign w:val="center"/>
            <w:hideMark/>
          </w:tcPr>
          <w:p w14:paraId="2B9905C2" w14:textId="77777777" w:rsidR="00BC794C" w:rsidRPr="00226F9D" w:rsidRDefault="00BC794C" w:rsidP="00BC794C">
            <w:pPr>
              <w:spacing w:after="0" w:line="240" w:lineRule="auto"/>
              <w:jc w:val="right"/>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У хиљадама динара</w:t>
            </w:r>
          </w:p>
        </w:tc>
        <w:tc>
          <w:tcPr>
            <w:tcW w:w="0" w:type="auto"/>
            <w:vMerge w:val="restart"/>
            <w:tcBorders>
              <w:top w:val="nil"/>
              <w:left w:val="single" w:sz="4" w:space="0" w:color="auto"/>
              <w:bottom w:val="single" w:sz="4" w:space="0" w:color="auto"/>
              <w:right w:val="single" w:sz="4" w:space="0" w:color="auto"/>
            </w:tcBorders>
            <w:noWrap/>
            <w:vAlign w:val="center"/>
            <w:hideMark/>
          </w:tcPr>
          <w:p w14:paraId="287EAA36"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2026</w:t>
            </w:r>
          </w:p>
        </w:tc>
        <w:tc>
          <w:tcPr>
            <w:tcW w:w="0" w:type="auto"/>
            <w:vMerge w:val="restart"/>
            <w:tcBorders>
              <w:top w:val="nil"/>
              <w:left w:val="single" w:sz="4" w:space="0" w:color="auto"/>
              <w:bottom w:val="single" w:sz="4" w:space="0" w:color="auto"/>
              <w:right w:val="single" w:sz="4" w:space="0" w:color="auto"/>
            </w:tcBorders>
            <w:noWrap/>
            <w:vAlign w:val="center"/>
            <w:hideMark/>
          </w:tcPr>
          <w:p w14:paraId="1E549F14"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2027</w:t>
            </w:r>
          </w:p>
        </w:tc>
        <w:tc>
          <w:tcPr>
            <w:tcW w:w="0" w:type="auto"/>
            <w:vMerge w:val="restart"/>
            <w:tcBorders>
              <w:top w:val="nil"/>
              <w:left w:val="single" w:sz="4" w:space="0" w:color="auto"/>
              <w:bottom w:val="single" w:sz="4" w:space="0" w:color="auto"/>
              <w:right w:val="single" w:sz="4" w:space="0" w:color="auto"/>
            </w:tcBorders>
            <w:noWrap/>
            <w:vAlign w:val="center"/>
            <w:hideMark/>
          </w:tcPr>
          <w:p w14:paraId="2F67845B"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2028</w:t>
            </w:r>
          </w:p>
        </w:tc>
        <w:tc>
          <w:tcPr>
            <w:tcW w:w="0" w:type="auto"/>
            <w:vMerge w:val="restart"/>
            <w:tcBorders>
              <w:top w:val="nil"/>
              <w:left w:val="single" w:sz="4" w:space="0" w:color="auto"/>
              <w:bottom w:val="single" w:sz="4" w:space="0" w:color="auto"/>
              <w:right w:val="single" w:sz="4" w:space="0" w:color="auto"/>
            </w:tcBorders>
            <w:noWrap/>
            <w:vAlign w:val="center"/>
            <w:hideMark/>
          </w:tcPr>
          <w:p w14:paraId="314D527A"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2029</w:t>
            </w:r>
          </w:p>
        </w:tc>
        <w:tc>
          <w:tcPr>
            <w:tcW w:w="0" w:type="auto"/>
            <w:vMerge w:val="restart"/>
            <w:tcBorders>
              <w:top w:val="nil"/>
              <w:left w:val="single" w:sz="4" w:space="0" w:color="auto"/>
              <w:bottom w:val="single" w:sz="4" w:space="0" w:color="auto"/>
              <w:right w:val="single" w:sz="4" w:space="0" w:color="auto"/>
            </w:tcBorders>
            <w:noWrap/>
            <w:vAlign w:val="center"/>
            <w:hideMark/>
          </w:tcPr>
          <w:p w14:paraId="7E61EDBB"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2030</w:t>
            </w:r>
          </w:p>
        </w:tc>
        <w:tc>
          <w:tcPr>
            <w:tcW w:w="1434" w:type="dxa"/>
            <w:vMerge w:val="restart"/>
            <w:tcBorders>
              <w:top w:val="nil"/>
              <w:left w:val="single" w:sz="4" w:space="0" w:color="auto"/>
              <w:bottom w:val="single" w:sz="4" w:space="0" w:color="000000"/>
              <w:right w:val="single" w:sz="4" w:space="0" w:color="auto"/>
            </w:tcBorders>
            <w:noWrap/>
            <w:vAlign w:val="center"/>
            <w:hideMark/>
          </w:tcPr>
          <w:p w14:paraId="0DEA0FDB"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УКУПНО</w:t>
            </w:r>
          </w:p>
        </w:tc>
      </w:tr>
      <w:tr w:rsidR="00BC794C" w:rsidRPr="00226F9D" w14:paraId="35F1286A" w14:textId="77777777" w:rsidTr="005B1172">
        <w:trPr>
          <w:trHeight w:val="300"/>
        </w:trPr>
        <w:tc>
          <w:tcPr>
            <w:tcW w:w="0" w:type="auto"/>
            <w:vMerge/>
            <w:tcBorders>
              <w:top w:val="nil"/>
              <w:left w:val="single" w:sz="4" w:space="0" w:color="auto"/>
              <w:bottom w:val="single" w:sz="4" w:space="0" w:color="auto"/>
              <w:right w:val="single" w:sz="4" w:space="0" w:color="auto"/>
            </w:tcBorders>
            <w:vAlign w:val="center"/>
            <w:hideMark/>
          </w:tcPr>
          <w:p w14:paraId="25A75488"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F62AFD0"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7FF8034"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FE602DE"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608A611"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4D77C1F"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1434" w:type="dxa"/>
            <w:vMerge/>
            <w:tcBorders>
              <w:top w:val="nil"/>
              <w:left w:val="single" w:sz="4" w:space="0" w:color="auto"/>
              <w:bottom w:val="single" w:sz="4" w:space="0" w:color="000000"/>
              <w:right w:val="single" w:sz="4" w:space="0" w:color="auto"/>
            </w:tcBorders>
            <w:vAlign w:val="center"/>
            <w:hideMark/>
          </w:tcPr>
          <w:p w14:paraId="29C16F9B"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236" w:type="dxa"/>
            <w:tcBorders>
              <w:top w:val="nil"/>
              <w:left w:val="nil"/>
              <w:bottom w:val="nil"/>
              <w:right w:val="nil"/>
            </w:tcBorders>
            <w:noWrap/>
            <w:vAlign w:val="bottom"/>
            <w:hideMark/>
          </w:tcPr>
          <w:p w14:paraId="7CE34594" w14:textId="77777777" w:rsidR="00BC794C" w:rsidRPr="00226F9D" w:rsidRDefault="00BC794C" w:rsidP="00BC794C">
            <w:pPr>
              <w:spacing w:after="0" w:line="240" w:lineRule="auto"/>
              <w:jc w:val="center"/>
              <w:rPr>
                <w:rFonts w:ascii="Times New Roman" w:eastAsia="Times New Roman" w:hAnsi="Times New Roman" w:cs="Times New Roman"/>
                <w:b/>
                <w:bCs/>
                <w:color w:val="000000"/>
                <w:kern w:val="0"/>
                <w:sz w:val="20"/>
                <w:szCs w:val="20"/>
                <w:lang w:val="sr-Cyrl-RS"/>
                <w14:ligatures w14:val="none"/>
              </w:rPr>
            </w:pPr>
          </w:p>
        </w:tc>
      </w:tr>
      <w:tr w:rsidR="00BC794C" w:rsidRPr="00226F9D" w14:paraId="2ECF777C"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7FA848D7"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 xml:space="preserve">Мера 1.1: Реформа системског правног оквира за остваривање локалне самоуправе у Републици Србији </w:t>
            </w:r>
          </w:p>
        </w:tc>
        <w:tc>
          <w:tcPr>
            <w:tcW w:w="0" w:type="auto"/>
            <w:tcBorders>
              <w:top w:val="nil"/>
              <w:left w:val="nil"/>
              <w:bottom w:val="single" w:sz="4" w:space="0" w:color="auto"/>
              <w:right w:val="single" w:sz="4" w:space="0" w:color="auto"/>
            </w:tcBorders>
            <w:noWrap/>
            <w:hideMark/>
          </w:tcPr>
          <w:p w14:paraId="75FF543E"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2.690,00</w:t>
            </w:r>
          </w:p>
        </w:tc>
        <w:tc>
          <w:tcPr>
            <w:tcW w:w="0" w:type="auto"/>
            <w:tcBorders>
              <w:top w:val="nil"/>
              <w:left w:val="nil"/>
              <w:bottom w:val="single" w:sz="4" w:space="0" w:color="auto"/>
              <w:right w:val="single" w:sz="4" w:space="0" w:color="auto"/>
            </w:tcBorders>
            <w:noWrap/>
            <w:hideMark/>
          </w:tcPr>
          <w:p w14:paraId="5F4FBD57"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1.100,00</w:t>
            </w:r>
          </w:p>
        </w:tc>
        <w:tc>
          <w:tcPr>
            <w:tcW w:w="0" w:type="auto"/>
            <w:tcBorders>
              <w:top w:val="nil"/>
              <w:left w:val="nil"/>
              <w:bottom w:val="single" w:sz="4" w:space="0" w:color="auto"/>
              <w:right w:val="single" w:sz="4" w:space="0" w:color="auto"/>
            </w:tcBorders>
            <w:noWrap/>
            <w:hideMark/>
          </w:tcPr>
          <w:p w14:paraId="111FA553"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hideMark/>
          </w:tcPr>
          <w:p w14:paraId="06161827"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hideMark/>
          </w:tcPr>
          <w:p w14:paraId="18A95016"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1434" w:type="dxa"/>
            <w:tcBorders>
              <w:top w:val="nil"/>
              <w:left w:val="nil"/>
              <w:bottom w:val="single" w:sz="4" w:space="0" w:color="auto"/>
              <w:right w:val="single" w:sz="4" w:space="0" w:color="auto"/>
            </w:tcBorders>
            <w:noWrap/>
            <w:hideMark/>
          </w:tcPr>
          <w:p w14:paraId="32720D25"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3.790,00</w:t>
            </w:r>
          </w:p>
        </w:tc>
        <w:tc>
          <w:tcPr>
            <w:tcW w:w="236" w:type="dxa"/>
            <w:vAlign w:val="center"/>
            <w:hideMark/>
          </w:tcPr>
          <w:p w14:paraId="5C6F2446"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72C0DEDB" w14:textId="77777777" w:rsidTr="005B1172">
        <w:trPr>
          <w:trHeight w:val="765"/>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682792A8"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1.2: Унапређење капацитета локалне администрације за примену системског правног оквира за локалну самоуправу</w:t>
            </w:r>
          </w:p>
        </w:tc>
        <w:tc>
          <w:tcPr>
            <w:tcW w:w="0" w:type="auto"/>
            <w:tcBorders>
              <w:top w:val="nil"/>
              <w:left w:val="nil"/>
              <w:bottom w:val="single" w:sz="4" w:space="0" w:color="auto"/>
              <w:right w:val="single" w:sz="4" w:space="0" w:color="auto"/>
            </w:tcBorders>
            <w:noWrap/>
            <w:hideMark/>
          </w:tcPr>
          <w:p w14:paraId="5132233A"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850,00</w:t>
            </w:r>
          </w:p>
        </w:tc>
        <w:tc>
          <w:tcPr>
            <w:tcW w:w="0" w:type="auto"/>
            <w:tcBorders>
              <w:top w:val="nil"/>
              <w:left w:val="nil"/>
              <w:bottom w:val="single" w:sz="4" w:space="0" w:color="auto"/>
              <w:right w:val="single" w:sz="4" w:space="0" w:color="auto"/>
            </w:tcBorders>
            <w:noWrap/>
            <w:hideMark/>
          </w:tcPr>
          <w:p w14:paraId="0B7E4D01"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800,00</w:t>
            </w:r>
          </w:p>
        </w:tc>
        <w:tc>
          <w:tcPr>
            <w:tcW w:w="0" w:type="auto"/>
            <w:tcBorders>
              <w:top w:val="nil"/>
              <w:left w:val="nil"/>
              <w:bottom w:val="single" w:sz="4" w:space="0" w:color="auto"/>
              <w:right w:val="single" w:sz="4" w:space="0" w:color="auto"/>
            </w:tcBorders>
            <w:noWrap/>
            <w:hideMark/>
          </w:tcPr>
          <w:p w14:paraId="075CC62E"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2.790,00</w:t>
            </w:r>
          </w:p>
        </w:tc>
        <w:tc>
          <w:tcPr>
            <w:tcW w:w="0" w:type="auto"/>
            <w:tcBorders>
              <w:top w:val="nil"/>
              <w:left w:val="nil"/>
              <w:bottom w:val="single" w:sz="4" w:space="0" w:color="auto"/>
              <w:right w:val="single" w:sz="4" w:space="0" w:color="auto"/>
            </w:tcBorders>
            <w:noWrap/>
            <w:hideMark/>
          </w:tcPr>
          <w:p w14:paraId="0D2B89A3"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1.800,00</w:t>
            </w:r>
          </w:p>
        </w:tc>
        <w:tc>
          <w:tcPr>
            <w:tcW w:w="0" w:type="auto"/>
            <w:tcBorders>
              <w:top w:val="nil"/>
              <w:left w:val="nil"/>
              <w:bottom w:val="single" w:sz="4" w:space="0" w:color="auto"/>
              <w:right w:val="single" w:sz="4" w:space="0" w:color="auto"/>
            </w:tcBorders>
            <w:noWrap/>
            <w:hideMark/>
          </w:tcPr>
          <w:p w14:paraId="5A4BEB29"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500,00</w:t>
            </w:r>
          </w:p>
        </w:tc>
        <w:tc>
          <w:tcPr>
            <w:tcW w:w="1434" w:type="dxa"/>
            <w:tcBorders>
              <w:top w:val="nil"/>
              <w:left w:val="nil"/>
              <w:bottom w:val="single" w:sz="4" w:space="0" w:color="auto"/>
              <w:right w:val="single" w:sz="4" w:space="0" w:color="auto"/>
            </w:tcBorders>
            <w:noWrap/>
            <w:hideMark/>
          </w:tcPr>
          <w:p w14:paraId="2D895F89"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6.740,00</w:t>
            </w:r>
          </w:p>
        </w:tc>
        <w:tc>
          <w:tcPr>
            <w:tcW w:w="236" w:type="dxa"/>
            <w:vAlign w:val="center"/>
            <w:hideMark/>
          </w:tcPr>
          <w:p w14:paraId="0A22C3DE"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7500F34A"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6C327523"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1.3: Унапређење примене принципа доброг управљања у локалној самоуправи </w:t>
            </w:r>
          </w:p>
        </w:tc>
        <w:tc>
          <w:tcPr>
            <w:tcW w:w="0" w:type="auto"/>
            <w:tcBorders>
              <w:top w:val="nil"/>
              <w:left w:val="nil"/>
              <w:bottom w:val="single" w:sz="4" w:space="0" w:color="auto"/>
              <w:right w:val="single" w:sz="4" w:space="0" w:color="auto"/>
            </w:tcBorders>
            <w:noWrap/>
            <w:hideMark/>
          </w:tcPr>
          <w:p w14:paraId="66C4AA09" w14:textId="57C22189"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12</w:t>
            </w:r>
            <w:r w:rsidR="00B31D0B" w:rsidRPr="00226F9D">
              <w:rPr>
                <w:rFonts w:ascii="Times New Roman" w:eastAsia="Calibri" w:hAnsi="Times New Roman" w:cs="Times New Roman"/>
                <w:color w:val="000000"/>
                <w:kern w:val="0"/>
                <w:sz w:val="20"/>
                <w:szCs w:val="20"/>
                <w:lang w:val="en-GB"/>
                <w14:ligatures w14:val="none"/>
              </w:rPr>
              <w:t>5</w:t>
            </w:r>
            <w:r w:rsidRPr="00226F9D">
              <w:rPr>
                <w:rFonts w:ascii="Times New Roman" w:eastAsia="Calibri" w:hAnsi="Times New Roman" w:cs="Times New Roman"/>
                <w:color w:val="000000"/>
                <w:kern w:val="0"/>
                <w:sz w:val="20"/>
                <w:szCs w:val="20"/>
                <w:lang w:val="sr-Cyrl-RS"/>
                <w14:ligatures w14:val="none"/>
              </w:rPr>
              <w:t>.360,00</w:t>
            </w:r>
          </w:p>
        </w:tc>
        <w:tc>
          <w:tcPr>
            <w:tcW w:w="0" w:type="auto"/>
            <w:tcBorders>
              <w:top w:val="nil"/>
              <w:left w:val="nil"/>
              <w:bottom w:val="single" w:sz="4" w:space="0" w:color="auto"/>
              <w:right w:val="single" w:sz="4" w:space="0" w:color="auto"/>
            </w:tcBorders>
            <w:noWrap/>
            <w:hideMark/>
          </w:tcPr>
          <w:p w14:paraId="21BC11E2" w14:textId="519948EE"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11</w:t>
            </w:r>
            <w:r w:rsidR="00B31D0B" w:rsidRPr="00226F9D">
              <w:rPr>
                <w:rFonts w:ascii="Times New Roman" w:eastAsia="Calibri" w:hAnsi="Times New Roman" w:cs="Times New Roman"/>
                <w:color w:val="000000"/>
                <w:kern w:val="0"/>
                <w:sz w:val="20"/>
                <w:szCs w:val="20"/>
                <w:lang w:val="en-GB"/>
                <w14:ligatures w14:val="none"/>
              </w:rPr>
              <w:t>8</w:t>
            </w:r>
            <w:r w:rsidRPr="00226F9D">
              <w:rPr>
                <w:rFonts w:ascii="Times New Roman" w:eastAsia="Calibri" w:hAnsi="Times New Roman" w:cs="Times New Roman"/>
                <w:color w:val="000000"/>
                <w:kern w:val="0"/>
                <w:sz w:val="20"/>
                <w:szCs w:val="20"/>
                <w:lang w:val="sr-Cyrl-RS"/>
                <w14:ligatures w14:val="none"/>
              </w:rPr>
              <w:t>.</w:t>
            </w:r>
            <w:r w:rsidR="00B31D0B" w:rsidRPr="00226F9D">
              <w:rPr>
                <w:rFonts w:ascii="Times New Roman" w:eastAsia="Calibri" w:hAnsi="Times New Roman" w:cs="Times New Roman"/>
                <w:color w:val="000000"/>
                <w:kern w:val="0"/>
                <w:sz w:val="20"/>
                <w:szCs w:val="20"/>
                <w:lang w:val="en-GB"/>
                <w14:ligatures w14:val="none"/>
              </w:rPr>
              <w:t>566</w:t>
            </w:r>
            <w:r w:rsidRPr="00226F9D">
              <w:rPr>
                <w:rFonts w:ascii="Times New Roman" w:eastAsia="Calibri" w:hAnsi="Times New Roman" w:cs="Times New Roman"/>
                <w:color w:val="000000"/>
                <w:kern w:val="0"/>
                <w:sz w:val="20"/>
                <w:szCs w:val="20"/>
                <w:lang w:val="sr-Cyrl-RS"/>
                <w14:ligatures w14:val="none"/>
              </w:rPr>
              <w:t>,96</w:t>
            </w:r>
          </w:p>
        </w:tc>
        <w:tc>
          <w:tcPr>
            <w:tcW w:w="0" w:type="auto"/>
            <w:tcBorders>
              <w:top w:val="nil"/>
              <w:left w:val="nil"/>
              <w:bottom w:val="single" w:sz="4" w:space="0" w:color="auto"/>
              <w:right w:val="single" w:sz="4" w:space="0" w:color="auto"/>
            </w:tcBorders>
            <w:noWrap/>
            <w:hideMark/>
          </w:tcPr>
          <w:p w14:paraId="4706D32F" w14:textId="29314B5D" w:rsidR="00BC794C" w:rsidRPr="00226F9D" w:rsidRDefault="00B31D0B"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en-GB"/>
                <w14:ligatures w14:val="none"/>
              </w:rPr>
              <w:t>47</w:t>
            </w:r>
            <w:r w:rsidR="00BC794C" w:rsidRPr="00226F9D">
              <w:rPr>
                <w:rFonts w:ascii="Times New Roman" w:eastAsia="Calibri" w:hAnsi="Times New Roman" w:cs="Times New Roman"/>
                <w:color w:val="000000"/>
                <w:kern w:val="0"/>
                <w:sz w:val="20"/>
                <w:szCs w:val="20"/>
                <w:lang w:val="sr-Cyrl-RS"/>
                <w14:ligatures w14:val="none"/>
              </w:rPr>
              <w:t>.</w:t>
            </w:r>
            <w:r w:rsidRPr="00226F9D">
              <w:rPr>
                <w:rFonts w:ascii="Times New Roman" w:eastAsia="Calibri" w:hAnsi="Times New Roman" w:cs="Times New Roman"/>
                <w:color w:val="000000"/>
                <w:kern w:val="0"/>
                <w:sz w:val="20"/>
                <w:szCs w:val="20"/>
                <w:lang w:val="en-GB"/>
                <w14:ligatures w14:val="none"/>
              </w:rPr>
              <w:t>180</w:t>
            </w:r>
            <w:r w:rsidR="00BC794C" w:rsidRPr="00226F9D">
              <w:rPr>
                <w:rFonts w:ascii="Times New Roman" w:eastAsia="Calibri" w:hAnsi="Times New Roman" w:cs="Times New Roman"/>
                <w:color w:val="000000"/>
                <w:kern w:val="0"/>
                <w:sz w:val="20"/>
                <w:szCs w:val="20"/>
                <w:lang w:val="sr-Cyrl-RS"/>
                <w14:ligatures w14:val="none"/>
              </w:rPr>
              <w:t>,88</w:t>
            </w:r>
          </w:p>
        </w:tc>
        <w:tc>
          <w:tcPr>
            <w:tcW w:w="0" w:type="auto"/>
            <w:tcBorders>
              <w:top w:val="nil"/>
              <w:left w:val="nil"/>
              <w:bottom w:val="single" w:sz="4" w:space="0" w:color="auto"/>
              <w:right w:val="single" w:sz="4" w:space="0" w:color="auto"/>
            </w:tcBorders>
            <w:noWrap/>
            <w:hideMark/>
          </w:tcPr>
          <w:p w14:paraId="6BE081DF" w14:textId="4CFE564F" w:rsidR="00BC794C" w:rsidRPr="00226F9D" w:rsidRDefault="002778D8"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en-GB"/>
                <w14:ligatures w14:val="none"/>
              </w:rPr>
              <w:t>33</w:t>
            </w:r>
            <w:r w:rsidR="00BC794C" w:rsidRPr="00226F9D">
              <w:rPr>
                <w:rFonts w:ascii="Times New Roman" w:eastAsia="Calibri" w:hAnsi="Times New Roman" w:cs="Times New Roman"/>
                <w:color w:val="000000"/>
                <w:kern w:val="0"/>
                <w:sz w:val="20"/>
                <w:szCs w:val="20"/>
                <w:lang w:val="sr-Cyrl-RS"/>
                <w14:ligatures w14:val="none"/>
              </w:rPr>
              <w:t>.</w:t>
            </w:r>
            <w:r w:rsidRPr="00226F9D">
              <w:rPr>
                <w:rFonts w:ascii="Times New Roman" w:eastAsia="Calibri" w:hAnsi="Times New Roman" w:cs="Times New Roman"/>
                <w:color w:val="000000"/>
                <w:kern w:val="0"/>
                <w:sz w:val="20"/>
                <w:szCs w:val="20"/>
                <w:lang w:val="en-GB"/>
                <w14:ligatures w14:val="none"/>
              </w:rPr>
              <w:t>797</w:t>
            </w:r>
            <w:r w:rsidR="00BC794C" w:rsidRPr="00226F9D">
              <w:rPr>
                <w:rFonts w:ascii="Times New Roman" w:eastAsia="Calibri" w:hAnsi="Times New Roman" w:cs="Times New Roman"/>
                <w:color w:val="000000"/>
                <w:kern w:val="0"/>
                <w:sz w:val="20"/>
                <w:szCs w:val="20"/>
                <w:lang w:val="sr-Cyrl-RS"/>
                <w14:ligatures w14:val="none"/>
              </w:rPr>
              <w:t>,88</w:t>
            </w:r>
          </w:p>
        </w:tc>
        <w:tc>
          <w:tcPr>
            <w:tcW w:w="0" w:type="auto"/>
            <w:tcBorders>
              <w:top w:val="nil"/>
              <w:left w:val="nil"/>
              <w:bottom w:val="single" w:sz="4" w:space="0" w:color="auto"/>
              <w:right w:val="single" w:sz="4" w:space="0" w:color="auto"/>
            </w:tcBorders>
            <w:noWrap/>
            <w:hideMark/>
          </w:tcPr>
          <w:p w14:paraId="1EE33303" w14:textId="5DE47847" w:rsidR="00BC794C" w:rsidRPr="00226F9D" w:rsidRDefault="002778D8"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en-GB"/>
                <w14:ligatures w14:val="none"/>
              </w:rPr>
              <w:t>20</w:t>
            </w:r>
            <w:r w:rsidR="00BC794C" w:rsidRPr="00226F9D">
              <w:rPr>
                <w:rFonts w:ascii="Times New Roman" w:eastAsia="Calibri" w:hAnsi="Times New Roman" w:cs="Times New Roman"/>
                <w:color w:val="000000"/>
                <w:kern w:val="0"/>
                <w:sz w:val="20"/>
                <w:szCs w:val="20"/>
                <w:lang w:val="sr-Cyrl-RS"/>
                <w14:ligatures w14:val="none"/>
              </w:rPr>
              <w:t>.704,88</w:t>
            </w:r>
          </w:p>
        </w:tc>
        <w:tc>
          <w:tcPr>
            <w:tcW w:w="1434" w:type="dxa"/>
            <w:tcBorders>
              <w:top w:val="nil"/>
              <w:left w:val="nil"/>
              <w:bottom w:val="single" w:sz="4" w:space="0" w:color="auto"/>
              <w:right w:val="single" w:sz="4" w:space="0" w:color="auto"/>
            </w:tcBorders>
            <w:noWrap/>
            <w:hideMark/>
          </w:tcPr>
          <w:p w14:paraId="0D28BC41" w14:textId="0C33E105" w:rsidR="00BC794C" w:rsidRPr="00226F9D" w:rsidRDefault="00E95299"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bCs/>
                <w:color w:val="000000"/>
                <w:kern w:val="0"/>
                <w:sz w:val="20"/>
                <w:szCs w:val="20"/>
                <w:lang w:val="en-GB"/>
                <w14:ligatures w14:val="none"/>
              </w:rPr>
              <w:t>356</w:t>
            </w:r>
            <w:r w:rsidR="00395730" w:rsidRPr="00226F9D">
              <w:rPr>
                <w:rFonts w:ascii="Times New Roman" w:eastAsia="Calibri" w:hAnsi="Times New Roman" w:cs="Times New Roman"/>
                <w:b/>
                <w:bCs/>
                <w:color w:val="000000"/>
                <w:kern w:val="0"/>
                <w:sz w:val="20"/>
                <w:szCs w:val="20"/>
                <w:lang w:val="en-GB"/>
                <w14:ligatures w14:val="none"/>
              </w:rPr>
              <w:t>.140</w:t>
            </w:r>
            <w:r w:rsidR="00BC794C" w:rsidRPr="00226F9D">
              <w:rPr>
                <w:rFonts w:ascii="Times New Roman" w:eastAsia="Calibri" w:hAnsi="Times New Roman" w:cs="Times New Roman"/>
                <w:b/>
                <w:bCs/>
                <w:color w:val="000000"/>
                <w:kern w:val="0"/>
                <w:sz w:val="20"/>
                <w:szCs w:val="20"/>
                <w:lang w:val="sr-Cyrl-RS"/>
                <w14:ligatures w14:val="none"/>
              </w:rPr>
              <w:t>,60</w:t>
            </w:r>
          </w:p>
        </w:tc>
        <w:tc>
          <w:tcPr>
            <w:tcW w:w="236" w:type="dxa"/>
            <w:vAlign w:val="center"/>
            <w:hideMark/>
          </w:tcPr>
          <w:p w14:paraId="6ECACBFF"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119DA3AB" w14:textId="77777777" w:rsidTr="005B1172">
        <w:trPr>
          <w:trHeight w:val="300"/>
        </w:trPr>
        <w:tc>
          <w:tcPr>
            <w:tcW w:w="9734" w:type="dxa"/>
            <w:gridSpan w:val="7"/>
            <w:tcBorders>
              <w:top w:val="single" w:sz="4" w:space="0" w:color="auto"/>
              <w:left w:val="single" w:sz="4" w:space="0" w:color="auto"/>
              <w:bottom w:val="single" w:sz="4" w:space="0" w:color="auto"/>
              <w:right w:val="single" w:sz="4" w:space="0" w:color="auto"/>
            </w:tcBorders>
            <w:vAlign w:val="center"/>
            <w:hideMark/>
          </w:tcPr>
          <w:p w14:paraId="40824F40"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Посебни циљ 2: Унапређење система финансирања локалне самоуправе</w:t>
            </w:r>
          </w:p>
        </w:tc>
        <w:tc>
          <w:tcPr>
            <w:tcW w:w="236" w:type="dxa"/>
            <w:vAlign w:val="center"/>
            <w:hideMark/>
          </w:tcPr>
          <w:p w14:paraId="62271D58"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24F3E5B3" w14:textId="77777777" w:rsidTr="005B1172">
        <w:trPr>
          <w:trHeight w:val="300"/>
        </w:trPr>
        <w:tc>
          <w:tcPr>
            <w:tcW w:w="0" w:type="auto"/>
            <w:vMerge w:val="restart"/>
            <w:tcBorders>
              <w:top w:val="nil"/>
              <w:left w:val="single" w:sz="4" w:space="0" w:color="auto"/>
              <w:bottom w:val="single" w:sz="4" w:space="0" w:color="auto"/>
              <w:right w:val="single" w:sz="4" w:space="0" w:color="auto"/>
            </w:tcBorders>
            <w:shd w:val="clear" w:color="000000" w:fill="F2F2F2"/>
            <w:vAlign w:val="center"/>
            <w:hideMark/>
          </w:tcPr>
          <w:p w14:paraId="679CA3C5" w14:textId="77777777" w:rsidR="00BC794C" w:rsidRPr="00226F9D" w:rsidRDefault="00BC794C" w:rsidP="00BC794C">
            <w:pPr>
              <w:spacing w:after="0" w:line="240" w:lineRule="auto"/>
              <w:jc w:val="right"/>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У хиљадама динара</w:t>
            </w:r>
          </w:p>
        </w:tc>
        <w:tc>
          <w:tcPr>
            <w:tcW w:w="0" w:type="auto"/>
            <w:vMerge w:val="restart"/>
            <w:tcBorders>
              <w:top w:val="nil"/>
              <w:left w:val="single" w:sz="4" w:space="0" w:color="auto"/>
              <w:bottom w:val="single" w:sz="4" w:space="0" w:color="auto"/>
              <w:right w:val="single" w:sz="4" w:space="0" w:color="auto"/>
            </w:tcBorders>
            <w:noWrap/>
            <w:vAlign w:val="center"/>
            <w:hideMark/>
          </w:tcPr>
          <w:p w14:paraId="7F43B5CC"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2026</w:t>
            </w:r>
          </w:p>
        </w:tc>
        <w:tc>
          <w:tcPr>
            <w:tcW w:w="0" w:type="auto"/>
            <w:vMerge w:val="restart"/>
            <w:tcBorders>
              <w:top w:val="nil"/>
              <w:left w:val="single" w:sz="4" w:space="0" w:color="auto"/>
              <w:bottom w:val="single" w:sz="4" w:space="0" w:color="auto"/>
              <w:right w:val="single" w:sz="4" w:space="0" w:color="auto"/>
            </w:tcBorders>
            <w:noWrap/>
            <w:vAlign w:val="center"/>
            <w:hideMark/>
          </w:tcPr>
          <w:p w14:paraId="63A24F44"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2027</w:t>
            </w:r>
          </w:p>
        </w:tc>
        <w:tc>
          <w:tcPr>
            <w:tcW w:w="0" w:type="auto"/>
            <w:vMerge w:val="restart"/>
            <w:tcBorders>
              <w:top w:val="nil"/>
              <w:left w:val="single" w:sz="4" w:space="0" w:color="auto"/>
              <w:bottom w:val="single" w:sz="4" w:space="0" w:color="auto"/>
              <w:right w:val="single" w:sz="4" w:space="0" w:color="auto"/>
            </w:tcBorders>
            <w:noWrap/>
            <w:vAlign w:val="center"/>
            <w:hideMark/>
          </w:tcPr>
          <w:p w14:paraId="64C7BCCA"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2028</w:t>
            </w:r>
          </w:p>
        </w:tc>
        <w:tc>
          <w:tcPr>
            <w:tcW w:w="0" w:type="auto"/>
            <w:vMerge w:val="restart"/>
            <w:tcBorders>
              <w:top w:val="nil"/>
              <w:left w:val="single" w:sz="4" w:space="0" w:color="auto"/>
              <w:bottom w:val="single" w:sz="4" w:space="0" w:color="auto"/>
              <w:right w:val="single" w:sz="4" w:space="0" w:color="auto"/>
            </w:tcBorders>
            <w:noWrap/>
            <w:vAlign w:val="center"/>
            <w:hideMark/>
          </w:tcPr>
          <w:p w14:paraId="5DA29076"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2029</w:t>
            </w:r>
          </w:p>
        </w:tc>
        <w:tc>
          <w:tcPr>
            <w:tcW w:w="0" w:type="auto"/>
            <w:vMerge w:val="restart"/>
            <w:tcBorders>
              <w:top w:val="nil"/>
              <w:left w:val="single" w:sz="4" w:space="0" w:color="auto"/>
              <w:bottom w:val="single" w:sz="4" w:space="0" w:color="auto"/>
              <w:right w:val="single" w:sz="4" w:space="0" w:color="auto"/>
            </w:tcBorders>
            <w:noWrap/>
            <w:vAlign w:val="center"/>
            <w:hideMark/>
          </w:tcPr>
          <w:p w14:paraId="408CDB1B"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2030</w:t>
            </w:r>
          </w:p>
        </w:tc>
        <w:tc>
          <w:tcPr>
            <w:tcW w:w="1434" w:type="dxa"/>
            <w:vMerge w:val="restart"/>
            <w:tcBorders>
              <w:top w:val="nil"/>
              <w:left w:val="single" w:sz="4" w:space="0" w:color="auto"/>
              <w:bottom w:val="single" w:sz="4" w:space="0" w:color="000000"/>
              <w:right w:val="single" w:sz="4" w:space="0" w:color="auto"/>
            </w:tcBorders>
            <w:noWrap/>
            <w:vAlign w:val="center"/>
            <w:hideMark/>
          </w:tcPr>
          <w:p w14:paraId="76BE6549"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УКУПНО</w:t>
            </w:r>
          </w:p>
        </w:tc>
        <w:tc>
          <w:tcPr>
            <w:tcW w:w="236" w:type="dxa"/>
            <w:vAlign w:val="center"/>
            <w:hideMark/>
          </w:tcPr>
          <w:p w14:paraId="0140907E"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69AA9F8D" w14:textId="77777777" w:rsidTr="005B1172">
        <w:trPr>
          <w:trHeight w:val="300"/>
        </w:trPr>
        <w:tc>
          <w:tcPr>
            <w:tcW w:w="0" w:type="auto"/>
            <w:vMerge/>
            <w:tcBorders>
              <w:top w:val="nil"/>
              <w:left w:val="single" w:sz="4" w:space="0" w:color="auto"/>
              <w:bottom w:val="single" w:sz="4" w:space="0" w:color="auto"/>
              <w:right w:val="single" w:sz="4" w:space="0" w:color="auto"/>
            </w:tcBorders>
            <w:vAlign w:val="center"/>
            <w:hideMark/>
          </w:tcPr>
          <w:p w14:paraId="3BBFD926"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9FA52F8"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34DD341"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7BAE3250"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64CD0EC3"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9BC37AB"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1434" w:type="dxa"/>
            <w:vMerge/>
            <w:tcBorders>
              <w:top w:val="nil"/>
              <w:left w:val="single" w:sz="4" w:space="0" w:color="auto"/>
              <w:bottom w:val="single" w:sz="4" w:space="0" w:color="000000"/>
              <w:right w:val="single" w:sz="4" w:space="0" w:color="auto"/>
            </w:tcBorders>
            <w:vAlign w:val="center"/>
            <w:hideMark/>
          </w:tcPr>
          <w:p w14:paraId="34B05305"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236" w:type="dxa"/>
            <w:tcBorders>
              <w:top w:val="nil"/>
              <w:left w:val="nil"/>
              <w:bottom w:val="nil"/>
              <w:right w:val="nil"/>
            </w:tcBorders>
            <w:noWrap/>
            <w:vAlign w:val="bottom"/>
            <w:hideMark/>
          </w:tcPr>
          <w:p w14:paraId="6B6DAD9F" w14:textId="77777777" w:rsidR="00BC794C" w:rsidRPr="00226F9D" w:rsidRDefault="00BC794C" w:rsidP="00BC794C">
            <w:pPr>
              <w:spacing w:after="0" w:line="240" w:lineRule="auto"/>
              <w:jc w:val="center"/>
              <w:rPr>
                <w:rFonts w:ascii="Times New Roman" w:eastAsia="Times New Roman" w:hAnsi="Times New Roman" w:cs="Times New Roman"/>
                <w:b/>
                <w:bCs/>
                <w:color w:val="000000"/>
                <w:kern w:val="0"/>
                <w:sz w:val="20"/>
                <w:szCs w:val="20"/>
                <w:lang w:val="sr-Cyrl-RS"/>
                <w14:ligatures w14:val="none"/>
              </w:rPr>
            </w:pPr>
          </w:p>
        </w:tc>
      </w:tr>
      <w:tr w:rsidR="00BC794C" w:rsidRPr="00226F9D" w14:paraId="3154782F"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51B7C88D"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2</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1: Унапређење фискалне одрживости ЛС и повећање фискалне аутономије ЛС</w:t>
            </w:r>
          </w:p>
        </w:tc>
        <w:tc>
          <w:tcPr>
            <w:tcW w:w="0" w:type="auto"/>
            <w:tcBorders>
              <w:top w:val="nil"/>
              <w:left w:val="nil"/>
              <w:bottom w:val="single" w:sz="4" w:space="0" w:color="auto"/>
              <w:right w:val="single" w:sz="4" w:space="0" w:color="auto"/>
            </w:tcBorders>
            <w:noWrap/>
            <w:vAlign w:val="center"/>
            <w:hideMark/>
          </w:tcPr>
          <w:p w14:paraId="1295AB62"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1.570,00</w:t>
            </w:r>
          </w:p>
        </w:tc>
        <w:tc>
          <w:tcPr>
            <w:tcW w:w="0" w:type="auto"/>
            <w:tcBorders>
              <w:top w:val="nil"/>
              <w:left w:val="nil"/>
              <w:bottom w:val="single" w:sz="4" w:space="0" w:color="auto"/>
              <w:right w:val="single" w:sz="4" w:space="0" w:color="auto"/>
            </w:tcBorders>
            <w:noWrap/>
            <w:vAlign w:val="center"/>
            <w:hideMark/>
          </w:tcPr>
          <w:p w14:paraId="12DC8022"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vAlign w:val="center"/>
            <w:hideMark/>
          </w:tcPr>
          <w:p w14:paraId="302C4E4D"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vAlign w:val="center"/>
            <w:hideMark/>
          </w:tcPr>
          <w:p w14:paraId="2EC4B16C"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vAlign w:val="center"/>
            <w:hideMark/>
          </w:tcPr>
          <w:p w14:paraId="4AD740B8"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0,00</w:t>
            </w:r>
          </w:p>
        </w:tc>
        <w:tc>
          <w:tcPr>
            <w:tcW w:w="1434" w:type="dxa"/>
            <w:tcBorders>
              <w:top w:val="nil"/>
              <w:left w:val="nil"/>
              <w:bottom w:val="single" w:sz="4" w:space="0" w:color="auto"/>
              <w:right w:val="single" w:sz="4" w:space="0" w:color="auto"/>
            </w:tcBorders>
            <w:noWrap/>
            <w:vAlign w:val="center"/>
            <w:hideMark/>
          </w:tcPr>
          <w:p w14:paraId="3EDAAD6F"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1.570,00</w:t>
            </w:r>
          </w:p>
        </w:tc>
        <w:tc>
          <w:tcPr>
            <w:tcW w:w="236" w:type="dxa"/>
            <w:vAlign w:val="center"/>
            <w:hideMark/>
          </w:tcPr>
          <w:p w14:paraId="663C45F3"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180A233A"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1093750D"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2</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2: Подршка ЈЛС за унапређење процеса планирања и транспарентности буџета</w:t>
            </w:r>
          </w:p>
        </w:tc>
        <w:tc>
          <w:tcPr>
            <w:tcW w:w="0" w:type="auto"/>
            <w:tcBorders>
              <w:top w:val="nil"/>
              <w:left w:val="nil"/>
              <w:bottom w:val="single" w:sz="4" w:space="0" w:color="auto"/>
              <w:right w:val="single" w:sz="4" w:space="0" w:color="auto"/>
            </w:tcBorders>
            <w:noWrap/>
            <w:vAlign w:val="center"/>
            <w:hideMark/>
          </w:tcPr>
          <w:p w14:paraId="03FE1C43"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2.420,00</w:t>
            </w:r>
          </w:p>
        </w:tc>
        <w:tc>
          <w:tcPr>
            <w:tcW w:w="0" w:type="auto"/>
            <w:tcBorders>
              <w:top w:val="nil"/>
              <w:left w:val="nil"/>
              <w:bottom w:val="single" w:sz="4" w:space="0" w:color="auto"/>
              <w:right w:val="single" w:sz="4" w:space="0" w:color="auto"/>
            </w:tcBorders>
            <w:noWrap/>
            <w:vAlign w:val="center"/>
            <w:hideMark/>
          </w:tcPr>
          <w:p w14:paraId="468EF415"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2.520,00</w:t>
            </w:r>
          </w:p>
        </w:tc>
        <w:tc>
          <w:tcPr>
            <w:tcW w:w="0" w:type="auto"/>
            <w:tcBorders>
              <w:top w:val="nil"/>
              <w:left w:val="nil"/>
              <w:bottom w:val="single" w:sz="4" w:space="0" w:color="auto"/>
              <w:right w:val="single" w:sz="4" w:space="0" w:color="auto"/>
            </w:tcBorders>
            <w:noWrap/>
            <w:vAlign w:val="center"/>
            <w:hideMark/>
          </w:tcPr>
          <w:p w14:paraId="753696E1"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4.220,00</w:t>
            </w:r>
          </w:p>
        </w:tc>
        <w:tc>
          <w:tcPr>
            <w:tcW w:w="0" w:type="auto"/>
            <w:tcBorders>
              <w:top w:val="nil"/>
              <w:left w:val="nil"/>
              <w:bottom w:val="single" w:sz="4" w:space="0" w:color="auto"/>
              <w:right w:val="single" w:sz="4" w:space="0" w:color="auto"/>
            </w:tcBorders>
            <w:noWrap/>
            <w:vAlign w:val="center"/>
            <w:hideMark/>
          </w:tcPr>
          <w:p w14:paraId="4A4719FE"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1.495,00</w:t>
            </w:r>
          </w:p>
        </w:tc>
        <w:tc>
          <w:tcPr>
            <w:tcW w:w="0" w:type="auto"/>
            <w:tcBorders>
              <w:top w:val="nil"/>
              <w:left w:val="nil"/>
              <w:bottom w:val="single" w:sz="4" w:space="0" w:color="auto"/>
              <w:right w:val="single" w:sz="4" w:space="0" w:color="auto"/>
            </w:tcBorders>
            <w:noWrap/>
            <w:vAlign w:val="center"/>
            <w:hideMark/>
          </w:tcPr>
          <w:p w14:paraId="24BD009D"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1.845,00</w:t>
            </w:r>
          </w:p>
        </w:tc>
        <w:tc>
          <w:tcPr>
            <w:tcW w:w="1434" w:type="dxa"/>
            <w:tcBorders>
              <w:top w:val="nil"/>
              <w:left w:val="nil"/>
              <w:bottom w:val="single" w:sz="4" w:space="0" w:color="auto"/>
              <w:right w:val="single" w:sz="4" w:space="0" w:color="auto"/>
            </w:tcBorders>
            <w:noWrap/>
            <w:vAlign w:val="center"/>
            <w:hideMark/>
          </w:tcPr>
          <w:p w14:paraId="01CD4AA0"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12.500,00</w:t>
            </w:r>
          </w:p>
        </w:tc>
        <w:tc>
          <w:tcPr>
            <w:tcW w:w="236" w:type="dxa"/>
            <w:vAlign w:val="center"/>
            <w:hideMark/>
          </w:tcPr>
          <w:p w14:paraId="3BB48975"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53B08199" w14:textId="77777777" w:rsidTr="005B1172">
        <w:trPr>
          <w:trHeight w:val="300"/>
        </w:trPr>
        <w:tc>
          <w:tcPr>
            <w:tcW w:w="9734" w:type="dxa"/>
            <w:gridSpan w:val="7"/>
            <w:tcBorders>
              <w:top w:val="single" w:sz="4" w:space="0" w:color="auto"/>
              <w:left w:val="single" w:sz="4" w:space="0" w:color="auto"/>
              <w:bottom w:val="single" w:sz="4" w:space="0" w:color="auto"/>
              <w:right w:val="single" w:sz="4" w:space="0" w:color="auto"/>
            </w:tcBorders>
            <w:vAlign w:val="center"/>
            <w:hideMark/>
          </w:tcPr>
          <w:p w14:paraId="57F62AC1"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Посебни циљ 3: Унапређена организација и капацитети локалне самоуправе</w:t>
            </w:r>
          </w:p>
        </w:tc>
        <w:tc>
          <w:tcPr>
            <w:tcW w:w="236" w:type="dxa"/>
            <w:vAlign w:val="center"/>
            <w:hideMark/>
          </w:tcPr>
          <w:p w14:paraId="19D32148"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2B69ADFE" w14:textId="77777777" w:rsidTr="005B1172">
        <w:trPr>
          <w:trHeight w:val="300"/>
        </w:trPr>
        <w:tc>
          <w:tcPr>
            <w:tcW w:w="0" w:type="auto"/>
            <w:vMerge w:val="restart"/>
            <w:tcBorders>
              <w:top w:val="nil"/>
              <w:left w:val="single" w:sz="4" w:space="0" w:color="auto"/>
              <w:bottom w:val="single" w:sz="4" w:space="0" w:color="auto"/>
              <w:right w:val="single" w:sz="4" w:space="0" w:color="auto"/>
            </w:tcBorders>
            <w:shd w:val="clear" w:color="000000" w:fill="F2F2F2"/>
            <w:vAlign w:val="center"/>
            <w:hideMark/>
          </w:tcPr>
          <w:p w14:paraId="3568BE7F" w14:textId="77777777" w:rsidR="00BC794C" w:rsidRPr="00226F9D" w:rsidRDefault="00BC794C" w:rsidP="00BC794C">
            <w:pPr>
              <w:spacing w:after="0" w:line="240" w:lineRule="auto"/>
              <w:jc w:val="right"/>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У хиљадама динара</w:t>
            </w:r>
          </w:p>
        </w:tc>
        <w:tc>
          <w:tcPr>
            <w:tcW w:w="0" w:type="auto"/>
            <w:vMerge w:val="restart"/>
            <w:tcBorders>
              <w:top w:val="nil"/>
              <w:left w:val="single" w:sz="4" w:space="0" w:color="auto"/>
              <w:bottom w:val="single" w:sz="4" w:space="0" w:color="auto"/>
              <w:right w:val="single" w:sz="4" w:space="0" w:color="auto"/>
            </w:tcBorders>
            <w:noWrap/>
            <w:vAlign w:val="center"/>
            <w:hideMark/>
          </w:tcPr>
          <w:p w14:paraId="0E60E7E7"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2026</w:t>
            </w:r>
          </w:p>
        </w:tc>
        <w:tc>
          <w:tcPr>
            <w:tcW w:w="0" w:type="auto"/>
            <w:vMerge w:val="restart"/>
            <w:tcBorders>
              <w:top w:val="nil"/>
              <w:left w:val="single" w:sz="4" w:space="0" w:color="auto"/>
              <w:bottom w:val="single" w:sz="4" w:space="0" w:color="auto"/>
              <w:right w:val="single" w:sz="4" w:space="0" w:color="auto"/>
            </w:tcBorders>
            <w:noWrap/>
            <w:vAlign w:val="center"/>
            <w:hideMark/>
          </w:tcPr>
          <w:p w14:paraId="36AD539F"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2027</w:t>
            </w:r>
          </w:p>
        </w:tc>
        <w:tc>
          <w:tcPr>
            <w:tcW w:w="0" w:type="auto"/>
            <w:vMerge w:val="restart"/>
            <w:tcBorders>
              <w:top w:val="nil"/>
              <w:left w:val="single" w:sz="4" w:space="0" w:color="auto"/>
              <w:bottom w:val="single" w:sz="4" w:space="0" w:color="auto"/>
              <w:right w:val="single" w:sz="4" w:space="0" w:color="auto"/>
            </w:tcBorders>
            <w:noWrap/>
            <w:vAlign w:val="center"/>
            <w:hideMark/>
          </w:tcPr>
          <w:p w14:paraId="326DD846"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2028</w:t>
            </w:r>
          </w:p>
        </w:tc>
        <w:tc>
          <w:tcPr>
            <w:tcW w:w="0" w:type="auto"/>
            <w:vMerge w:val="restart"/>
            <w:tcBorders>
              <w:top w:val="nil"/>
              <w:left w:val="single" w:sz="4" w:space="0" w:color="auto"/>
              <w:bottom w:val="single" w:sz="4" w:space="0" w:color="auto"/>
              <w:right w:val="single" w:sz="4" w:space="0" w:color="auto"/>
            </w:tcBorders>
            <w:noWrap/>
            <w:vAlign w:val="center"/>
            <w:hideMark/>
          </w:tcPr>
          <w:p w14:paraId="3B0EC348"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2029</w:t>
            </w:r>
          </w:p>
        </w:tc>
        <w:tc>
          <w:tcPr>
            <w:tcW w:w="0" w:type="auto"/>
            <w:vMerge w:val="restart"/>
            <w:tcBorders>
              <w:top w:val="nil"/>
              <w:left w:val="single" w:sz="4" w:space="0" w:color="auto"/>
              <w:bottom w:val="single" w:sz="4" w:space="0" w:color="auto"/>
              <w:right w:val="single" w:sz="4" w:space="0" w:color="auto"/>
            </w:tcBorders>
            <w:noWrap/>
            <w:vAlign w:val="center"/>
            <w:hideMark/>
          </w:tcPr>
          <w:p w14:paraId="4066706E"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2030</w:t>
            </w:r>
          </w:p>
        </w:tc>
        <w:tc>
          <w:tcPr>
            <w:tcW w:w="1434" w:type="dxa"/>
            <w:vMerge w:val="restart"/>
            <w:tcBorders>
              <w:top w:val="nil"/>
              <w:left w:val="single" w:sz="4" w:space="0" w:color="auto"/>
              <w:bottom w:val="single" w:sz="4" w:space="0" w:color="000000"/>
              <w:right w:val="single" w:sz="4" w:space="0" w:color="auto"/>
            </w:tcBorders>
            <w:noWrap/>
            <w:vAlign w:val="center"/>
            <w:hideMark/>
          </w:tcPr>
          <w:p w14:paraId="34F40C8B"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УКУПНО</w:t>
            </w:r>
          </w:p>
        </w:tc>
        <w:tc>
          <w:tcPr>
            <w:tcW w:w="236" w:type="dxa"/>
            <w:vAlign w:val="center"/>
            <w:hideMark/>
          </w:tcPr>
          <w:p w14:paraId="11920F82"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5F402788" w14:textId="77777777" w:rsidTr="005B1172">
        <w:trPr>
          <w:trHeight w:val="300"/>
        </w:trPr>
        <w:tc>
          <w:tcPr>
            <w:tcW w:w="0" w:type="auto"/>
            <w:vMerge/>
            <w:tcBorders>
              <w:top w:val="nil"/>
              <w:left w:val="single" w:sz="4" w:space="0" w:color="auto"/>
              <w:bottom w:val="single" w:sz="4" w:space="0" w:color="auto"/>
              <w:right w:val="single" w:sz="4" w:space="0" w:color="auto"/>
            </w:tcBorders>
            <w:vAlign w:val="center"/>
            <w:hideMark/>
          </w:tcPr>
          <w:p w14:paraId="1044B2DB"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368E3D46"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9D16560"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412AB72B"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EC1B54E"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8552C29"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1434" w:type="dxa"/>
            <w:vMerge/>
            <w:tcBorders>
              <w:top w:val="nil"/>
              <w:left w:val="single" w:sz="4" w:space="0" w:color="auto"/>
              <w:bottom w:val="single" w:sz="4" w:space="0" w:color="000000"/>
              <w:right w:val="single" w:sz="4" w:space="0" w:color="auto"/>
            </w:tcBorders>
            <w:vAlign w:val="center"/>
            <w:hideMark/>
          </w:tcPr>
          <w:p w14:paraId="468BC48F"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236" w:type="dxa"/>
            <w:tcBorders>
              <w:top w:val="nil"/>
              <w:left w:val="nil"/>
              <w:bottom w:val="nil"/>
              <w:right w:val="nil"/>
            </w:tcBorders>
            <w:noWrap/>
            <w:vAlign w:val="bottom"/>
            <w:hideMark/>
          </w:tcPr>
          <w:p w14:paraId="7B008D78" w14:textId="77777777" w:rsidR="00BC794C" w:rsidRPr="00226F9D" w:rsidRDefault="00BC794C" w:rsidP="00BC794C">
            <w:pPr>
              <w:spacing w:after="0" w:line="240" w:lineRule="auto"/>
              <w:jc w:val="center"/>
              <w:rPr>
                <w:rFonts w:ascii="Times New Roman" w:eastAsia="Times New Roman" w:hAnsi="Times New Roman" w:cs="Times New Roman"/>
                <w:b/>
                <w:bCs/>
                <w:color w:val="000000"/>
                <w:kern w:val="0"/>
                <w:sz w:val="20"/>
                <w:szCs w:val="20"/>
                <w:lang w:val="sr-Cyrl-RS"/>
                <w14:ligatures w14:val="none"/>
              </w:rPr>
            </w:pPr>
          </w:p>
        </w:tc>
      </w:tr>
      <w:tr w:rsidR="00BC794C" w:rsidRPr="00226F9D" w14:paraId="7F56A7BB"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3B397ED3"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 xml:space="preserve">Мера </w:t>
            </w:r>
            <w:r w:rsidRPr="00226F9D">
              <w:rPr>
                <w:rFonts w:ascii="Times New Roman" w:eastAsia="Times New Roman" w:hAnsi="Times New Roman" w:cs="Times New Roman"/>
                <w:color w:val="000000"/>
                <w:kern w:val="0"/>
                <w:sz w:val="20"/>
                <w:szCs w:val="20"/>
                <w:lang w:val="ru-RU"/>
                <w14:ligatures w14:val="none"/>
              </w:rPr>
              <w:t xml:space="preserve">        </w:t>
            </w:r>
            <w:r w:rsidRPr="00226F9D">
              <w:rPr>
                <w:rFonts w:ascii="Times New Roman" w:eastAsia="Times New Roman" w:hAnsi="Times New Roman" w:cs="Times New Roman"/>
                <w:color w:val="000000"/>
                <w:kern w:val="0"/>
                <w:sz w:val="20"/>
                <w:szCs w:val="20"/>
                <w:lang w:val="sr-Cyrl-RS"/>
                <w14:ligatures w14:val="none"/>
              </w:rPr>
              <w:t>3</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1: Развој и унапређење система УЉР у ЈЛС заснованог на компетенцијама</w:t>
            </w:r>
          </w:p>
        </w:tc>
        <w:tc>
          <w:tcPr>
            <w:tcW w:w="0" w:type="auto"/>
            <w:tcBorders>
              <w:top w:val="nil"/>
              <w:left w:val="nil"/>
              <w:bottom w:val="single" w:sz="4" w:space="0" w:color="auto"/>
              <w:right w:val="single" w:sz="4" w:space="0" w:color="auto"/>
            </w:tcBorders>
            <w:noWrap/>
            <w:hideMark/>
          </w:tcPr>
          <w:p w14:paraId="27C32624"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32.340,00</w:t>
            </w:r>
          </w:p>
        </w:tc>
        <w:tc>
          <w:tcPr>
            <w:tcW w:w="0" w:type="auto"/>
            <w:tcBorders>
              <w:top w:val="nil"/>
              <w:left w:val="nil"/>
              <w:bottom w:val="single" w:sz="4" w:space="0" w:color="auto"/>
              <w:right w:val="single" w:sz="4" w:space="0" w:color="auto"/>
            </w:tcBorders>
            <w:noWrap/>
            <w:hideMark/>
          </w:tcPr>
          <w:p w14:paraId="049B037B"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20.673,00</w:t>
            </w:r>
          </w:p>
        </w:tc>
        <w:tc>
          <w:tcPr>
            <w:tcW w:w="0" w:type="auto"/>
            <w:tcBorders>
              <w:top w:val="nil"/>
              <w:left w:val="nil"/>
              <w:bottom w:val="single" w:sz="4" w:space="0" w:color="auto"/>
              <w:right w:val="single" w:sz="4" w:space="0" w:color="auto"/>
            </w:tcBorders>
            <w:noWrap/>
            <w:hideMark/>
          </w:tcPr>
          <w:p w14:paraId="49E13556"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7.032,00</w:t>
            </w:r>
          </w:p>
        </w:tc>
        <w:tc>
          <w:tcPr>
            <w:tcW w:w="0" w:type="auto"/>
            <w:tcBorders>
              <w:top w:val="nil"/>
              <w:left w:val="nil"/>
              <w:bottom w:val="single" w:sz="4" w:space="0" w:color="auto"/>
              <w:right w:val="single" w:sz="4" w:space="0" w:color="auto"/>
            </w:tcBorders>
            <w:noWrap/>
            <w:hideMark/>
          </w:tcPr>
          <w:p w14:paraId="5FC81229"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1.200,00</w:t>
            </w:r>
          </w:p>
        </w:tc>
        <w:tc>
          <w:tcPr>
            <w:tcW w:w="0" w:type="auto"/>
            <w:tcBorders>
              <w:top w:val="nil"/>
              <w:left w:val="nil"/>
              <w:bottom w:val="single" w:sz="4" w:space="0" w:color="auto"/>
              <w:right w:val="single" w:sz="4" w:space="0" w:color="auto"/>
            </w:tcBorders>
            <w:noWrap/>
            <w:hideMark/>
          </w:tcPr>
          <w:p w14:paraId="196D9AA5"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2.400,00</w:t>
            </w:r>
          </w:p>
        </w:tc>
        <w:tc>
          <w:tcPr>
            <w:tcW w:w="1434" w:type="dxa"/>
            <w:tcBorders>
              <w:top w:val="nil"/>
              <w:left w:val="nil"/>
              <w:bottom w:val="single" w:sz="4" w:space="0" w:color="auto"/>
              <w:right w:val="single" w:sz="4" w:space="0" w:color="auto"/>
            </w:tcBorders>
            <w:noWrap/>
            <w:hideMark/>
          </w:tcPr>
          <w:p w14:paraId="1CD26710"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63.645,00</w:t>
            </w:r>
          </w:p>
        </w:tc>
        <w:tc>
          <w:tcPr>
            <w:tcW w:w="236" w:type="dxa"/>
            <w:vAlign w:val="center"/>
            <w:hideMark/>
          </w:tcPr>
          <w:p w14:paraId="4EC8905A"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31D3DEC4"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3A6DA55F"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3</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2: Унапређење процеса стручног усавршавања запослених у органима ЈЛС</w:t>
            </w:r>
          </w:p>
        </w:tc>
        <w:tc>
          <w:tcPr>
            <w:tcW w:w="0" w:type="auto"/>
            <w:tcBorders>
              <w:top w:val="nil"/>
              <w:left w:val="nil"/>
              <w:bottom w:val="single" w:sz="4" w:space="0" w:color="auto"/>
              <w:right w:val="single" w:sz="4" w:space="0" w:color="auto"/>
            </w:tcBorders>
            <w:noWrap/>
            <w:hideMark/>
          </w:tcPr>
          <w:p w14:paraId="1B6E11D8"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9.918,00</w:t>
            </w:r>
          </w:p>
        </w:tc>
        <w:tc>
          <w:tcPr>
            <w:tcW w:w="0" w:type="auto"/>
            <w:tcBorders>
              <w:top w:val="nil"/>
              <w:left w:val="nil"/>
              <w:bottom w:val="single" w:sz="4" w:space="0" w:color="auto"/>
              <w:right w:val="single" w:sz="4" w:space="0" w:color="auto"/>
            </w:tcBorders>
            <w:noWrap/>
            <w:hideMark/>
          </w:tcPr>
          <w:p w14:paraId="68AF4742"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4.333,00</w:t>
            </w:r>
          </w:p>
        </w:tc>
        <w:tc>
          <w:tcPr>
            <w:tcW w:w="0" w:type="auto"/>
            <w:tcBorders>
              <w:top w:val="nil"/>
              <w:left w:val="nil"/>
              <w:bottom w:val="single" w:sz="4" w:space="0" w:color="auto"/>
              <w:right w:val="single" w:sz="4" w:space="0" w:color="auto"/>
            </w:tcBorders>
            <w:noWrap/>
            <w:hideMark/>
          </w:tcPr>
          <w:p w14:paraId="274DAD3C"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1.406,00</w:t>
            </w:r>
          </w:p>
        </w:tc>
        <w:tc>
          <w:tcPr>
            <w:tcW w:w="0" w:type="auto"/>
            <w:tcBorders>
              <w:top w:val="nil"/>
              <w:left w:val="nil"/>
              <w:bottom w:val="single" w:sz="4" w:space="0" w:color="auto"/>
              <w:right w:val="single" w:sz="4" w:space="0" w:color="auto"/>
            </w:tcBorders>
            <w:noWrap/>
            <w:hideMark/>
          </w:tcPr>
          <w:p w14:paraId="69FB8CBE"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hideMark/>
          </w:tcPr>
          <w:p w14:paraId="72534CD5"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500,00</w:t>
            </w:r>
          </w:p>
        </w:tc>
        <w:tc>
          <w:tcPr>
            <w:tcW w:w="1434" w:type="dxa"/>
            <w:tcBorders>
              <w:top w:val="nil"/>
              <w:left w:val="nil"/>
              <w:bottom w:val="single" w:sz="4" w:space="0" w:color="auto"/>
              <w:right w:val="single" w:sz="4" w:space="0" w:color="auto"/>
            </w:tcBorders>
            <w:noWrap/>
            <w:hideMark/>
          </w:tcPr>
          <w:p w14:paraId="00B7723B"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16.157,00</w:t>
            </w:r>
          </w:p>
        </w:tc>
        <w:tc>
          <w:tcPr>
            <w:tcW w:w="236" w:type="dxa"/>
            <w:vAlign w:val="center"/>
            <w:hideMark/>
          </w:tcPr>
          <w:p w14:paraId="18A5F5D0"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0FD50C66"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2815DF02"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3</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3: Унапређење правног оквира за уређивање система плата запослених у ЈЛС</w:t>
            </w:r>
          </w:p>
        </w:tc>
        <w:tc>
          <w:tcPr>
            <w:tcW w:w="0" w:type="auto"/>
            <w:tcBorders>
              <w:top w:val="nil"/>
              <w:left w:val="nil"/>
              <w:bottom w:val="single" w:sz="4" w:space="0" w:color="auto"/>
              <w:right w:val="single" w:sz="4" w:space="0" w:color="auto"/>
            </w:tcBorders>
            <w:noWrap/>
            <w:hideMark/>
          </w:tcPr>
          <w:p w14:paraId="6A190ABB"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600,00</w:t>
            </w:r>
          </w:p>
        </w:tc>
        <w:tc>
          <w:tcPr>
            <w:tcW w:w="0" w:type="auto"/>
            <w:tcBorders>
              <w:top w:val="nil"/>
              <w:left w:val="nil"/>
              <w:bottom w:val="single" w:sz="4" w:space="0" w:color="auto"/>
              <w:right w:val="single" w:sz="4" w:space="0" w:color="auto"/>
            </w:tcBorders>
            <w:noWrap/>
            <w:hideMark/>
          </w:tcPr>
          <w:p w14:paraId="5DBD9690"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2.344,00</w:t>
            </w:r>
          </w:p>
        </w:tc>
        <w:tc>
          <w:tcPr>
            <w:tcW w:w="0" w:type="auto"/>
            <w:tcBorders>
              <w:top w:val="nil"/>
              <w:left w:val="nil"/>
              <w:bottom w:val="single" w:sz="4" w:space="0" w:color="auto"/>
              <w:right w:val="single" w:sz="4" w:space="0" w:color="auto"/>
            </w:tcBorders>
            <w:noWrap/>
            <w:hideMark/>
          </w:tcPr>
          <w:p w14:paraId="4D4606C0"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500,00</w:t>
            </w:r>
          </w:p>
        </w:tc>
        <w:tc>
          <w:tcPr>
            <w:tcW w:w="0" w:type="auto"/>
            <w:tcBorders>
              <w:top w:val="nil"/>
              <w:left w:val="nil"/>
              <w:bottom w:val="single" w:sz="4" w:space="0" w:color="auto"/>
              <w:right w:val="single" w:sz="4" w:space="0" w:color="auto"/>
            </w:tcBorders>
            <w:noWrap/>
            <w:hideMark/>
          </w:tcPr>
          <w:p w14:paraId="127DD7EF"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hideMark/>
          </w:tcPr>
          <w:p w14:paraId="00D199AF"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1434" w:type="dxa"/>
            <w:tcBorders>
              <w:top w:val="nil"/>
              <w:left w:val="nil"/>
              <w:bottom w:val="single" w:sz="4" w:space="0" w:color="auto"/>
              <w:right w:val="single" w:sz="4" w:space="0" w:color="auto"/>
            </w:tcBorders>
            <w:noWrap/>
            <w:hideMark/>
          </w:tcPr>
          <w:p w14:paraId="04018859"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3.444,00</w:t>
            </w:r>
          </w:p>
        </w:tc>
        <w:tc>
          <w:tcPr>
            <w:tcW w:w="236" w:type="dxa"/>
            <w:vAlign w:val="center"/>
            <w:hideMark/>
          </w:tcPr>
          <w:p w14:paraId="49D87388"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0801EB40"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7B494D10"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3</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4: Унапређење система планирања развоја локалне самоуправе </w:t>
            </w:r>
          </w:p>
        </w:tc>
        <w:tc>
          <w:tcPr>
            <w:tcW w:w="0" w:type="auto"/>
            <w:tcBorders>
              <w:top w:val="nil"/>
              <w:left w:val="nil"/>
              <w:bottom w:val="single" w:sz="4" w:space="0" w:color="auto"/>
              <w:right w:val="single" w:sz="4" w:space="0" w:color="auto"/>
            </w:tcBorders>
            <w:noWrap/>
            <w:hideMark/>
          </w:tcPr>
          <w:p w14:paraId="461E5EDD"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hideMark/>
          </w:tcPr>
          <w:p w14:paraId="162A2E76"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1.000,00</w:t>
            </w:r>
          </w:p>
        </w:tc>
        <w:tc>
          <w:tcPr>
            <w:tcW w:w="0" w:type="auto"/>
            <w:tcBorders>
              <w:top w:val="nil"/>
              <w:left w:val="nil"/>
              <w:bottom w:val="single" w:sz="4" w:space="0" w:color="auto"/>
              <w:right w:val="single" w:sz="4" w:space="0" w:color="auto"/>
            </w:tcBorders>
            <w:noWrap/>
            <w:hideMark/>
          </w:tcPr>
          <w:p w14:paraId="6B45271A"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hideMark/>
          </w:tcPr>
          <w:p w14:paraId="56FA002A"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600,00</w:t>
            </w:r>
          </w:p>
        </w:tc>
        <w:tc>
          <w:tcPr>
            <w:tcW w:w="0" w:type="auto"/>
            <w:tcBorders>
              <w:top w:val="nil"/>
              <w:left w:val="nil"/>
              <w:bottom w:val="single" w:sz="4" w:space="0" w:color="auto"/>
              <w:right w:val="single" w:sz="4" w:space="0" w:color="auto"/>
            </w:tcBorders>
            <w:noWrap/>
            <w:hideMark/>
          </w:tcPr>
          <w:p w14:paraId="4FE51E81"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600,00</w:t>
            </w:r>
          </w:p>
        </w:tc>
        <w:tc>
          <w:tcPr>
            <w:tcW w:w="1434" w:type="dxa"/>
            <w:tcBorders>
              <w:top w:val="nil"/>
              <w:left w:val="nil"/>
              <w:bottom w:val="single" w:sz="4" w:space="0" w:color="auto"/>
              <w:right w:val="single" w:sz="4" w:space="0" w:color="auto"/>
            </w:tcBorders>
            <w:noWrap/>
            <w:hideMark/>
          </w:tcPr>
          <w:p w14:paraId="23D00D23"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2.200,00</w:t>
            </w:r>
          </w:p>
        </w:tc>
        <w:tc>
          <w:tcPr>
            <w:tcW w:w="236" w:type="dxa"/>
            <w:vAlign w:val="center"/>
            <w:hideMark/>
          </w:tcPr>
          <w:p w14:paraId="7F94BC1F"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16899853"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4CAA9EA3"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3</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5</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 xml:space="preserve"> Унапређење капацитета локалне самоуправе за примену правног оквира ЕУ и кохезионе политике ЕУ </w:t>
            </w:r>
          </w:p>
        </w:tc>
        <w:tc>
          <w:tcPr>
            <w:tcW w:w="0" w:type="auto"/>
            <w:tcBorders>
              <w:top w:val="nil"/>
              <w:left w:val="nil"/>
              <w:bottom w:val="single" w:sz="4" w:space="0" w:color="auto"/>
              <w:right w:val="single" w:sz="4" w:space="0" w:color="auto"/>
            </w:tcBorders>
            <w:noWrap/>
            <w:hideMark/>
          </w:tcPr>
          <w:p w14:paraId="4894A962"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6.310,00</w:t>
            </w:r>
          </w:p>
        </w:tc>
        <w:tc>
          <w:tcPr>
            <w:tcW w:w="0" w:type="auto"/>
            <w:tcBorders>
              <w:top w:val="nil"/>
              <w:left w:val="nil"/>
              <w:bottom w:val="single" w:sz="4" w:space="0" w:color="auto"/>
              <w:right w:val="single" w:sz="4" w:space="0" w:color="auto"/>
            </w:tcBorders>
            <w:noWrap/>
            <w:hideMark/>
          </w:tcPr>
          <w:p w14:paraId="0A32EA19"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41.529,40</w:t>
            </w:r>
          </w:p>
        </w:tc>
        <w:tc>
          <w:tcPr>
            <w:tcW w:w="0" w:type="auto"/>
            <w:tcBorders>
              <w:top w:val="nil"/>
              <w:left w:val="nil"/>
              <w:bottom w:val="single" w:sz="4" w:space="0" w:color="auto"/>
              <w:right w:val="single" w:sz="4" w:space="0" w:color="auto"/>
            </w:tcBorders>
            <w:noWrap/>
            <w:hideMark/>
          </w:tcPr>
          <w:p w14:paraId="5E4B7E39"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20.605,10</w:t>
            </w:r>
          </w:p>
        </w:tc>
        <w:tc>
          <w:tcPr>
            <w:tcW w:w="0" w:type="auto"/>
            <w:tcBorders>
              <w:top w:val="nil"/>
              <w:left w:val="nil"/>
              <w:bottom w:val="single" w:sz="4" w:space="0" w:color="auto"/>
              <w:right w:val="single" w:sz="4" w:space="0" w:color="auto"/>
            </w:tcBorders>
            <w:noWrap/>
            <w:hideMark/>
          </w:tcPr>
          <w:p w14:paraId="113632F1"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0" w:type="auto"/>
            <w:tcBorders>
              <w:top w:val="nil"/>
              <w:left w:val="nil"/>
              <w:bottom w:val="single" w:sz="4" w:space="0" w:color="auto"/>
              <w:right w:val="single" w:sz="4" w:space="0" w:color="auto"/>
            </w:tcBorders>
            <w:noWrap/>
            <w:hideMark/>
          </w:tcPr>
          <w:p w14:paraId="674D000B"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0,00</w:t>
            </w:r>
          </w:p>
        </w:tc>
        <w:tc>
          <w:tcPr>
            <w:tcW w:w="1434" w:type="dxa"/>
            <w:tcBorders>
              <w:top w:val="nil"/>
              <w:left w:val="nil"/>
              <w:bottom w:val="single" w:sz="4" w:space="0" w:color="auto"/>
              <w:right w:val="single" w:sz="4" w:space="0" w:color="auto"/>
            </w:tcBorders>
            <w:noWrap/>
            <w:hideMark/>
          </w:tcPr>
          <w:p w14:paraId="1007A48E"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68.444,50</w:t>
            </w:r>
          </w:p>
        </w:tc>
        <w:tc>
          <w:tcPr>
            <w:tcW w:w="236" w:type="dxa"/>
            <w:vAlign w:val="center"/>
            <w:hideMark/>
          </w:tcPr>
          <w:p w14:paraId="1040870C"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035E8648" w14:textId="77777777" w:rsidTr="005B1172">
        <w:trPr>
          <w:trHeight w:val="758"/>
        </w:trPr>
        <w:tc>
          <w:tcPr>
            <w:tcW w:w="9734" w:type="dxa"/>
            <w:gridSpan w:val="7"/>
            <w:tcBorders>
              <w:top w:val="single" w:sz="4" w:space="0" w:color="auto"/>
              <w:left w:val="single" w:sz="4" w:space="0" w:color="auto"/>
              <w:bottom w:val="single" w:sz="4" w:space="0" w:color="auto"/>
              <w:right w:val="single" w:sz="4" w:space="0" w:color="auto"/>
            </w:tcBorders>
            <w:vAlign w:val="center"/>
            <w:hideMark/>
          </w:tcPr>
          <w:p w14:paraId="37A56E23" w14:textId="77777777" w:rsidR="00BC794C" w:rsidRPr="00226F9D" w:rsidRDefault="00BC794C" w:rsidP="00BC794C">
            <w:pPr>
              <w:spacing w:after="0" w:line="240" w:lineRule="auto"/>
              <w:jc w:val="center"/>
              <w:rPr>
                <w:rFonts w:ascii="Times New Roman" w:eastAsia="Times New Roman" w:hAnsi="Times New Roman" w:cs="Times New Roman"/>
                <w:b/>
                <w:bCs/>
                <w:color w:val="000000"/>
                <w:kern w:val="0"/>
                <w:sz w:val="20"/>
                <w:szCs w:val="20"/>
                <w:lang w:val="sr-Cyrl-RS"/>
                <w14:ligatures w14:val="none"/>
              </w:rPr>
            </w:pPr>
            <w:r w:rsidRPr="00226F9D">
              <w:rPr>
                <w:rFonts w:ascii="Times New Roman" w:eastAsia="Times New Roman" w:hAnsi="Times New Roman" w:cs="Times New Roman"/>
                <w:b/>
                <w:bCs/>
                <w:color w:val="000000"/>
                <w:kern w:val="0"/>
                <w:sz w:val="20"/>
                <w:szCs w:val="20"/>
                <w:lang w:val="sr-Cyrl-RS"/>
                <w14:ligatures w14:val="none"/>
              </w:rPr>
              <w:t xml:space="preserve">Посебни циљ 4: Унапређење квалитета и доступности услуга локалних органа управе* комуналних услуга и услуга јавних установа </w:t>
            </w:r>
          </w:p>
        </w:tc>
        <w:tc>
          <w:tcPr>
            <w:tcW w:w="236" w:type="dxa"/>
            <w:vAlign w:val="center"/>
            <w:hideMark/>
          </w:tcPr>
          <w:p w14:paraId="607F0137"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4CB9FDC4" w14:textId="77777777" w:rsidTr="005B1172">
        <w:trPr>
          <w:trHeight w:val="300"/>
        </w:trPr>
        <w:tc>
          <w:tcPr>
            <w:tcW w:w="0" w:type="auto"/>
            <w:vMerge w:val="restart"/>
            <w:tcBorders>
              <w:top w:val="nil"/>
              <w:left w:val="single" w:sz="4" w:space="0" w:color="auto"/>
              <w:bottom w:val="single" w:sz="4" w:space="0" w:color="auto"/>
              <w:right w:val="single" w:sz="4" w:space="0" w:color="auto"/>
            </w:tcBorders>
            <w:shd w:val="clear" w:color="000000" w:fill="F2F2F2"/>
            <w:vAlign w:val="center"/>
            <w:hideMark/>
          </w:tcPr>
          <w:p w14:paraId="5C522FD4" w14:textId="77777777" w:rsidR="00BC794C" w:rsidRPr="00226F9D" w:rsidRDefault="00BC794C" w:rsidP="00BC794C">
            <w:pPr>
              <w:spacing w:after="0" w:line="240" w:lineRule="auto"/>
              <w:jc w:val="right"/>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У хиљадама динара</w:t>
            </w:r>
          </w:p>
        </w:tc>
        <w:tc>
          <w:tcPr>
            <w:tcW w:w="0" w:type="auto"/>
            <w:vMerge w:val="restart"/>
            <w:tcBorders>
              <w:top w:val="nil"/>
              <w:left w:val="single" w:sz="4" w:space="0" w:color="auto"/>
              <w:bottom w:val="single" w:sz="4" w:space="0" w:color="auto"/>
              <w:right w:val="single" w:sz="4" w:space="0" w:color="auto"/>
            </w:tcBorders>
            <w:noWrap/>
            <w:vAlign w:val="center"/>
            <w:hideMark/>
          </w:tcPr>
          <w:p w14:paraId="5801B048"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2026</w:t>
            </w:r>
          </w:p>
        </w:tc>
        <w:tc>
          <w:tcPr>
            <w:tcW w:w="0" w:type="auto"/>
            <w:vMerge w:val="restart"/>
            <w:tcBorders>
              <w:top w:val="nil"/>
              <w:left w:val="single" w:sz="4" w:space="0" w:color="auto"/>
              <w:bottom w:val="single" w:sz="4" w:space="0" w:color="auto"/>
              <w:right w:val="single" w:sz="4" w:space="0" w:color="auto"/>
            </w:tcBorders>
            <w:noWrap/>
            <w:vAlign w:val="center"/>
            <w:hideMark/>
          </w:tcPr>
          <w:p w14:paraId="53D492F2"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2027</w:t>
            </w:r>
          </w:p>
        </w:tc>
        <w:tc>
          <w:tcPr>
            <w:tcW w:w="0" w:type="auto"/>
            <w:vMerge w:val="restart"/>
            <w:tcBorders>
              <w:top w:val="nil"/>
              <w:left w:val="single" w:sz="4" w:space="0" w:color="auto"/>
              <w:bottom w:val="single" w:sz="4" w:space="0" w:color="auto"/>
              <w:right w:val="single" w:sz="4" w:space="0" w:color="auto"/>
            </w:tcBorders>
            <w:noWrap/>
            <w:vAlign w:val="center"/>
            <w:hideMark/>
          </w:tcPr>
          <w:p w14:paraId="1D16311F"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2028</w:t>
            </w:r>
          </w:p>
        </w:tc>
        <w:tc>
          <w:tcPr>
            <w:tcW w:w="0" w:type="auto"/>
            <w:vMerge w:val="restart"/>
            <w:tcBorders>
              <w:top w:val="nil"/>
              <w:left w:val="single" w:sz="4" w:space="0" w:color="auto"/>
              <w:bottom w:val="single" w:sz="4" w:space="0" w:color="auto"/>
              <w:right w:val="single" w:sz="4" w:space="0" w:color="auto"/>
            </w:tcBorders>
            <w:noWrap/>
            <w:vAlign w:val="center"/>
            <w:hideMark/>
          </w:tcPr>
          <w:p w14:paraId="7767389E"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2029</w:t>
            </w:r>
          </w:p>
        </w:tc>
        <w:tc>
          <w:tcPr>
            <w:tcW w:w="0" w:type="auto"/>
            <w:vMerge w:val="restart"/>
            <w:tcBorders>
              <w:top w:val="nil"/>
              <w:left w:val="single" w:sz="4" w:space="0" w:color="auto"/>
              <w:bottom w:val="single" w:sz="4" w:space="0" w:color="auto"/>
              <w:right w:val="single" w:sz="4" w:space="0" w:color="auto"/>
            </w:tcBorders>
            <w:noWrap/>
            <w:vAlign w:val="center"/>
            <w:hideMark/>
          </w:tcPr>
          <w:p w14:paraId="4DF3F4BE"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2030</w:t>
            </w:r>
          </w:p>
        </w:tc>
        <w:tc>
          <w:tcPr>
            <w:tcW w:w="1434" w:type="dxa"/>
            <w:vMerge w:val="restart"/>
            <w:tcBorders>
              <w:top w:val="nil"/>
              <w:left w:val="single" w:sz="4" w:space="0" w:color="auto"/>
              <w:bottom w:val="single" w:sz="4" w:space="0" w:color="000000"/>
              <w:right w:val="single" w:sz="4" w:space="0" w:color="auto"/>
            </w:tcBorders>
            <w:noWrap/>
            <w:vAlign w:val="center"/>
            <w:hideMark/>
          </w:tcPr>
          <w:p w14:paraId="2300F3DE"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Times New Roman" w:hAnsi="Times New Roman" w:cs="Times New Roman"/>
                <w:b/>
                <w:color w:val="000000"/>
                <w:kern w:val="0"/>
                <w:sz w:val="20"/>
                <w:szCs w:val="20"/>
                <w:lang w:val="sr-Cyrl-RS"/>
                <w14:ligatures w14:val="none"/>
              </w:rPr>
              <w:t>УКУПНО</w:t>
            </w:r>
          </w:p>
        </w:tc>
        <w:tc>
          <w:tcPr>
            <w:tcW w:w="236" w:type="dxa"/>
            <w:vAlign w:val="center"/>
            <w:hideMark/>
          </w:tcPr>
          <w:p w14:paraId="76985321"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386DC7E2" w14:textId="77777777" w:rsidTr="005B1172">
        <w:trPr>
          <w:trHeight w:val="300"/>
        </w:trPr>
        <w:tc>
          <w:tcPr>
            <w:tcW w:w="0" w:type="auto"/>
            <w:vMerge/>
            <w:tcBorders>
              <w:top w:val="nil"/>
              <w:left w:val="single" w:sz="4" w:space="0" w:color="auto"/>
              <w:bottom w:val="single" w:sz="4" w:space="0" w:color="auto"/>
              <w:right w:val="single" w:sz="4" w:space="0" w:color="auto"/>
            </w:tcBorders>
            <w:vAlign w:val="center"/>
            <w:hideMark/>
          </w:tcPr>
          <w:p w14:paraId="16492DE2"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1071FD3D"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00CC13D"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045DFDDB"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24E072FC"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0" w:type="auto"/>
            <w:vMerge/>
            <w:tcBorders>
              <w:top w:val="nil"/>
              <w:left w:val="single" w:sz="4" w:space="0" w:color="auto"/>
              <w:bottom w:val="single" w:sz="4" w:space="0" w:color="auto"/>
              <w:right w:val="single" w:sz="4" w:space="0" w:color="auto"/>
            </w:tcBorders>
            <w:vAlign w:val="center"/>
            <w:hideMark/>
          </w:tcPr>
          <w:p w14:paraId="51A7E610"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1434" w:type="dxa"/>
            <w:vMerge/>
            <w:tcBorders>
              <w:top w:val="nil"/>
              <w:left w:val="single" w:sz="4" w:space="0" w:color="auto"/>
              <w:bottom w:val="single" w:sz="4" w:space="0" w:color="000000"/>
              <w:right w:val="single" w:sz="4" w:space="0" w:color="auto"/>
            </w:tcBorders>
            <w:vAlign w:val="center"/>
            <w:hideMark/>
          </w:tcPr>
          <w:p w14:paraId="3131C423" w14:textId="77777777" w:rsidR="00BC794C" w:rsidRPr="00226F9D" w:rsidRDefault="00BC794C" w:rsidP="00BC794C">
            <w:pPr>
              <w:spacing w:after="0" w:line="240" w:lineRule="auto"/>
              <w:jc w:val="both"/>
              <w:rPr>
                <w:rFonts w:ascii="Times New Roman" w:eastAsia="Times New Roman" w:hAnsi="Times New Roman" w:cs="Times New Roman"/>
                <w:b/>
                <w:bCs/>
                <w:color w:val="000000"/>
                <w:kern w:val="0"/>
                <w:sz w:val="20"/>
                <w:szCs w:val="20"/>
                <w:lang w:val="sr-Cyrl-RS"/>
                <w14:ligatures w14:val="none"/>
              </w:rPr>
            </w:pPr>
          </w:p>
        </w:tc>
        <w:tc>
          <w:tcPr>
            <w:tcW w:w="236" w:type="dxa"/>
            <w:tcBorders>
              <w:top w:val="nil"/>
              <w:left w:val="nil"/>
              <w:bottom w:val="nil"/>
              <w:right w:val="nil"/>
            </w:tcBorders>
            <w:noWrap/>
            <w:vAlign w:val="bottom"/>
            <w:hideMark/>
          </w:tcPr>
          <w:p w14:paraId="5D3E41C3" w14:textId="77777777" w:rsidR="00BC794C" w:rsidRPr="00226F9D" w:rsidRDefault="00BC794C" w:rsidP="00BC794C">
            <w:pPr>
              <w:spacing w:after="0" w:line="240" w:lineRule="auto"/>
              <w:jc w:val="center"/>
              <w:rPr>
                <w:rFonts w:ascii="Times New Roman" w:eastAsia="Times New Roman" w:hAnsi="Times New Roman" w:cs="Times New Roman"/>
                <w:b/>
                <w:bCs/>
                <w:color w:val="000000"/>
                <w:kern w:val="0"/>
                <w:sz w:val="20"/>
                <w:szCs w:val="20"/>
                <w:lang w:val="sr-Cyrl-RS"/>
                <w14:ligatures w14:val="none"/>
              </w:rPr>
            </w:pPr>
          </w:p>
        </w:tc>
      </w:tr>
      <w:tr w:rsidR="00BC794C" w:rsidRPr="00226F9D" w14:paraId="27496A32"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6699EE1C"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4</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1:  Подршка ефикаснoм спровођењу услуга и послова локалне самоуправе</w:t>
            </w:r>
          </w:p>
        </w:tc>
        <w:tc>
          <w:tcPr>
            <w:tcW w:w="0" w:type="auto"/>
            <w:tcBorders>
              <w:top w:val="nil"/>
              <w:left w:val="nil"/>
              <w:bottom w:val="single" w:sz="4" w:space="0" w:color="auto"/>
              <w:right w:val="single" w:sz="4" w:space="0" w:color="auto"/>
            </w:tcBorders>
            <w:noWrap/>
            <w:hideMark/>
          </w:tcPr>
          <w:p w14:paraId="3A508D2D"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13.630,00</w:t>
            </w:r>
          </w:p>
        </w:tc>
        <w:tc>
          <w:tcPr>
            <w:tcW w:w="0" w:type="auto"/>
            <w:tcBorders>
              <w:top w:val="nil"/>
              <w:left w:val="nil"/>
              <w:bottom w:val="single" w:sz="4" w:space="0" w:color="auto"/>
              <w:right w:val="single" w:sz="4" w:space="0" w:color="auto"/>
            </w:tcBorders>
            <w:noWrap/>
            <w:hideMark/>
          </w:tcPr>
          <w:p w14:paraId="3F44CB7E"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2.900,00</w:t>
            </w:r>
          </w:p>
        </w:tc>
        <w:tc>
          <w:tcPr>
            <w:tcW w:w="0" w:type="auto"/>
            <w:tcBorders>
              <w:top w:val="nil"/>
              <w:left w:val="nil"/>
              <w:bottom w:val="single" w:sz="4" w:space="0" w:color="auto"/>
              <w:right w:val="single" w:sz="4" w:space="0" w:color="auto"/>
            </w:tcBorders>
            <w:noWrap/>
            <w:hideMark/>
          </w:tcPr>
          <w:p w14:paraId="4D3F79F0"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2.360,00</w:t>
            </w:r>
          </w:p>
        </w:tc>
        <w:tc>
          <w:tcPr>
            <w:tcW w:w="0" w:type="auto"/>
            <w:tcBorders>
              <w:top w:val="nil"/>
              <w:left w:val="nil"/>
              <w:bottom w:val="single" w:sz="4" w:space="0" w:color="auto"/>
              <w:right w:val="single" w:sz="4" w:space="0" w:color="auto"/>
            </w:tcBorders>
            <w:noWrap/>
            <w:hideMark/>
          </w:tcPr>
          <w:p w14:paraId="1735CBE0"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2.720,00</w:t>
            </w:r>
          </w:p>
        </w:tc>
        <w:tc>
          <w:tcPr>
            <w:tcW w:w="0" w:type="auto"/>
            <w:tcBorders>
              <w:top w:val="nil"/>
              <w:left w:val="nil"/>
              <w:bottom w:val="single" w:sz="4" w:space="0" w:color="auto"/>
              <w:right w:val="single" w:sz="4" w:space="0" w:color="auto"/>
            </w:tcBorders>
            <w:noWrap/>
            <w:hideMark/>
          </w:tcPr>
          <w:p w14:paraId="05DB0222"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2.000,00</w:t>
            </w:r>
          </w:p>
        </w:tc>
        <w:tc>
          <w:tcPr>
            <w:tcW w:w="1434" w:type="dxa"/>
            <w:tcBorders>
              <w:top w:val="nil"/>
              <w:left w:val="nil"/>
              <w:bottom w:val="single" w:sz="4" w:space="0" w:color="auto"/>
              <w:right w:val="single" w:sz="4" w:space="0" w:color="auto"/>
            </w:tcBorders>
            <w:noWrap/>
            <w:hideMark/>
          </w:tcPr>
          <w:p w14:paraId="3DED76D8"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23.610,00</w:t>
            </w:r>
          </w:p>
        </w:tc>
        <w:tc>
          <w:tcPr>
            <w:tcW w:w="236" w:type="dxa"/>
            <w:vAlign w:val="center"/>
            <w:hideMark/>
          </w:tcPr>
          <w:p w14:paraId="59F5018D"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21F8694D"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467BD030"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4</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2</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 xml:space="preserve"> Подршка даљем развоју међуопштинских услуга </w:t>
            </w:r>
          </w:p>
        </w:tc>
        <w:tc>
          <w:tcPr>
            <w:tcW w:w="0" w:type="auto"/>
            <w:tcBorders>
              <w:top w:val="nil"/>
              <w:left w:val="nil"/>
              <w:bottom w:val="single" w:sz="4" w:space="0" w:color="auto"/>
              <w:right w:val="single" w:sz="4" w:space="0" w:color="auto"/>
            </w:tcBorders>
            <w:noWrap/>
            <w:hideMark/>
          </w:tcPr>
          <w:p w14:paraId="16EE9AFB"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12.480,00</w:t>
            </w:r>
          </w:p>
        </w:tc>
        <w:tc>
          <w:tcPr>
            <w:tcW w:w="0" w:type="auto"/>
            <w:tcBorders>
              <w:top w:val="nil"/>
              <w:left w:val="nil"/>
              <w:bottom w:val="single" w:sz="4" w:space="0" w:color="auto"/>
              <w:right w:val="single" w:sz="4" w:space="0" w:color="auto"/>
            </w:tcBorders>
            <w:noWrap/>
            <w:hideMark/>
          </w:tcPr>
          <w:p w14:paraId="5ABC44FB"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14.256,00</w:t>
            </w:r>
          </w:p>
        </w:tc>
        <w:tc>
          <w:tcPr>
            <w:tcW w:w="0" w:type="auto"/>
            <w:tcBorders>
              <w:top w:val="nil"/>
              <w:left w:val="nil"/>
              <w:bottom w:val="single" w:sz="4" w:space="0" w:color="auto"/>
              <w:right w:val="single" w:sz="4" w:space="0" w:color="auto"/>
            </w:tcBorders>
            <w:noWrap/>
            <w:hideMark/>
          </w:tcPr>
          <w:p w14:paraId="03AF3B10"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41.558,00</w:t>
            </w:r>
          </w:p>
        </w:tc>
        <w:tc>
          <w:tcPr>
            <w:tcW w:w="0" w:type="auto"/>
            <w:tcBorders>
              <w:top w:val="nil"/>
              <w:left w:val="nil"/>
              <w:bottom w:val="single" w:sz="4" w:space="0" w:color="auto"/>
              <w:right w:val="single" w:sz="4" w:space="0" w:color="auto"/>
            </w:tcBorders>
            <w:noWrap/>
            <w:hideMark/>
          </w:tcPr>
          <w:p w14:paraId="74797B2C"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42.243,00</w:t>
            </w:r>
          </w:p>
        </w:tc>
        <w:tc>
          <w:tcPr>
            <w:tcW w:w="0" w:type="auto"/>
            <w:tcBorders>
              <w:top w:val="nil"/>
              <w:left w:val="nil"/>
              <w:bottom w:val="single" w:sz="4" w:space="0" w:color="auto"/>
              <w:right w:val="single" w:sz="4" w:space="0" w:color="auto"/>
            </w:tcBorders>
            <w:noWrap/>
            <w:hideMark/>
          </w:tcPr>
          <w:p w14:paraId="7377472F"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12.000,00</w:t>
            </w:r>
          </w:p>
        </w:tc>
        <w:tc>
          <w:tcPr>
            <w:tcW w:w="1434" w:type="dxa"/>
            <w:tcBorders>
              <w:top w:val="nil"/>
              <w:left w:val="nil"/>
              <w:bottom w:val="single" w:sz="4" w:space="0" w:color="auto"/>
              <w:right w:val="single" w:sz="4" w:space="0" w:color="auto"/>
            </w:tcBorders>
            <w:noWrap/>
            <w:hideMark/>
          </w:tcPr>
          <w:p w14:paraId="41F2CE2F"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122.537,00</w:t>
            </w:r>
          </w:p>
        </w:tc>
        <w:tc>
          <w:tcPr>
            <w:tcW w:w="236" w:type="dxa"/>
            <w:vAlign w:val="center"/>
            <w:hideMark/>
          </w:tcPr>
          <w:p w14:paraId="1ADCC182"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r w:rsidR="00BC794C" w:rsidRPr="00226F9D" w14:paraId="6994EE42" w14:textId="77777777" w:rsidTr="005B1172">
        <w:trPr>
          <w:trHeight w:val="51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51EC76FA"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r w:rsidRPr="00226F9D">
              <w:rPr>
                <w:rFonts w:ascii="Times New Roman" w:eastAsia="Times New Roman" w:hAnsi="Times New Roman" w:cs="Times New Roman"/>
                <w:color w:val="000000"/>
                <w:kern w:val="0"/>
                <w:sz w:val="20"/>
                <w:szCs w:val="20"/>
                <w:lang w:val="sr-Cyrl-RS"/>
                <w14:ligatures w14:val="none"/>
              </w:rPr>
              <w:t>Мера 4</w:t>
            </w:r>
            <w:r w:rsidRPr="00226F9D">
              <w:rPr>
                <w:rFonts w:ascii="Times New Roman" w:eastAsia="Times New Roman" w:hAnsi="Times New Roman" w:cs="Times New Roman"/>
                <w:color w:val="000000"/>
                <w:kern w:val="0"/>
                <w:sz w:val="20"/>
                <w:szCs w:val="20"/>
                <w:lang w:val="ru-RU"/>
                <w14:ligatures w14:val="none"/>
              </w:rPr>
              <w:t>.</w:t>
            </w:r>
            <w:r w:rsidRPr="00226F9D">
              <w:rPr>
                <w:rFonts w:ascii="Times New Roman" w:eastAsia="Times New Roman" w:hAnsi="Times New Roman" w:cs="Times New Roman"/>
                <w:color w:val="000000"/>
                <w:kern w:val="0"/>
                <w:sz w:val="20"/>
                <w:szCs w:val="20"/>
                <w:lang w:val="sr-Cyrl-RS"/>
                <w14:ligatures w14:val="none"/>
              </w:rPr>
              <w:t>3: Подршка развоју система комуналних делатности локалне самоуправе</w:t>
            </w:r>
          </w:p>
        </w:tc>
        <w:tc>
          <w:tcPr>
            <w:tcW w:w="0" w:type="auto"/>
            <w:tcBorders>
              <w:top w:val="nil"/>
              <w:left w:val="nil"/>
              <w:bottom w:val="single" w:sz="4" w:space="0" w:color="auto"/>
              <w:right w:val="single" w:sz="4" w:space="0" w:color="auto"/>
            </w:tcBorders>
            <w:noWrap/>
            <w:hideMark/>
          </w:tcPr>
          <w:p w14:paraId="779D4403"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49.660,00</w:t>
            </w:r>
          </w:p>
        </w:tc>
        <w:tc>
          <w:tcPr>
            <w:tcW w:w="0" w:type="auto"/>
            <w:tcBorders>
              <w:top w:val="nil"/>
              <w:left w:val="nil"/>
              <w:bottom w:val="single" w:sz="4" w:space="0" w:color="auto"/>
              <w:right w:val="single" w:sz="4" w:space="0" w:color="auto"/>
            </w:tcBorders>
            <w:noWrap/>
            <w:hideMark/>
          </w:tcPr>
          <w:p w14:paraId="67471635"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7.400,00</w:t>
            </w:r>
          </w:p>
        </w:tc>
        <w:tc>
          <w:tcPr>
            <w:tcW w:w="0" w:type="auto"/>
            <w:tcBorders>
              <w:top w:val="nil"/>
              <w:left w:val="nil"/>
              <w:bottom w:val="single" w:sz="4" w:space="0" w:color="auto"/>
              <w:right w:val="single" w:sz="4" w:space="0" w:color="auto"/>
            </w:tcBorders>
            <w:noWrap/>
            <w:hideMark/>
          </w:tcPr>
          <w:p w14:paraId="2D2BD77B"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12.000,00</w:t>
            </w:r>
          </w:p>
        </w:tc>
        <w:tc>
          <w:tcPr>
            <w:tcW w:w="0" w:type="auto"/>
            <w:tcBorders>
              <w:top w:val="nil"/>
              <w:left w:val="nil"/>
              <w:bottom w:val="single" w:sz="4" w:space="0" w:color="auto"/>
              <w:right w:val="single" w:sz="4" w:space="0" w:color="auto"/>
            </w:tcBorders>
            <w:noWrap/>
            <w:hideMark/>
          </w:tcPr>
          <w:p w14:paraId="05F65690"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7.000,00</w:t>
            </w:r>
          </w:p>
        </w:tc>
        <w:tc>
          <w:tcPr>
            <w:tcW w:w="0" w:type="auto"/>
            <w:tcBorders>
              <w:top w:val="nil"/>
              <w:left w:val="nil"/>
              <w:bottom w:val="single" w:sz="4" w:space="0" w:color="auto"/>
              <w:right w:val="single" w:sz="4" w:space="0" w:color="auto"/>
            </w:tcBorders>
            <w:noWrap/>
            <w:hideMark/>
          </w:tcPr>
          <w:p w14:paraId="566393B9" w14:textId="77777777" w:rsidR="00BC794C" w:rsidRPr="00226F9D" w:rsidRDefault="00BC794C" w:rsidP="00BC794C">
            <w:pPr>
              <w:spacing w:after="0" w:line="240" w:lineRule="auto"/>
              <w:jc w:val="center"/>
              <w:rPr>
                <w:rFonts w:ascii="Times New Roman" w:eastAsia="Times New Roman" w:hAnsi="Times New Roman" w:cs="Times New Roman"/>
                <w:color w:val="000000"/>
                <w:kern w:val="0"/>
                <w:sz w:val="20"/>
                <w:szCs w:val="20"/>
                <w:lang w:val="sr-Cyrl-RS"/>
                <w14:ligatures w14:val="none"/>
              </w:rPr>
            </w:pPr>
            <w:r w:rsidRPr="00226F9D">
              <w:rPr>
                <w:rFonts w:ascii="Times New Roman" w:eastAsia="Calibri" w:hAnsi="Times New Roman" w:cs="Times New Roman"/>
                <w:color w:val="000000"/>
                <w:kern w:val="0"/>
                <w:sz w:val="20"/>
                <w:szCs w:val="20"/>
                <w:lang w:val="sr-Cyrl-RS"/>
                <w14:ligatures w14:val="none"/>
              </w:rPr>
              <w:t>7.000,00</w:t>
            </w:r>
          </w:p>
        </w:tc>
        <w:tc>
          <w:tcPr>
            <w:tcW w:w="1434" w:type="dxa"/>
            <w:tcBorders>
              <w:top w:val="nil"/>
              <w:left w:val="nil"/>
              <w:bottom w:val="single" w:sz="4" w:space="0" w:color="auto"/>
              <w:right w:val="single" w:sz="4" w:space="0" w:color="auto"/>
            </w:tcBorders>
            <w:noWrap/>
            <w:hideMark/>
          </w:tcPr>
          <w:p w14:paraId="45271000" w14:textId="77777777" w:rsidR="00BC794C" w:rsidRPr="00226F9D" w:rsidRDefault="00BC794C" w:rsidP="00BC794C">
            <w:pPr>
              <w:spacing w:after="0" w:line="240" w:lineRule="auto"/>
              <w:jc w:val="center"/>
              <w:rPr>
                <w:rFonts w:ascii="Times New Roman" w:eastAsia="Times New Roman" w:hAnsi="Times New Roman" w:cs="Times New Roman"/>
                <w:b/>
                <w:color w:val="000000"/>
                <w:kern w:val="0"/>
                <w:sz w:val="20"/>
                <w:szCs w:val="20"/>
                <w:lang w:val="sr-Cyrl-RS"/>
                <w14:ligatures w14:val="none"/>
              </w:rPr>
            </w:pPr>
            <w:r w:rsidRPr="00226F9D">
              <w:rPr>
                <w:rFonts w:ascii="Times New Roman" w:eastAsia="Calibri" w:hAnsi="Times New Roman" w:cs="Times New Roman"/>
                <w:b/>
                <w:color w:val="000000"/>
                <w:kern w:val="0"/>
                <w:sz w:val="20"/>
                <w:szCs w:val="20"/>
                <w:lang w:val="sr-Cyrl-RS"/>
                <w14:ligatures w14:val="none"/>
              </w:rPr>
              <w:t>83.060,00</w:t>
            </w:r>
          </w:p>
        </w:tc>
        <w:tc>
          <w:tcPr>
            <w:tcW w:w="236" w:type="dxa"/>
            <w:vAlign w:val="center"/>
            <w:hideMark/>
          </w:tcPr>
          <w:p w14:paraId="069DAA24" w14:textId="77777777" w:rsidR="00BC794C" w:rsidRPr="00226F9D" w:rsidRDefault="00BC794C" w:rsidP="00BC794C">
            <w:pPr>
              <w:spacing w:after="0" w:line="240" w:lineRule="auto"/>
              <w:jc w:val="both"/>
              <w:rPr>
                <w:rFonts w:ascii="Times New Roman" w:eastAsia="Times New Roman" w:hAnsi="Times New Roman" w:cs="Times New Roman"/>
                <w:color w:val="000000"/>
                <w:kern w:val="0"/>
                <w:sz w:val="20"/>
                <w:szCs w:val="20"/>
                <w:lang w:val="sr-Cyrl-RS"/>
                <w14:ligatures w14:val="none"/>
              </w:rPr>
            </w:pPr>
          </w:p>
        </w:tc>
      </w:tr>
    </w:tbl>
    <w:p w14:paraId="65A6DF23" w14:textId="77777777" w:rsidR="0012502E" w:rsidRPr="00226F9D" w:rsidRDefault="0012502E" w:rsidP="0012502E">
      <w:pPr>
        <w:spacing w:after="60" w:line="240" w:lineRule="auto"/>
        <w:jc w:val="both"/>
        <w:rPr>
          <w:rFonts w:ascii="Times New Roman" w:eastAsia="Arial" w:hAnsi="Times New Roman" w:cs="Times New Roman"/>
          <w:i/>
          <w:color w:val="000000" w:themeColor="text1"/>
          <w:kern w:val="0"/>
          <w:sz w:val="20"/>
          <w:szCs w:val="20"/>
          <w:lang w:val="sr-Latn-RS"/>
          <w14:ligatures w14:val="none"/>
        </w:rPr>
      </w:pPr>
    </w:p>
    <w:p w14:paraId="4DCB297D" w14:textId="77777777" w:rsidR="0012502E" w:rsidRPr="00226F9D" w:rsidRDefault="0012502E" w:rsidP="0012502E">
      <w:pPr>
        <w:keepNext/>
        <w:keepLines/>
        <w:numPr>
          <w:ilvl w:val="2"/>
          <w:numId w:val="0"/>
        </w:numPr>
        <w:spacing w:before="160" w:after="80" w:line="240" w:lineRule="auto"/>
        <w:ind w:left="720" w:hanging="720"/>
        <w:jc w:val="both"/>
        <w:outlineLvl w:val="2"/>
        <w:rPr>
          <w:rFonts w:ascii="Times New Roman" w:eastAsiaTheme="majorEastAsia" w:hAnsi="Times New Roman" w:cs="Times New Roman"/>
          <w:color w:val="0F4761" w:themeColor="accent1" w:themeShade="BF"/>
          <w:kern w:val="0"/>
          <w:sz w:val="28"/>
          <w:szCs w:val="28"/>
          <w:lang w:val="sr-Cyrl-RS"/>
          <w14:ligatures w14:val="none"/>
        </w:rPr>
      </w:pPr>
      <w:bookmarkStart w:id="53" w:name="_Toc214824531"/>
      <w:bookmarkStart w:id="54" w:name="_Toc222753930"/>
      <w:r w:rsidRPr="00226F9D">
        <w:rPr>
          <w:rFonts w:ascii="Times New Roman" w:eastAsiaTheme="majorEastAsia" w:hAnsi="Times New Roman" w:cs="Times New Roman"/>
          <w:color w:val="0F4761" w:themeColor="accent1" w:themeShade="BF"/>
          <w:kern w:val="0"/>
          <w:sz w:val="28"/>
          <w:szCs w:val="28"/>
          <w:lang w:val="sr-Cyrl-RS"/>
          <w14:ligatures w14:val="none"/>
        </w:rPr>
        <w:t>Процењена средства по изворима финансирања и</w:t>
      </w:r>
      <w:r w:rsidRPr="00226F9D">
        <w:rPr>
          <w:rFonts w:ascii="Times New Roman" w:eastAsiaTheme="majorEastAsia" w:hAnsi="Times New Roman" w:cs="Times New Roman"/>
          <w:color w:val="0F4761" w:themeColor="accent1" w:themeShade="BF"/>
          <w:kern w:val="0"/>
          <w:sz w:val="28"/>
          <w:szCs w:val="28"/>
          <w:lang w:val="ru-RU"/>
          <w14:ligatures w14:val="none"/>
        </w:rPr>
        <w:t xml:space="preserve"> </w:t>
      </w:r>
      <w:r w:rsidRPr="00226F9D">
        <w:rPr>
          <w:rFonts w:ascii="Times New Roman" w:eastAsiaTheme="majorEastAsia" w:hAnsi="Times New Roman" w:cs="Times New Roman"/>
          <w:color w:val="0F4761" w:themeColor="accent1" w:themeShade="BF"/>
          <w:kern w:val="0"/>
          <w:sz w:val="28"/>
          <w:szCs w:val="28"/>
          <w:lang w:val="sr-Cyrl-RS"/>
          <w14:ligatures w14:val="none"/>
        </w:rPr>
        <w:t>годинама</w:t>
      </w:r>
      <w:bookmarkEnd w:id="52"/>
      <w:bookmarkEnd w:id="53"/>
      <w:bookmarkEnd w:id="54"/>
    </w:p>
    <w:p w14:paraId="654796E5" w14:textId="77777777" w:rsidR="001D377B" w:rsidRPr="00226F9D" w:rsidRDefault="001D377B" w:rsidP="0012502E">
      <w:pPr>
        <w:spacing w:after="60" w:line="240" w:lineRule="auto"/>
        <w:jc w:val="both"/>
        <w:rPr>
          <w:rFonts w:ascii="Times New Roman" w:eastAsia="Calibri" w:hAnsi="Times New Roman" w:cs="Times New Roman"/>
          <w:color w:val="000000"/>
          <w:kern w:val="0"/>
          <w:lang w:val="sr-Latn-RS"/>
          <w14:ligatures w14:val="none"/>
        </w:rPr>
      </w:pPr>
    </w:p>
    <w:p w14:paraId="06039035" w14:textId="0640213B" w:rsidR="0012502E" w:rsidRPr="00226F9D" w:rsidRDefault="0012502E" w:rsidP="0012502E">
      <w:pPr>
        <w:spacing w:after="60" w:line="240" w:lineRule="auto"/>
        <w:jc w:val="both"/>
        <w:rPr>
          <w:rFonts w:ascii="Times New Roman" w:eastAsia="Calibri" w:hAnsi="Times New Roman" w:cs="Times New Roman"/>
          <w:color w:val="000000"/>
          <w:kern w:val="0"/>
          <w:lang w:val="sr-Latn-RS"/>
          <w14:ligatures w14:val="none"/>
        </w:rPr>
      </w:pPr>
      <w:r w:rsidRPr="00226F9D">
        <w:rPr>
          <w:rFonts w:ascii="Times New Roman" w:eastAsia="Calibri" w:hAnsi="Times New Roman" w:cs="Times New Roman"/>
          <w:color w:val="000000"/>
          <w:kern w:val="0"/>
          <w:lang w:val="sr-Cyrl-RS"/>
          <w14:ligatures w14:val="none"/>
        </w:rPr>
        <w:lastRenderedPageBreak/>
        <w:t>Процењене вредности исказане су у хиљадама динара.</w:t>
      </w:r>
    </w:p>
    <w:p w14:paraId="452F01F3" w14:textId="77777777" w:rsidR="001D377B" w:rsidRPr="00226F9D" w:rsidRDefault="001D377B" w:rsidP="0012502E">
      <w:pPr>
        <w:spacing w:after="60" w:line="240" w:lineRule="auto"/>
        <w:jc w:val="both"/>
        <w:rPr>
          <w:rFonts w:ascii="Times New Roman" w:eastAsia="Calibri" w:hAnsi="Times New Roman" w:cs="Times New Roman"/>
          <w:color w:val="000000"/>
          <w:kern w:val="0"/>
          <w:lang w:val="sr-Latn-RS"/>
          <w14:ligatures w14:val="none"/>
        </w:rPr>
      </w:pPr>
    </w:p>
    <w:p w14:paraId="51BFF507" w14:textId="77777777" w:rsidR="0012502E" w:rsidRPr="00226F9D" w:rsidRDefault="0012502E" w:rsidP="0012502E">
      <w:pPr>
        <w:keepNext/>
        <w:spacing w:after="60" w:line="240" w:lineRule="auto"/>
        <w:jc w:val="both"/>
        <w:rPr>
          <w:rFonts w:ascii="Times New Roman" w:eastAsia="Times New Roman" w:hAnsi="Times New Roman" w:cs="Times New Roman"/>
          <w:i/>
          <w:iCs/>
          <w:color w:val="0E2841" w:themeColor="text2"/>
          <w:kern w:val="0"/>
          <w:lang w:val="sr-Latn-RS" w:eastAsia="en-GB"/>
          <w14:ligatures w14:val="none"/>
        </w:rPr>
      </w:pPr>
      <w:r w:rsidRPr="00226F9D">
        <w:rPr>
          <w:rFonts w:ascii="Times New Roman" w:eastAsia="Times New Roman" w:hAnsi="Times New Roman" w:cs="Times New Roman"/>
          <w:b/>
          <w:bCs/>
          <w:i/>
          <w:iCs/>
          <w:color w:val="0E2841" w:themeColor="text2"/>
          <w:kern w:val="0"/>
          <w:lang w:val="sr-Cyrl-RS" w:eastAsia="en-GB"/>
          <w14:ligatures w14:val="none"/>
        </w:rPr>
        <w:t>Табела 3.</w:t>
      </w:r>
      <w:r w:rsidRPr="00226F9D">
        <w:rPr>
          <w:rFonts w:ascii="Times New Roman" w:eastAsia="Times New Roman" w:hAnsi="Times New Roman" w:cs="Times New Roman"/>
          <w:i/>
          <w:iCs/>
          <w:color w:val="0E2841" w:themeColor="text2"/>
          <w:kern w:val="0"/>
          <w:lang w:val="sr-Cyrl-RS" w:eastAsia="en-GB"/>
          <w14:ligatures w14:val="none"/>
        </w:rPr>
        <w:t xml:space="preserve"> Процењена потребна укупна додатна средства по изворима финансирања и годинама. у 000 динара</w:t>
      </w:r>
    </w:p>
    <w:p w14:paraId="3A6CD49C" w14:textId="77777777" w:rsidR="001D377B" w:rsidRPr="00226F9D" w:rsidRDefault="001D377B" w:rsidP="0012502E">
      <w:pPr>
        <w:keepNext/>
        <w:spacing w:after="60" w:line="240" w:lineRule="auto"/>
        <w:jc w:val="both"/>
        <w:rPr>
          <w:rFonts w:ascii="Times New Roman" w:eastAsia="Times New Roman" w:hAnsi="Times New Roman" w:cs="Times New Roman"/>
          <w:i/>
          <w:iCs/>
          <w:color w:val="0E2841" w:themeColor="text2"/>
          <w:kern w:val="0"/>
          <w:lang w:val="sr-Latn-RS" w:eastAsia="en-GB"/>
          <w14:ligatures w14:val="none"/>
        </w:rPr>
      </w:pPr>
    </w:p>
    <w:tbl>
      <w:tblPr>
        <w:tblW w:w="5000" w:type="pct"/>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ayout w:type="fixed"/>
        <w:tblCellMar>
          <w:left w:w="10" w:type="dxa"/>
          <w:right w:w="10" w:type="dxa"/>
        </w:tblCellMar>
        <w:tblLook w:val="04A0" w:firstRow="1" w:lastRow="0" w:firstColumn="1" w:lastColumn="0" w:noHBand="0" w:noVBand="1"/>
      </w:tblPr>
      <w:tblGrid>
        <w:gridCol w:w="2971"/>
        <w:gridCol w:w="1155"/>
        <w:gridCol w:w="1099"/>
        <w:gridCol w:w="1097"/>
        <w:gridCol w:w="1058"/>
        <w:gridCol w:w="1028"/>
        <w:gridCol w:w="1214"/>
      </w:tblGrid>
      <w:tr w:rsidR="00C06DDB" w:rsidRPr="00226F9D" w14:paraId="2FB68F23" w14:textId="77777777" w:rsidTr="00281401">
        <w:tc>
          <w:tcPr>
            <w:tcW w:w="1544" w:type="pct"/>
            <w:vAlign w:val="center"/>
          </w:tcPr>
          <w:p w14:paraId="42894F20" w14:textId="77777777" w:rsidR="00741CE4" w:rsidRPr="00226F9D" w:rsidRDefault="00741CE4" w:rsidP="005B1172">
            <w:pPr>
              <w:rPr>
                <w:rFonts w:ascii="Times New Roman" w:hAnsi="Times New Roman" w:cs="Times New Roman"/>
                <w:b/>
                <w:sz w:val="20"/>
                <w:szCs w:val="20"/>
                <w:lang w:val="sr-Cyrl-RS"/>
              </w:rPr>
            </w:pPr>
            <w:bookmarkStart w:id="55" w:name="_Информације_о_прописима"/>
            <w:bookmarkEnd w:id="55"/>
            <w:r w:rsidRPr="00226F9D">
              <w:rPr>
                <w:rFonts w:ascii="Times New Roman" w:hAnsi="Times New Roman" w:cs="Times New Roman"/>
              </w:rPr>
              <w:t>И</w:t>
            </w:r>
            <w:r w:rsidRPr="00226F9D">
              <w:rPr>
                <w:rFonts w:ascii="Times New Roman" w:hAnsi="Times New Roman" w:cs="Times New Roman"/>
                <w:b/>
                <w:sz w:val="20"/>
                <w:szCs w:val="20"/>
              </w:rPr>
              <w:t>ЗВОРИ ФИНАНСИРАЊА</w:t>
            </w:r>
          </w:p>
        </w:tc>
        <w:tc>
          <w:tcPr>
            <w:tcW w:w="600" w:type="pct"/>
            <w:vAlign w:val="center"/>
          </w:tcPr>
          <w:p w14:paraId="5D87E74E"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2026</w:t>
            </w:r>
          </w:p>
        </w:tc>
        <w:tc>
          <w:tcPr>
            <w:tcW w:w="571" w:type="pct"/>
            <w:vAlign w:val="center"/>
          </w:tcPr>
          <w:p w14:paraId="41C18E6D"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2027</w:t>
            </w:r>
          </w:p>
        </w:tc>
        <w:tc>
          <w:tcPr>
            <w:tcW w:w="570" w:type="pct"/>
            <w:vAlign w:val="center"/>
          </w:tcPr>
          <w:p w14:paraId="3981C570"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2028</w:t>
            </w:r>
          </w:p>
        </w:tc>
        <w:tc>
          <w:tcPr>
            <w:tcW w:w="550" w:type="pct"/>
            <w:vAlign w:val="center"/>
          </w:tcPr>
          <w:p w14:paraId="42802B5C"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2029</w:t>
            </w:r>
          </w:p>
        </w:tc>
        <w:tc>
          <w:tcPr>
            <w:tcW w:w="534" w:type="pct"/>
            <w:vAlign w:val="center"/>
          </w:tcPr>
          <w:p w14:paraId="4A0C41D0"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2030</w:t>
            </w:r>
          </w:p>
        </w:tc>
        <w:tc>
          <w:tcPr>
            <w:tcW w:w="631" w:type="pct"/>
            <w:vAlign w:val="center"/>
          </w:tcPr>
          <w:p w14:paraId="534596C9"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УКУПНО</w:t>
            </w:r>
          </w:p>
        </w:tc>
      </w:tr>
      <w:tr w:rsidR="00C06DDB" w:rsidRPr="00226F9D" w14:paraId="3023FB48" w14:textId="77777777" w:rsidTr="00281401">
        <w:tc>
          <w:tcPr>
            <w:tcW w:w="1544" w:type="pct"/>
          </w:tcPr>
          <w:p w14:paraId="099DFDB2" w14:textId="77777777" w:rsidR="00741CE4" w:rsidRPr="00226F9D" w:rsidRDefault="00741CE4" w:rsidP="005B1172">
            <w:pPr>
              <w:rPr>
                <w:rFonts w:ascii="Times New Roman" w:hAnsi="Times New Roman" w:cs="Times New Roman"/>
                <w:sz w:val="20"/>
                <w:szCs w:val="20"/>
              </w:rPr>
            </w:pPr>
            <w:r w:rsidRPr="00226F9D">
              <w:rPr>
                <w:rFonts w:ascii="Times New Roman" w:hAnsi="Times New Roman" w:cs="Times New Roman"/>
                <w:sz w:val="20"/>
                <w:szCs w:val="20"/>
              </w:rPr>
              <w:t>Буџетска средства</w:t>
            </w:r>
          </w:p>
        </w:tc>
        <w:tc>
          <w:tcPr>
            <w:tcW w:w="600" w:type="pct"/>
          </w:tcPr>
          <w:p w14:paraId="0D1A5030" w14:textId="77777777" w:rsidR="00741CE4" w:rsidRPr="00226F9D" w:rsidRDefault="00741CE4"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146.000,00</w:t>
            </w:r>
          </w:p>
        </w:tc>
        <w:tc>
          <w:tcPr>
            <w:tcW w:w="571" w:type="pct"/>
          </w:tcPr>
          <w:p w14:paraId="4582EF98" w14:textId="77777777" w:rsidR="00741CE4" w:rsidRPr="00226F9D" w:rsidRDefault="00741CE4"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107.692,96</w:t>
            </w:r>
          </w:p>
        </w:tc>
        <w:tc>
          <w:tcPr>
            <w:tcW w:w="570" w:type="pct"/>
          </w:tcPr>
          <w:p w14:paraId="4B2E6FDD" w14:textId="77777777" w:rsidR="00741CE4" w:rsidRPr="00226F9D" w:rsidRDefault="00741CE4"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7.764,88</w:t>
            </w:r>
          </w:p>
        </w:tc>
        <w:tc>
          <w:tcPr>
            <w:tcW w:w="550" w:type="pct"/>
          </w:tcPr>
          <w:p w14:paraId="4F863C5D" w14:textId="77777777" w:rsidR="00741CE4" w:rsidRPr="00226F9D" w:rsidRDefault="00741CE4"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7.764,88</w:t>
            </w:r>
          </w:p>
        </w:tc>
        <w:tc>
          <w:tcPr>
            <w:tcW w:w="534" w:type="pct"/>
          </w:tcPr>
          <w:p w14:paraId="6BC695C6" w14:textId="77777777" w:rsidR="00741CE4" w:rsidRPr="00226F9D" w:rsidRDefault="00741CE4"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7.764,88</w:t>
            </w:r>
          </w:p>
        </w:tc>
        <w:tc>
          <w:tcPr>
            <w:tcW w:w="631" w:type="pct"/>
          </w:tcPr>
          <w:p w14:paraId="3C6CAC8A" w14:textId="77777777" w:rsidR="00741CE4" w:rsidRPr="00226F9D" w:rsidRDefault="00741CE4" w:rsidP="005B1172">
            <w:pPr>
              <w:jc w:val="center"/>
              <w:rPr>
                <w:rFonts w:ascii="Times New Roman" w:hAnsi="Times New Roman" w:cs="Times New Roman"/>
                <w:b/>
                <w:sz w:val="20"/>
                <w:szCs w:val="20"/>
                <w:lang w:val="sl-SI"/>
              </w:rPr>
            </w:pPr>
            <w:r w:rsidRPr="00226F9D">
              <w:rPr>
                <w:rFonts w:ascii="Times New Roman" w:hAnsi="Times New Roman" w:cs="Times New Roman"/>
                <w:b/>
                <w:sz w:val="20"/>
                <w:szCs w:val="20"/>
              </w:rPr>
              <w:t>276.987,60</w:t>
            </w:r>
          </w:p>
        </w:tc>
      </w:tr>
      <w:tr w:rsidR="00C06DDB" w:rsidRPr="00226F9D" w14:paraId="5EF03E1F" w14:textId="77777777" w:rsidTr="00281401">
        <w:tc>
          <w:tcPr>
            <w:tcW w:w="1544" w:type="pct"/>
          </w:tcPr>
          <w:p w14:paraId="6F6BC821" w14:textId="77777777" w:rsidR="00741CE4" w:rsidRPr="00226F9D" w:rsidRDefault="00741CE4" w:rsidP="005B1172">
            <w:pPr>
              <w:rPr>
                <w:rFonts w:ascii="Times New Roman" w:hAnsi="Times New Roman" w:cs="Times New Roman"/>
                <w:sz w:val="20"/>
                <w:szCs w:val="20"/>
              </w:rPr>
            </w:pPr>
            <w:r w:rsidRPr="00226F9D">
              <w:rPr>
                <w:rFonts w:ascii="Times New Roman" w:hAnsi="Times New Roman" w:cs="Times New Roman"/>
                <w:sz w:val="20"/>
                <w:szCs w:val="20"/>
              </w:rPr>
              <w:t>Донаторска средства</w:t>
            </w:r>
          </w:p>
        </w:tc>
        <w:tc>
          <w:tcPr>
            <w:tcW w:w="600" w:type="pct"/>
          </w:tcPr>
          <w:p w14:paraId="14E98510" w14:textId="77777777" w:rsidR="00741CE4" w:rsidRPr="00226F9D" w:rsidRDefault="00741CE4"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111.828,00</w:t>
            </w:r>
          </w:p>
        </w:tc>
        <w:tc>
          <w:tcPr>
            <w:tcW w:w="571" w:type="pct"/>
          </w:tcPr>
          <w:p w14:paraId="5DA28004" w14:textId="77777777" w:rsidR="00741CE4" w:rsidRPr="00226F9D" w:rsidRDefault="00741CE4"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109.729,40</w:t>
            </w:r>
          </w:p>
        </w:tc>
        <w:tc>
          <w:tcPr>
            <w:tcW w:w="570" w:type="pct"/>
          </w:tcPr>
          <w:p w14:paraId="3E16050D" w14:textId="77777777" w:rsidR="00741CE4" w:rsidRPr="00226F9D" w:rsidRDefault="00741CE4"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131.887,10</w:t>
            </w:r>
          </w:p>
        </w:tc>
        <w:tc>
          <w:tcPr>
            <w:tcW w:w="550" w:type="pct"/>
          </w:tcPr>
          <w:p w14:paraId="6DCC9744" w14:textId="77777777" w:rsidR="00741CE4" w:rsidRPr="00226F9D" w:rsidRDefault="00741CE4"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83.091,00</w:t>
            </w:r>
          </w:p>
        </w:tc>
        <w:tc>
          <w:tcPr>
            <w:tcW w:w="534" w:type="pct"/>
          </w:tcPr>
          <w:p w14:paraId="5CD3F9D9" w14:textId="77777777" w:rsidR="00741CE4" w:rsidRPr="00226F9D" w:rsidRDefault="00741CE4" w:rsidP="005B1172">
            <w:pPr>
              <w:jc w:val="center"/>
              <w:rPr>
                <w:rFonts w:ascii="Times New Roman" w:hAnsi="Times New Roman" w:cs="Times New Roman"/>
                <w:sz w:val="20"/>
                <w:szCs w:val="20"/>
                <w:lang w:val="sl-SI"/>
              </w:rPr>
            </w:pPr>
            <w:r w:rsidRPr="00226F9D">
              <w:rPr>
                <w:rFonts w:ascii="Times New Roman" w:hAnsi="Times New Roman" w:cs="Times New Roman"/>
                <w:sz w:val="20"/>
                <w:szCs w:val="20"/>
              </w:rPr>
              <w:t>39.785,00</w:t>
            </w:r>
          </w:p>
        </w:tc>
        <w:tc>
          <w:tcPr>
            <w:tcW w:w="631" w:type="pct"/>
          </w:tcPr>
          <w:p w14:paraId="4B24D445" w14:textId="77777777" w:rsidR="00741CE4" w:rsidRPr="00226F9D" w:rsidRDefault="00741CE4" w:rsidP="005B1172">
            <w:pPr>
              <w:jc w:val="center"/>
              <w:rPr>
                <w:rFonts w:ascii="Times New Roman" w:hAnsi="Times New Roman" w:cs="Times New Roman"/>
                <w:b/>
                <w:sz w:val="20"/>
                <w:szCs w:val="20"/>
                <w:lang w:val="sl-SI"/>
              </w:rPr>
            </w:pPr>
            <w:r w:rsidRPr="00226F9D">
              <w:rPr>
                <w:rFonts w:ascii="Times New Roman" w:hAnsi="Times New Roman" w:cs="Times New Roman"/>
                <w:b/>
                <w:sz w:val="20"/>
                <w:szCs w:val="20"/>
              </w:rPr>
              <w:t>476.320,50</w:t>
            </w:r>
          </w:p>
        </w:tc>
      </w:tr>
      <w:tr w:rsidR="00C06DDB" w:rsidRPr="00226F9D" w14:paraId="07A2D3DF" w14:textId="77777777" w:rsidTr="00281401">
        <w:tc>
          <w:tcPr>
            <w:tcW w:w="1544" w:type="pct"/>
          </w:tcPr>
          <w:p w14:paraId="418C0A0C" w14:textId="77777777" w:rsidR="00741CE4" w:rsidRPr="00226F9D" w:rsidRDefault="00741CE4" w:rsidP="005B1172">
            <w:pPr>
              <w:jc w:val="right"/>
              <w:rPr>
                <w:rFonts w:ascii="Times New Roman" w:hAnsi="Times New Roman" w:cs="Times New Roman"/>
                <w:b/>
                <w:sz w:val="20"/>
                <w:szCs w:val="20"/>
              </w:rPr>
            </w:pPr>
            <w:r w:rsidRPr="00226F9D">
              <w:rPr>
                <w:rFonts w:ascii="Times New Roman" w:hAnsi="Times New Roman" w:cs="Times New Roman"/>
                <w:b/>
                <w:sz w:val="20"/>
                <w:szCs w:val="20"/>
              </w:rPr>
              <w:t>УКУПНО:</w:t>
            </w:r>
          </w:p>
        </w:tc>
        <w:tc>
          <w:tcPr>
            <w:tcW w:w="600" w:type="pct"/>
          </w:tcPr>
          <w:p w14:paraId="346A3F95"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257.828,00</w:t>
            </w:r>
          </w:p>
        </w:tc>
        <w:tc>
          <w:tcPr>
            <w:tcW w:w="571" w:type="pct"/>
          </w:tcPr>
          <w:p w14:paraId="6B160D12"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217.422,36</w:t>
            </w:r>
          </w:p>
        </w:tc>
        <w:tc>
          <w:tcPr>
            <w:tcW w:w="570" w:type="pct"/>
          </w:tcPr>
          <w:p w14:paraId="4800527E"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139.651,98</w:t>
            </w:r>
          </w:p>
        </w:tc>
        <w:tc>
          <w:tcPr>
            <w:tcW w:w="550" w:type="pct"/>
          </w:tcPr>
          <w:p w14:paraId="4F69756D"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90.855,88</w:t>
            </w:r>
          </w:p>
        </w:tc>
        <w:tc>
          <w:tcPr>
            <w:tcW w:w="534" w:type="pct"/>
          </w:tcPr>
          <w:p w14:paraId="1BCAC5A5"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47.549,88</w:t>
            </w:r>
          </w:p>
        </w:tc>
        <w:tc>
          <w:tcPr>
            <w:tcW w:w="631" w:type="pct"/>
          </w:tcPr>
          <w:p w14:paraId="4D0D05C2" w14:textId="77777777" w:rsidR="00741CE4" w:rsidRPr="00226F9D" w:rsidRDefault="00741CE4" w:rsidP="005B1172">
            <w:pPr>
              <w:jc w:val="center"/>
              <w:rPr>
                <w:rFonts w:ascii="Times New Roman" w:hAnsi="Times New Roman" w:cs="Times New Roman"/>
                <w:b/>
                <w:sz w:val="20"/>
                <w:szCs w:val="20"/>
              </w:rPr>
            </w:pPr>
            <w:r w:rsidRPr="00226F9D">
              <w:rPr>
                <w:rFonts w:ascii="Times New Roman" w:hAnsi="Times New Roman" w:cs="Times New Roman"/>
                <w:b/>
                <w:sz w:val="20"/>
                <w:szCs w:val="20"/>
              </w:rPr>
              <w:t>753.308,10</w:t>
            </w:r>
          </w:p>
        </w:tc>
      </w:tr>
    </w:tbl>
    <w:p w14:paraId="0C1B1DAD" w14:textId="77777777" w:rsidR="0012502E" w:rsidRPr="00226F9D" w:rsidRDefault="0012502E" w:rsidP="0012502E">
      <w:pPr>
        <w:spacing w:after="60" w:line="240" w:lineRule="auto"/>
        <w:jc w:val="both"/>
        <w:rPr>
          <w:rFonts w:ascii="Times New Roman" w:eastAsia="Calibri" w:hAnsi="Times New Roman" w:cs="Times New Roman"/>
          <w:color w:val="000000"/>
          <w:kern w:val="0"/>
          <w:sz w:val="22"/>
          <w:szCs w:val="22"/>
          <w:lang w:val="sr-Cyrl-RS"/>
          <w14:ligatures w14:val="none"/>
        </w:rPr>
      </w:pPr>
    </w:p>
    <w:p w14:paraId="55315866" w14:textId="77777777" w:rsidR="00F1569D" w:rsidRPr="00226F9D" w:rsidRDefault="00F1569D" w:rsidP="00F1569D">
      <w:pPr>
        <w:rPr>
          <w:rFonts w:ascii="Times New Roman" w:hAnsi="Times New Roman" w:cs="Times New Roman"/>
          <w:lang w:val="sr-Cyrl-RS"/>
        </w:rPr>
      </w:pPr>
    </w:p>
    <w:p w14:paraId="6F8F6F37" w14:textId="77777777" w:rsidR="00702498" w:rsidRPr="00226F9D" w:rsidRDefault="00702498" w:rsidP="00F1569D">
      <w:pPr>
        <w:rPr>
          <w:rFonts w:ascii="Times New Roman" w:hAnsi="Times New Roman" w:cs="Times New Roman"/>
          <w:lang w:val="sr-Latn-RS"/>
        </w:rPr>
      </w:pPr>
    </w:p>
    <w:p w14:paraId="76C03300" w14:textId="77777777" w:rsidR="00702498" w:rsidRPr="00226F9D" w:rsidRDefault="00702498" w:rsidP="00F1569D">
      <w:pPr>
        <w:rPr>
          <w:rFonts w:ascii="Times New Roman" w:hAnsi="Times New Roman" w:cs="Times New Roman"/>
          <w:lang w:val="sr-Latn-RS"/>
        </w:rPr>
      </w:pPr>
    </w:p>
    <w:p w14:paraId="158DCA68" w14:textId="77777777" w:rsidR="00702498" w:rsidRPr="00226F9D" w:rsidRDefault="00702498" w:rsidP="00F1569D">
      <w:pPr>
        <w:rPr>
          <w:rFonts w:ascii="Times New Roman" w:hAnsi="Times New Roman" w:cs="Times New Roman"/>
          <w:lang w:val="sr-Latn-RS"/>
        </w:rPr>
      </w:pPr>
    </w:p>
    <w:p w14:paraId="7DB58096" w14:textId="77777777" w:rsidR="004D6074" w:rsidRPr="00226F9D" w:rsidRDefault="004D6074" w:rsidP="00F1569D">
      <w:pPr>
        <w:rPr>
          <w:rFonts w:ascii="Times New Roman" w:hAnsi="Times New Roman" w:cs="Times New Roman"/>
          <w:lang w:val="sr-Latn-RS"/>
        </w:rPr>
        <w:sectPr w:rsidR="004D6074" w:rsidRPr="00226F9D" w:rsidSect="00885601">
          <w:footerReference w:type="default" r:id="rId21"/>
          <w:pgSz w:w="11900" w:h="16840"/>
          <w:pgMar w:top="1134" w:right="1134" w:bottom="1134" w:left="1134" w:header="720" w:footer="567" w:gutter="0"/>
          <w:cols w:space="720"/>
          <w:titlePg/>
          <w:docGrid w:linePitch="360"/>
        </w:sectPr>
      </w:pPr>
    </w:p>
    <w:p w14:paraId="18D660C5" w14:textId="77777777" w:rsidR="00BD0BD3" w:rsidRPr="00226F9D" w:rsidRDefault="00BD0BD3" w:rsidP="00BD0BD3">
      <w:pPr>
        <w:rPr>
          <w:rFonts w:ascii="Times New Roman" w:hAnsi="Times New Roman" w:cs="Times New Roman"/>
          <w:lang w:val="sr-Cyrl-RS"/>
        </w:rPr>
      </w:pPr>
    </w:p>
    <w:p w14:paraId="734B1D76" w14:textId="77777777" w:rsidR="00BD0BD3" w:rsidRPr="00226F9D" w:rsidRDefault="00BD0BD3" w:rsidP="00BD0BD3">
      <w:pPr>
        <w:rPr>
          <w:rFonts w:ascii="Times New Roman" w:hAnsi="Times New Roman" w:cs="Times New Roman"/>
          <w:lang w:val="sr-Cyrl-RS"/>
        </w:rPr>
      </w:pPr>
    </w:p>
    <w:p w14:paraId="712DB0DE" w14:textId="7F939799" w:rsidR="00AA05F3" w:rsidRPr="00226F9D" w:rsidRDefault="004B5362" w:rsidP="005B0999">
      <w:pPr>
        <w:pStyle w:val="Heading1"/>
        <w:rPr>
          <w:rFonts w:ascii="Times New Roman" w:hAnsi="Times New Roman" w:cs="Times New Roman"/>
        </w:rPr>
      </w:pPr>
      <w:bookmarkStart w:id="56" w:name="_Toc222753931"/>
      <w:r w:rsidRPr="00226F9D">
        <w:rPr>
          <w:rFonts w:ascii="Times New Roman" w:hAnsi="Times New Roman" w:cs="Times New Roman"/>
        </w:rPr>
        <w:t xml:space="preserve">VII  </w:t>
      </w:r>
      <w:r w:rsidR="00F1569D" w:rsidRPr="00226F9D">
        <w:rPr>
          <w:rFonts w:ascii="Times New Roman" w:hAnsi="Times New Roman" w:cs="Times New Roman"/>
        </w:rPr>
        <w:t xml:space="preserve">Акциони план за </w:t>
      </w:r>
      <w:r w:rsidR="007D4B18" w:rsidRPr="00226F9D">
        <w:rPr>
          <w:rFonts w:ascii="Times New Roman" w:hAnsi="Times New Roman" w:cs="Times New Roman"/>
        </w:rPr>
        <w:t>спровођење Програма</w:t>
      </w:r>
      <w:bookmarkEnd w:id="56"/>
    </w:p>
    <w:p w14:paraId="3E00A241" w14:textId="77777777" w:rsidR="007C438C" w:rsidRPr="00226F9D" w:rsidRDefault="007C438C" w:rsidP="005B0999">
      <w:pPr>
        <w:spacing w:after="0" w:line="240" w:lineRule="auto"/>
        <w:rPr>
          <w:rFonts w:ascii="Times New Roman" w:hAnsi="Times New Roman" w:cs="Times New Roman"/>
          <w:highlight w:val="yellow"/>
          <w:lang w:val="sr-Latn-RS"/>
        </w:rPr>
      </w:pPr>
    </w:p>
    <w:p w14:paraId="290E7387" w14:textId="77777777" w:rsidR="00E63E75" w:rsidRPr="00226F9D" w:rsidRDefault="00E63E75" w:rsidP="005B0999">
      <w:pPr>
        <w:spacing w:after="0" w:line="240" w:lineRule="auto"/>
        <w:rPr>
          <w:rFonts w:ascii="Times New Roman" w:hAnsi="Times New Roman" w:cs="Times New Roman"/>
          <w:highlight w:val="yellow"/>
          <w:lang w:val="sr-Latn-RS"/>
        </w:rPr>
      </w:pPr>
    </w:p>
    <w:tbl>
      <w:tblPr>
        <w:tblW w:w="15706" w:type="dxa"/>
        <w:tblCellMar>
          <w:top w:w="57" w:type="dxa"/>
          <w:left w:w="85" w:type="dxa"/>
          <w:bottom w:w="57" w:type="dxa"/>
          <w:right w:w="85" w:type="dxa"/>
        </w:tblCellMar>
        <w:tblLook w:val="04A0" w:firstRow="1" w:lastRow="0" w:firstColumn="1" w:lastColumn="0" w:noHBand="0" w:noVBand="1"/>
      </w:tblPr>
      <w:tblGrid>
        <w:gridCol w:w="5240"/>
        <w:gridCol w:w="1134"/>
        <w:gridCol w:w="1592"/>
        <w:gridCol w:w="2141"/>
        <w:gridCol w:w="1267"/>
        <w:gridCol w:w="844"/>
        <w:gridCol w:w="843"/>
        <w:gridCol w:w="844"/>
        <w:gridCol w:w="845"/>
        <w:gridCol w:w="956"/>
      </w:tblGrid>
      <w:tr w:rsidR="00FB70CD" w:rsidRPr="00226F9D" w14:paraId="24F20058" w14:textId="77777777" w:rsidTr="005B0999">
        <w:trPr>
          <w:trHeight w:val="29"/>
        </w:trPr>
        <w:tc>
          <w:tcPr>
            <w:tcW w:w="15706" w:type="dxa"/>
            <w:gridSpan w:val="10"/>
            <w:tcBorders>
              <w:top w:val="single" w:sz="4" w:space="0" w:color="auto"/>
              <w:left w:val="single" w:sz="4" w:space="0" w:color="auto"/>
              <w:bottom w:val="single" w:sz="4" w:space="0" w:color="auto"/>
              <w:right w:val="single" w:sz="4" w:space="0" w:color="auto"/>
            </w:tcBorders>
            <w:shd w:val="clear" w:color="000000" w:fill="C5E0B3"/>
            <w:vAlign w:val="center"/>
            <w:hideMark/>
          </w:tcPr>
          <w:p w14:paraId="2A6FFAB7"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val="sr-Latn-RS"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Акциони</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план</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за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период</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од</w:t>
            </w:r>
            <w:r w:rsidRPr="00226F9D">
              <w:rPr>
                <w:rFonts w:ascii="Times New Roman" w:eastAsia="Times New Roman" w:hAnsi="Times New Roman" w:cs="Times New Roman"/>
                <w:b/>
                <w:bCs/>
                <w:color w:val="000000"/>
                <w:kern w:val="0"/>
                <w:sz w:val="16"/>
                <w:szCs w:val="16"/>
                <w:lang w:val="sr-Latn-RS" w:eastAsia="en-GB"/>
                <w14:ligatures w14:val="none"/>
              </w:rPr>
              <w:t xml:space="preserve"> 2026. </w:t>
            </w:r>
            <w:r w:rsidRPr="00226F9D">
              <w:rPr>
                <w:rFonts w:ascii="Times New Roman" w:eastAsia="Times New Roman" w:hAnsi="Times New Roman" w:cs="Times New Roman"/>
                <w:b/>
                <w:bCs/>
                <w:color w:val="000000"/>
                <w:kern w:val="0"/>
                <w:sz w:val="16"/>
                <w:szCs w:val="16"/>
                <w:lang w:eastAsia="en-GB"/>
                <w14:ligatures w14:val="none"/>
              </w:rPr>
              <w:t>до</w:t>
            </w:r>
            <w:r w:rsidRPr="00226F9D">
              <w:rPr>
                <w:rFonts w:ascii="Times New Roman" w:eastAsia="Times New Roman" w:hAnsi="Times New Roman" w:cs="Times New Roman"/>
                <w:b/>
                <w:bCs/>
                <w:color w:val="000000"/>
                <w:kern w:val="0"/>
                <w:sz w:val="16"/>
                <w:szCs w:val="16"/>
                <w:lang w:val="sr-Latn-RS" w:eastAsia="en-GB"/>
                <w14:ligatures w14:val="none"/>
              </w:rPr>
              <w:t xml:space="preserve"> 2030. </w:t>
            </w:r>
            <w:r w:rsidRPr="00226F9D">
              <w:rPr>
                <w:rFonts w:ascii="Times New Roman" w:eastAsia="Times New Roman" w:hAnsi="Times New Roman" w:cs="Times New Roman"/>
                <w:b/>
                <w:bCs/>
                <w:color w:val="000000"/>
                <w:kern w:val="0"/>
                <w:sz w:val="16"/>
                <w:szCs w:val="16"/>
                <w:lang w:eastAsia="en-GB"/>
                <w14:ligatures w14:val="none"/>
              </w:rPr>
              <w:t>године</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за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спровођење</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Програма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за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реформу</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система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локалне</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самоуправе</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у</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Републици</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Србији</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за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период</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од</w:t>
            </w:r>
            <w:r w:rsidRPr="00226F9D">
              <w:rPr>
                <w:rFonts w:ascii="Times New Roman" w:eastAsia="Times New Roman" w:hAnsi="Times New Roman" w:cs="Times New Roman"/>
                <w:b/>
                <w:bCs/>
                <w:color w:val="000000"/>
                <w:kern w:val="0"/>
                <w:sz w:val="16"/>
                <w:szCs w:val="16"/>
                <w:lang w:val="sr-Latn-RS" w:eastAsia="en-GB"/>
                <w14:ligatures w14:val="none"/>
              </w:rPr>
              <w:t xml:space="preserve"> 2026. </w:t>
            </w:r>
            <w:r w:rsidRPr="00226F9D">
              <w:rPr>
                <w:rFonts w:ascii="Times New Roman" w:eastAsia="Times New Roman" w:hAnsi="Times New Roman" w:cs="Times New Roman"/>
                <w:b/>
                <w:bCs/>
                <w:color w:val="000000"/>
                <w:kern w:val="0"/>
                <w:sz w:val="16"/>
                <w:szCs w:val="16"/>
                <w:lang w:eastAsia="en-GB"/>
                <w14:ligatures w14:val="none"/>
              </w:rPr>
              <w:t>до</w:t>
            </w:r>
            <w:r w:rsidRPr="00226F9D">
              <w:rPr>
                <w:rFonts w:ascii="Times New Roman" w:eastAsia="Times New Roman" w:hAnsi="Times New Roman" w:cs="Times New Roman"/>
                <w:b/>
                <w:bCs/>
                <w:color w:val="000000"/>
                <w:kern w:val="0"/>
                <w:sz w:val="16"/>
                <w:szCs w:val="16"/>
                <w:lang w:val="sr-Latn-RS" w:eastAsia="en-GB"/>
                <w14:ligatures w14:val="none"/>
              </w:rPr>
              <w:t xml:space="preserve"> 2030. </w:t>
            </w:r>
            <w:r w:rsidRPr="00226F9D">
              <w:rPr>
                <w:rFonts w:ascii="Times New Roman" w:eastAsia="Times New Roman" w:hAnsi="Times New Roman" w:cs="Times New Roman"/>
                <w:b/>
                <w:bCs/>
                <w:color w:val="000000"/>
                <w:kern w:val="0"/>
                <w:sz w:val="16"/>
                <w:szCs w:val="16"/>
                <w:lang w:eastAsia="en-GB"/>
                <w14:ligatures w14:val="none"/>
              </w:rPr>
              <w:t>године</w:t>
            </w:r>
          </w:p>
        </w:tc>
      </w:tr>
      <w:tr w:rsidR="00FB70CD" w:rsidRPr="00226F9D" w14:paraId="7B07D23E" w14:textId="77777777">
        <w:trPr>
          <w:trHeight w:val="199"/>
        </w:trPr>
        <w:tc>
          <w:tcPr>
            <w:tcW w:w="15706" w:type="dxa"/>
            <w:gridSpan w:val="10"/>
            <w:tcBorders>
              <w:top w:val="single" w:sz="4" w:space="0" w:color="auto"/>
              <w:left w:val="single" w:sz="4" w:space="0" w:color="auto"/>
              <w:bottom w:val="single" w:sz="4" w:space="0" w:color="auto"/>
              <w:right w:val="single" w:sz="4" w:space="0" w:color="auto"/>
            </w:tcBorders>
            <w:shd w:val="clear" w:color="000000" w:fill="C5E0B3"/>
            <w:vAlign w:val="center"/>
            <w:hideMark/>
          </w:tcPr>
          <w:p w14:paraId="7303FCD8" w14:textId="77777777" w:rsidR="00FB70CD" w:rsidRPr="00226F9D" w:rsidRDefault="00FB70CD" w:rsidP="005B0999">
            <w:pPr>
              <w:adjustRightInd w:val="0"/>
              <w:snapToGrid w:val="0"/>
              <w:spacing w:after="0" w:line="240" w:lineRule="auto"/>
              <w:rPr>
                <w:rFonts w:ascii="Times New Roman" w:eastAsia="Times New Roman" w:hAnsi="Times New Roman" w:cs="Times New Roman"/>
                <w:b/>
                <w:bCs/>
                <w:color w:val="000000"/>
                <w:kern w:val="0"/>
                <w:sz w:val="16"/>
                <w:szCs w:val="16"/>
                <w:lang w:val="sr-Latn-RS"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Општи</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циљ</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Успостављање</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система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локалне</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самоуправе</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који</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омогућава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ефикасно</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и</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одрживо</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остваривање</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права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грађана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на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локалну</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самоуправу</w:t>
            </w:r>
          </w:p>
        </w:tc>
      </w:tr>
      <w:tr w:rsidR="00FB70CD" w:rsidRPr="00226F9D" w14:paraId="4BF8D182" w14:textId="77777777">
        <w:trPr>
          <w:trHeight w:val="119"/>
        </w:trPr>
        <w:tc>
          <w:tcPr>
            <w:tcW w:w="15706" w:type="dxa"/>
            <w:gridSpan w:val="10"/>
            <w:tcBorders>
              <w:top w:val="single" w:sz="4" w:space="0" w:color="auto"/>
              <w:left w:val="single" w:sz="4" w:space="0" w:color="auto"/>
              <w:bottom w:val="single" w:sz="4" w:space="0" w:color="auto"/>
              <w:right w:val="single" w:sz="4" w:space="0" w:color="auto"/>
            </w:tcBorders>
            <w:shd w:val="clear" w:color="000000" w:fill="C5E0B3"/>
            <w:vAlign w:val="center"/>
            <w:hideMark/>
          </w:tcPr>
          <w:p w14:paraId="76198463" w14:textId="77777777" w:rsidR="00FB70CD" w:rsidRPr="00226F9D" w:rsidRDefault="00FB70CD" w:rsidP="005B0999">
            <w:pPr>
              <w:adjustRightInd w:val="0"/>
              <w:snapToGrid w:val="0"/>
              <w:spacing w:after="0" w:line="240" w:lineRule="auto"/>
              <w:rPr>
                <w:rFonts w:ascii="Times New Roman" w:eastAsia="Times New Roman" w:hAnsi="Times New Roman" w:cs="Times New Roman"/>
                <w:b/>
                <w:bCs/>
                <w:color w:val="222222"/>
                <w:kern w:val="0"/>
                <w:sz w:val="16"/>
                <w:szCs w:val="16"/>
                <w:lang w:val="sr-Latn-RS" w:eastAsia="en-GB"/>
                <w14:ligatures w14:val="none"/>
              </w:rPr>
            </w:pPr>
            <w:r w:rsidRPr="00226F9D">
              <w:rPr>
                <w:rFonts w:ascii="Times New Roman" w:eastAsia="Times New Roman" w:hAnsi="Times New Roman" w:cs="Times New Roman"/>
                <w:b/>
                <w:bCs/>
                <w:color w:val="222222"/>
                <w:kern w:val="0"/>
                <w:sz w:val="16"/>
                <w:szCs w:val="16"/>
                <w:lang w:eastAsia="en-GB"/>
                <w14:ligatures w14:val="none"/>
              </w:rPr>
              <w:t>Институција</w:t>
            </w:r>
            <w:r w:rsidRPr="00226F9D">
              <w:rPr>
                <w:rFonts w:ascii="Times New Roman" w:eastAsia="Times New Roman" w:hAnsi="Times New Roman" w:cs="Times New Roman"/>
                <w:b/>
                <w:bCs/>
                <w:color w:val="222222"/>
                <w:kern w:val="0"/>
                <w:sz w:val="16"/>
                <w:szCs w:val="16"/>
                <w:lang w:val="sr-Latn-RS" w:eastAsia="en-GB"/>
                <w14:ligatures w14:val="none"/>
              </w:rPr>
              <w:t xml:space="preserve"> </w:t>
            </w:r>
            <w:r w:rsidRPr="00226F9D">
              <w:rPr>
                <w:rFonts w:ascii="Times New Roman" w:eastAsia="Times New Roman" w:hAnsi="Times New Roman" w:cs="Times New Roman"/>
                <w:b/>
                <w:bCs/>
                <w:color w:val="222222"/>
                <w:kern w:val="0"/>
                <w:sz w:val="16"/>
                <w:szCs w:val="16"/>
                <w:lang w:eastAsia="en-GB"/>
                <w14:ligatures w14:val="none"/>
              </w:rPr>
              <w:t>одговорна</w:t>
            </w:r>
            <w:r w:rsidRPr="00226F9D">
              <w:rPr>
                <w:rFonts w:ascii="Times New Roman" w:eastAsia="Times New Roman" w:hAnsi="Times New Roman" w:cs="Times New Roman"/>
                <w:b/>
                <w:bCs/>
                <w:color w:val="222222"/>
                <w:kern w:val="0"/>
                <w:sz w:val="16"/>
                <w:szCs w:val="16"/>
                <w:lang w:val="sr-Latn-RS" w:eastAsia="en-GB"/>
                <w14:ligatures w14:val="none"/>
              </w:rPr>
              <w:t xml:space="preserve"> </w:t>
            </w:r>
            <w:r w:rsidRPr="00226F9D">
              <w:rPr>
                <w:rFonts w:ascii="Times New Roman" w:eastAsia="Times New Roman" w:hAnsi="Times New Roman" w:cs="Times New Roman"/>
                <w:b/>
                <w:bCs/>
                <w:color w:val="222222"/>
                <w:kern w:val="0"/>
                <w:sz w:val="16"/>
                <w:szCs w:val="16"/>
                <w:lang w:eastAsia="en-GB"/>
                <w14:ligatures w14:val="none"/>
              </w:rPr>
              <w:t>за</w:t>
            </w:r>
            <w:r w:rsidRPr="00226F9D">
              <w:rPr>
                <w:rFonts w:ascii="Times New Roman" w:eastAsia="Times New Roman" w:hAnsi="Times New Roman" w:cs="Times New Roman"/>
                <w:b/>
                <w:bCs/>
                <w:color w:val="222222"/>
                <w:kern w:val="0"/>
                <w:sz w:val="16"/>
                <w:szCs w:val="16"/>
                <w:lang w:val="sr-Latn-RS" w:eastAsia="en-GB"/>
                <w14:ligatures w14:val="none"/>
              </w:rPr>
              <w:t xml:space="preserve"> </w:t>
            </w:r>
            <w:r w:rsidRPr="00226F9D">
              <w:rPr>
                <w:rFonts w:ascii="Times New Roman" w:eastAsia="Times New Roman" w:hAnsi="Times New Roman" w:cs="Times New Roman"/>
                <w:b/>
                <w:bCs/>
                <w:color w:val="222222"/>
                <w:kern w:val="0"/>
                <w:sz w:val="16"/>
                <w:szCs w:val="16"/>
                <w:lang w:eastAsia="en-GB"/>
                <w14:ligatures w14:val="none"/>
              </w:rPr>
              <w:t>праћење</w:t>
            </w:r>
            <w:r w:rsidRPr="00226F9D">
              <w:rPr>
                <w:rFonts w:ascii="Times New Roman" w:eastAsia="Times New Roman" w:hAnsi="Times New Roman" w:cs="Times New Roman"/>
                <w:b/>
                <w:bCs/>
                <w:color w:val="222222"/>
                <w:kern w:val="0"/>
                <w:sz w:val="16"/>
                <w:szCs w:val="16"/>
                <w:lang w:val="sr-Latn-RS" w:eastAsia="en-GB"/>
                <w14:ligatures w14:val="none"/>
              </w:rPr>
              <w:t xml:space="preserve"> </w:t>
            </w:r>
            <w:r w:rsidRPr="00226F9D">
              <w:rPr>
                <w:rFonts w:ascii="Times New Roman" w:eastAsia="Times New Roman" w:hAnsi="Times New Roman" w:cs="Times New Roman"/>
                <w:b/>
                <w:bCs/>
                <w:color w:val="222222"/>
                <w:kern w:val="0"/>
                <w:sz w:val="16"/>
                <w:szCs w:val="16"/>
                <w:lang w:eastAsia="en-GB"/>
                <w14:ligatures w14:val="none"/>
              </w:rPr>
              <w:t>и</w:t>
            </w:r>
            <w:r w:rsidRPr="00226F9D">
              <w:rPr>
                <w:rFonts w:ascii="Times New Roman" w:eastAsia="Times New Roman" w:hAnsi="Times New Roman" w:cs="Times New Roman"/>
                <w:b/>
                <w:bCs/>
                <w:color w:val="222222"/>
                <w:kern w:val="0"/>
                <w:sz w:val="16"/>
                <w:szCs w:val="16"/>
                <w:lang w:val="sr-Latn-RS" w:eastAsia="en-GB"/>
                <w14:ligatures w14:val="none"/>
              </w:rPr>
              <w:t xml:space="preserve"> </w:t>
            </w:r>
            <w:r w:rsidRPr="00226F9D">
              <w:rPr>
                <w:rFonts w:ascii="Times New Roman" w:eastAsia="Times New Roman" w:hAnsi="Times New Roman" w:cs="Times New Roman"/>
                <w:b/>
                <w:bCs/>
                <w:color w:val="222222"/>
                <w:kern w:val="0"/>
                <w:sz w:val="16"/>
                <w:szCs w:val="16"/>
                <w:lang w:eastAsia="en-GB"/>
                <w14:ligatures w14:val="none"/>
              </w:rPr>
              <w:t>контролу</w:t>
            </w:r>
            <w:r w:rsidRPr="00226F9D">
              <w:rPr>
                <w:rFonts w:ascii="Times New Roman" w:eastAsia="Times New Roman" w:hAnsi="Times New Roman" w:cs="Times New Roman"/>
                <w:b/>
                <w:bCs/>
                <w:color w:val="222222"/>
                <w:kern w:val="0"/>
                <w:sz w:val="16"/>
                <w:szCs w:val="16"/>
                <w:lang w:val="sr-Latn-RS" w:eastAsia="en-GB"/>
                <w14:ligatures w14:val="none"/>
              </w:rPr>
              <w:t xml:space="preserve"> </w:t>
            </w:r>
            <w:r w:rsidRPr="00226F9D">
              <w:rPr>
                <w:rFonts w:ascii="Times New Roman" w:eastAsia="Times New Roman" w:hAnsi="Times New Roman" w:cs="Times New Roman"/>
                <w:b/>
                <w:bCs/>
                <w:color w:val="222222"/>
                <w:kern w:val="0"/>
                <w:sz w:val="16"/>
                <w:szCs w:val="16"/>
                <w:lang w:eastAsia="en-GB"/>
                <w14:ligatures w14:val="none"/>
              </w:rPr>
              <w:t>реализације</w:t>
            </w:r>
            <w:r w:rsidRPr="00226F9D">
              <w:rPr>
                <w:rFonts w:ascii="Times New Roman" w:eastAsia="Times New Roman" w:hAnsi="Times New Roman" w:cs="Times New Roman"/>
                <w:b/>
                <w:bCs/>
                <w:color w:val="222222"/>
                <w:kern w:val="0"/>
                <w:sz w:val="16"/>
                <w:szCs w:val="16"/>
                <w:lang w:val="sr-Latn-RS" w:eastAsia="en-GB"/>
                <w14:ligatures w14:val="none"/>
              </w:rPr>
              <w:t xml:space="preserve">: </w:t>
            </w:r>
            <w:r w:rsidRPr="00226F9D">
              <w:rPr>
                <w:rFonts w:ascii="Times New Roman" w:eastAsia="Times New Roman" w:hAnsi="Times New Roman" w:cs="Times New Roman"/>
                <w:b/>
                <w:bCs/>
                <w:color w:val="222222"/>
                <w:kern w:val="0"/>
                <w:sz w:val="16"/>
                <w:szCs w:val="16"/>
                <w:lang w:eastAsia="en-GB"/>
                <w14:ligatures w14:val="none"/>
              </w:rPr>
              <w:t>МДУЛС</w:t>
            </w:r>
          </w:p>
        </w:tc>
      </w:tr>
      <w:tr w:rsidR="008E6BC2" w:rsidRPr="00226F9D" w14:paraId="5005D6DE" w14:textId="77777777">
        <w:trPr>
          <w:trHeight w:val="290"/>
        </w:trPr>
        <w:tc>
          <w:tcPr>
            <w:tcW w:w="5240" w:type="dxa"/>
            <w:tcBorders>
              <w:top w:val="nil"/>
              <w:left w:val="single" w:sz="4" w:space="0" w:color="auto"/>
              <w:bottom w:val="single" w:sz="4" w:space="0" w:color="auto"/>
              <w:right w:val="single" w:sz="4" w:space="0" w:color="auto"/>
            </w:tcBorders>
            <w:shd w:val="clear" w:color="000000" w:fill="D9D9D9"/>
            <w:hideMark/>
          </w:tcPr>
          <w:p w14:paraId="238A58B2" w14:textId="77777777" w:rsidR="00FB70CD" w:rsidRPr="00226F9D" w:rsidRDefault="00FB70CD" w:rsidP="005B0999">
            <w:pPr>
              <w:adjustRightInd w:val="0"/>
              <w:snapToGrid w:val="0"/>
              <w:spacing w:after="0" w:line="240" w:lineRule="auto"/>
              <w:rPr>
                <w:rFonts w:ascii="Times New Roman" w:eastAsia="Times New Roman" w:hAnsi="Times New Roman" w:cs="Times New Roman"/>
                <w:b/>
                <w:bCs/>
                <w:color w:val="000000"/>
                <w:kern w:val="0"/>
                <w:sz w:val="16"/>
                <w:szCs w:val="16"/>
                <w:lang w:val="sr-Latn-RS"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w:t>
            </w:r>
            <w:r w:rsidRPr="00226F9D">
              <w:rPr>
                <w:rFonts w:ascii="Times New Roman" w:eastAsia="Times New Roman" w:hAnsi="Times New Roman" w:cs="Times New Roman"/>
                <w:b/>
                <w:bCs/>
                <w:color w:val="000000"/>
                <w:kern w:val="0"/>
                <w:sz w:val="16"/>
                <w:szCs w:val="16"/>
                <w:lang w:val="sr-Latn-RS" w:eastAsia="en-GB"/>
                <w14:ligatures w14:val="none"/>
              </w:rPr>
              <w:t>(</w:t>
            </w:r>
            <w:r w:rsidRPr="00226F9D">
              <w:rPr>
                <w:rFonts w:ascii="Times New Roman" w:eastAsia="Times New Roman" w:hAnsi="Times New Roman" w:cs="Times New Roman"/>
                <w:b/>
                <w:bCs/>
                <w:color w:val="000000"/>
                <w:kern w:val="0"/>
                <w:sz w:val="16"/>
                <w:szCs w:val="16"/>
                <w:lang w:eastAsia="en-GB"/>
                <w14:ligatures w14:val="none"/>
              </w:rPr>
              <w:t>и</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на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нивоу</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општег</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циља</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показатељ</w:t>
            </w:r>
            <w:r w:rsidRPr="00226F9D">
              <w:rPr>
                <w:rFonts w:ascii="Times New Roman" w:eastAsia="Times New Roman" w:hAnsi="Times New Roman" w:cs="Times New Roman"/>
                <w:b/>
                <w:bCs/>
                <w:color w:val="000000"/>
                <w:kern w:val="0"/>
                <w:sz w:val="16"/>
                <w:szCs w:val="16"/>
                <w:lang w:val="sr-Latn-RS" w:eastAsia="en-GB"/>
                <w14:ligatures w14:val="none"/>
              </w:rPr>
              <w:t xml:space="preserve"> </w:t>
            </w:r>
            <w:r w:rsidRPr="00226F9D">
              <w:rPr>
                <w:rFonts w:ascii="Times New Roman" w:eastAsia="Times New Roman" w:hAnsi="Times New Roman" w:cs="Times New Roman"/>
                <w:b/>
                <w:bCs/>
                <w:color w:val="000000"/>
                <w:kern w:val="0"/>
                <w:sz w:val="16"/>
                <w:szCs w:val="16"/>
                <w:lang w:eastAsia="en-GB"/>
                <w14:ligatures w14:val="none"/>
              </w:rPr>
              <w:t>исхода</w:t>
            </w:r>
            <w:r w:rsidRPr="00226F9D">
              <w:rPr>
                <w:rFonts w:ascii="Times New Roman" w:eastAsia="Times New Roman" w:hAnsi="Times New Roman" w:cs="Times New Roman"/>
                <w:b/>
                <w:bCs/>
                <w:color w:val="000000"/>
                <w:kern w:val="0"/>
                <w:sz w:val="16"/>
                <w:szCs w:val="16"/>
                <w:lang w:val="sr-Latn-RS" w:eastAsia="en-GB"/>
                <w14:ligatures w14:val="none"/>
              </w:rPr>
              <w:t>)</w:t>
            </w:r>
          </w:p>
        </w:tc>
        <w:tc>
          <w:tcPr>
            <w:tcW w:w="1134" w:type="dxa"/>
            <w:tcBorders>
              <w:top w:val="nil"/>
              <w:left w:val="nil"/>
              <w:bottom w:val="single" w:sz="4" w:space="0" w:color="auto"/>
              <w:right w:val="single" w:sz="4" w:space="0" w:color="auto"/>
            </w:tcBorders>
            <w:shd w:val="clear" w:color="000000" w:fill="D9D9D9"/>
            <w:hideMark/>
          </w:tcPr>
          <w:p w14:paraId="0D7970CB"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92" w:type="dxa"/>
            <w:tcBorders>
              <w:top w:val="nil"/>
              <w:left w:val="nil"/>
              <w:bottom w:val="single" w:sz="4" w:space="0" w:color="auto"/>
              <w:right w:val="single" w:sz="4" w:space="0" w:color="auto"/>
            </w:tcBorders>
            <w:shd w:val="clear" w:color="000000" w:fill="D9D9D9"/>
            <w:hideMark/>
          </w:tcPr>
          <w:p w14:paraId="06E8E435"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41" w:type="dxa"/>
            <w:tcBorders>
              <w:top w:val="nil"/>
              <w:left w:val="nil"/>
              <w:bottom w:val="single" w:sz="4" w:space="0" w:color="auto"/>
              <w:right w:val="single" w:sz="4" w:space="0" w:color="auto"/>
            </w:tcBorders>
            <w:shd w:val="clear" w:color="000000" w:fill="D9D9D9"/>
            <w:hideMark/>
          </w:tcPr>
          <w:p w14:paraId="2F876B2B"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67" w:type="dxa"/>
            <w:tcBorders>
              <w:top w:val="nil"/>
              <w:left w:val="nil"/>
              <w:bottom w:val="single" w:sz="4" w:space="0" w:color="auto"/>
              <w:right w:val="single" w:sz="4" w:space="0" w:color="auto"/>
            </w:tcBorders>
            <w:shd w:val="clear" w:color="000000" w:fill="D9D9D9"/>
            <w:hideMark/>
          </w:tcPr>
          <w:p w14:paraId="79272703"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44" w:type="dxa"/>
            <w:tcBorders>
              <w:top w:val="nil"/>
              <w:left w:val="nil"/>
              <w:bottom w:val="single" w:sz="4" w:space="0" w:color="auto"/>
              <w:right w:val="single" w:sz="4" w:space="0" w:color="auto"/>
            </w:tcBorders>
            <w:shd w:val="clear" w:color="000000" w:fill="D9D9D9"/>
            <w:hideMark/>
          </w:tcPr>
          <w:p w14:paraId="6E10887C"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43" w:type="dxa"/>
            <w:tcBorders>
              <w:top w:val="nil"/>
              <w:left w:val="nil"/>
              <w:bottom w:val="single" w:sz="4" w:space="0" w:color="auto"/>
              <w:right w:val="single" w:sz="4" w:space="0" w:color="auto"/>
            </w:tcBorders>
            <w:shd w:val="clear" w:color="000000" w:fill="D9D9D9"/>
            <w:hideMark/>
          </w:tcPr>
          <w:p w14:paraId="0B50FA8E"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44" w:type="dxa"/>
            <w:tcBorders>
              <w:top w:val="nil"/>
              <w:left w:val="nil"/>
              <w:bottom w:val="single" w:sz="4" w:space="0" w:color="auto"/>
              <w:right w:val="single" w:sz="4" w:space="0" w:color="auto"/>
            </w:tcBorders>
            <w:shd w:val="clear" w:color="000000" w:fill="D9D9D9"/>
            <w:hideMark/>
          </w:tcPr>
          <w:p w14:paraId="3CA8D6A7"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45" w:type="dxa"/>
            <w:tcBorders>
              <w:top w:val="nil"/>
              <w:left w:val="nil"/>
              <w:bottom w:val="single" w:sz="4" w:space="0" w:color="auto"/>
              <w:right w:val="single" w:sz="4" w:space="0" w:color="auto"/>
            </w:tcBorders>
            <w:shd w:val="clear" w:color="000000" w:fill="D9D9D9"/>
            <w:hideMark/>
          </w:tcPr>
          <w:p w14:paraId="343F9FEF"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56" w:type="dxa"/>
            <w:tcBorders>
              <w:top w:val="nil"/>
              <w:left w:val="nil"/>
              <w:bottom w:val="single" w:sz="4" w:space="0" w:color="auto"/>
              <w:right w:val="single" w:sz="4" w:space="0" w:color="auto"/>
            </w:tcBorders>
            <w:shd w:val="clear" w:color="000000" w:fill="D9D9D9"/>
            <w:hideMark/>
          </w:tcPr>
          <w:p w14:paraId="07E75072"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8E6BC2" w:rsidRPr="00226F9D" w14:paraId="7D0784BC" w14:textId="77777777">
        <w:trPr>
          <w:trHeight w:val="337"/>
        </w:trPr>
        <w:tc>
          <w:tcPr>
            <w:tcW w:w="5240" w:type="dxa"/>
            <w:tcBorders>
              <w:top w:val="nil"/>
              <w:left w:val="single" w:sz="4" w:space="0" w:color="auto"/>
              <w:bottom w:val="single" w:sz="4" w:space="0" w:color="auto"/>
              <w:right w:val="single" w:sz="4" w:space="0" w:color="auto"/>
            </w:tcBorders>
            <w:shd w:val="clear" w:color="000000" w:fill="FFFFFF"/>
            <w:hideMark/>
          </w:tcPr>
          <w:p w14:paraId="0B10D7FF" w14:textId="77777777" w:rsidR="00FB70CD" w:rsidRPr="00226F9D" w:rsidRDefault="00FB70CD" w:rsidP="005B0999">
            <w:pPr>
              <w:adjustRightInd w:val="0"/>
              <w:snapToGrid w:val="0"/>
              <w:spacing w:after="0" w:line="240" w:lineRule="auto"/>
              <w:rPr>
                <w:rFonts w:ascii="Times New Roman" w:eastAsia="Times New Roman" w:hAnsi="Times New Roman" w:cs="Times New Roman"/>
                <w:i/>
                <w:iCs/>
                <w:color w:val="000000"/>
                <w:kern w:val="0"/>
                <w:sz w:val="16"/>
                <w:szCs w:val="16"/>
                <w:lang w:eastAsia="en-GB"/>
                <w14:ligatures w14:val="none"/>
              </w:rPr>
            </w:pPr>
            <w:r w:rsidRPr="00226F9D">
              <w:rPr>
                <w:rFonts w:ascii="Times New Roman" w:eastAsia="Times New Roman" w:hAnsi="Times New Roman" w:cs="Times New Roman"/>
                <w:i/>
                <w:iCs/>
                <w:color w:val="000000"/>
                <w:kern w:val="0"/>
                <w:sz w:val="16"/>
                <w:szCs w:val="16"/>
                <w:lang w:eastAsia="en-GB"/>
                <w14:ligatures w14:val="none"/>
              </w:rPr>
              <w:t>СИГМА индикатор 14 (multilevel governance)</w:t>
            </w:r>
          </w:p>
        </w:tc>
        <w:tc>
          <w:tcPr>
            <w:tcW w:w="1134" w:type="dxa"/>
            <w:tcBorders>
              <w:top w:val="nil"/>
              <w:left w:val="nil"/>
              <w:bottom w:val="single" w:sz="4" w:space="0" w:color="auto"/>
              <w:right w:val="single" w:sz="4" w:space="0" w:color="auto"/>
            </w:tcBorders>
            <w:shd w:val="clear" w:color="000000" w:fill="FFFFFF"/>
            <w:hideMark/>
          </w:tcPr>
          <w:p w14:paraId="203B00D8"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92" w:type="dxa"/>
            <w:tcBorders>
              <w:top w:val="nil"/>
              <w:left w:val="nil"/>
              <w:bottom w:val="single" w:sz="4" w:space="0" w:color="auto"/>
              <w:right w:val="single" w:sz="4" w:space="0" w:color="auto"/>
            </w:tcBorders>
            <w:shd w:val="clear" w:color="000000" w:fill="FFFFFF"/>
            <w:hideMark/>
          </w:tcPr>
          <w:p w14:paraId="129C2295"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СИГМА</w:t>
            </w:r>
          </w:p>
        </w:tc>
        <w:tc>
          <w:tcPr>
            <w:tcW w:w="2141" w:type="dxa"/>
            <w:tcBorders>
              <w:top w:val="nil"/>
              <w:left w:val="nil"/>
              <w:bottom w:val="single" w:sz="4" w:space="0" w:color="auto"/>
              <w:right w:val="single" w:sz="4" w:space="0" w:color="auto"/>
            </w:tcBorders>
            <w:shd w:val="clear" w:color="000000" w:fill="FFFFFF"/>
            <w:hideMark/>
          </w:tcPr>
          <w:p w14:paraId="0AE765E1"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76</w:t>
            </w:r>
          </w:p>
        </w:tc>
        <w:tc>
          <w:tcPr>
            <w:tcW w:w="1267" w:type="dxa"/>
            <w:tcBorders>
              <w:top w:val="nil"/>
              <w:left w:val="nil"/>
              <w:bottom w:val="single" w:sz="4" w:space="0" w:color="auto"/>
              <w:right w:val="single" w:sz="4" w:space="0" w:color="auto"/>
            </w:tcBorders>
            <w:shd w:val="clear" w:color="000000" w:fill="FFFFFF"/>
            <w:hideMark/>
          </w:tcPr>
          <w:p w14:paraId="6A3C219B"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2024</w:t>
            </w:r>
          </w:p>
        </w:tc>
        <w:tc>
          <w:tcPr>
            <w:tcW w:w="844" w:type="dxa"/>
            <w:tcBorders>
              <w:top w:val="nil"/>
              <w:left w:val="nil"/>
              <w:bottom w:val="single" w:sz="4" w:space="0" w:color="auto"/>
              <w:right w:val="single" w:sz="4" w:space="0" w:color="auto"/>
            </w:tcBorders>
            <w:shd w:val="clear" w:color="000000" w:fill="FFFFFF"/>
            <w:hideMark/>
          </w:tcPr>
          <w:p w14:paraId="1FE23258"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43" w:type="dxa"/>
            <w:tcBorders>
              <w:top w:val="nil"/>
              <w:left w:val="nil"/>
              <w:bottom w:val="single" w:sz="4" w:space="0" w:color="auto"/>
              <w:right w:val="single" w:sz="4" w:space="0" w:color="auto"/>
            </w:tcBorders>
            <w:shd w:val="clear" w:color="000000" w:fill="FFFFFF"/>
            <w:hideMark/>
          </w:tcPr>
          <w:p w14:paraId="43B2172F"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44" w:type="dxa"/>
            <w:tcBorders>
              <w:top w:val="nil"/>
              <w:left w:val="nil"/>
              <w:bottom w:val="single" w:sz="4" w:space="0" w:color="auto"/>
              <w:right w:val="single" w:sz="4" w:space="0" w:color="auto"/>
            </w:tcBorders>
            <w:shd w:val="clear" w:color="000000" w:fill="FFFFFF"/>
            <w:hideMark/>
          </w:tcPr>
          <w:p w14:paraId="22304F47"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80</w:t>
            </w:r>
          </w:p>
        </w:tc>
        <w:tc>
          <w:tcPr>
            <w:tcW w:w="845" w:type="dxa"/>
            <w:tcBorders>
              <w:top w:val="nil"/>
              <w:left w:val="nil"/>
              <w:bottom w:val="single" w:sz="4" w:space="0" w:color="auto"/>
              <w:right w:val="single" w:sz="4" w:space="0" w:color="auto"/>
            </w:tcBorders>
            <w:shd w:val="clear" w:color="000000" w:fill="FFFFFF"/>
            <w:hideMark/>
          </w:tcPr>
          <w:p w14:paraId="325E0B2B"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956" w:type="dxa"/>
            <w:tcBorders>
              <w:top w:val="nil"/>
              <w:left w:val="nil"/>
              <w:bottom w:val="single" w:sz="4" w:space="0" w:color="auto"/>
              <w:right w:val="single" w:sz="4" w:space="0" w:color="auto"/>
            </w:tcBorders>
            <w:shd w:val="clear" w:color="000000" w:fill="FFFFFF"/>
            <w:hideMark/>
          </w:tcPr>
          <w:p w14:paraId="5CDF492F"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85</w:t>
            </w:r>
          </w:p>
        </w:tc>
      </w:tr>
      <w:tr w:rsidR="008E6BC2" w:rsidRPr="00226F9D" w14:paraId="616CD7E8" w14:textId="77777777">
        <w:trPr>
          <w:trHeight w:val="2231"/>
        </w:trPr>
        <w:tc>
          <w:tcPr>
            <w:tcW w:w="5240" w:type="dxa"/>
            <w:tcBorders>
              <w:top w:val="nil"/>
              <w:left w:val="single" w:sz="4" w:space="0" w:color="auto"/>
              <w:bottom w:val="single" w:sz="4" w:space="0" w:color="auto"/>
              <w:right w:val="single" w:sz="4" w:space="0" w:color="auto"/>
            </w:tcBorders>
            <w:shd w:val="clear" w:color="000000" w:fill="FFFFFF"/>
            <w:hideMark/>
          </w:tcPr>
          <w:p w14:paraId="247C1962" w14:textId="77777777" w:rsidR="00FB70CD" w:rsidRPr="00226F9D" w:rsidRDefault="00FB70CD" w:rsidP="005B0999">
            <w:pPr>
              <w:adjustRightInd w:val="0"/>
              <w:snapToGrid w:val="0"/>
              <w:spacing w:after="0" w:line="240" w:lineRule="auto"/>
              <w:rPr>
                <w:rFonts w:ascii="Times New Roman" w:eastAsia="Times New Roman" w:hAnsi="Times New Roman" w:cs="Times New Roman"/>
                <w:i/>
                <w:iCs/>
                <w:color w:val="000000"/>
                <w:kern w:val="0"/>
                <w:sz w:val="16"/>
                <w:szCs w:val="16"/>
                <w:lang w:eastAsia="en-GB"/>
                <w14:ligatures w14:val="none"/>
              </w:rPr>
            </w:pPr>
            <w:r w:rsidRPr="00226F9D">
              <w:rPr>
                <w:rFonts w:ascii="Times New Roman" w:eastAsia="Times New Roman" w:hAnsi="Times New Roman" w:cs="Times New Roman"/>
                <w:i/>
                <w:iCs/>
                <w:color w:val="000000"/>
                <w:kern w:val="0"/>
                <w:sz w:val="16"/>
                <w:szCs w:val="16"/>
                <w:lang w:eastAsia="en-GB"/>
                <w14:ligatures w14:val="none"/>
              </w:rPr>
              <w:t>Удео расхода ЛС у консолидованим јавним расходима у Републици Србији</w:t>
            </w:r>
          </w:p>
        </w:tc>
        <w:tc>
          <w:tcPr>
            <w:tcW w:w="1134" w:type="dxa"/>
            <w:tcBorders>
              <w:top w:val="nil"/>
              <w:left w:val="nil"/>
              <w:bottom w:val="single" w:sz="4" w:space="0" w:color="auto"/>
              <w:right w:val="single" w:sz="4" w:space="0" w:color="auto"/>
            </w:tcBorders>
            <w:shd w:val="clear" w:color="000000" w:fill="FFFFFF"/>
            <w:hideMark/>
          </w:tcPr>
          <w:p w14:paraId="47E68C75"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92" w:type="dxa"/>
            <w:tcBorders>
              <w:top w:val="nil"/>
              <w:left w:val="nil"/>
              <w:bottom w:val="single" w:sz="4" w:space="0" w:color="auto"/>
              <w:right w:val="single" w:sz="4" w:space="0" w:color="auto"/>
            </w:tcBorders>
            <w:shd w:val="clear" w:color="000000" w:fill="FFFFFF"/>
            <w:hideMark/>
          </w:tcPr>
          <w:p w14:paraId="72A745C2"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Подаци ИСИБ АП и ЈЛС, подаци из Месечног билтена јавних финансија, Подаци СПИРИ, подаци Управе за трезор Министарства финансија, подаци из аналитичког сервиса ЈЛС, МДУЛС и РСЈП</w:t>
            </w:r>
          </w:p>
        </w:tc>
        <w:tc>
          <w:tcPr>
            <w:tcW w:w="2141" w:type="dxa"/>
            <w:tcBorders>
              <w:top w:val="nil"/>
              <w:left w:val="nil"/>
              <w:bottom w:val="single" w:sz="4" w:space="0" w:color="auto"/>
              <w:right w:val="single" w:sz="4" w:space="0" w:color="auto"/>
            </w:tcBorders>
            <w:shd w:val="clear" w:color="000000" w:fill="FFFFFF"/>
            <w:hideMark/>
          </w:tcPr>
          <w:p w14:paraId="47A43860"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7E41E40B"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162C1AD7" w14:textId="089FBD3D" w:rsidR="00FB70CD" w:rsidRPr="00226F9D" w:rsidRDefault="00AF39A3"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10,9 %</w:t>
            </w:r>
          </w:p>
        </w:tc>
        <w:tc>
          <w:tcPr>
            <w:tcW w:w="1267" w:type="dxa"/>
            <w:tcBorders>
              <w:top w:val="nil"/>
              <w:left w:val="nil"/>
              <w:bottom w:val="single" w:sz="4" w:space="0" w:color="auto"/>
              <w:right w:val="single" w:sz="4" w:space="0" w:color="auto"/>
            </w:tcBorders>
            <w:shd w:val="clear" w:color="000000" w:fill="FFFFFF"/>
            <w:hideMark/>
          </w:tcPr>
          <w:p w14:paraId="66573BD6"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715410F9"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350E6B38" w14:textId="732B8906" w:rsidR="00FB70CD" w:rsidRPr="00226F9D" w:rsidRDefault="00FB70CD" w:rsidP="005B0999">
            <w:pPr>
              <w:adjustRightInd w:val="0"/>
              <w:snapToGrid w:val="0"/>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202</w:t>
            </w:r>
            <w:r w:rsidR="00AF39A3" w:rsidRPr="00226F9D">
              <w:rPr>
                <w:rFonts w:ascii="Times New Roman" w:eastAsia="Times New Roman" w:hAnsi="Times New Roman" w:cs="Times New Roman"/>
                <w:kern w:val="0"/>
                <w:sz w:val="16"/>
                <w:szCs w:val="16"/>
                <w:lang w:val="sr-Cyrl-RS" w:eastAsia="en-GB"/>
                <w14:ligatures w14:val="none"/>
              </w:rPr>
              <w:t>5</w:t>
            </w:r>
          </w:p>
        </w:tc>
        <w:tc>
          <w:tcPr>
            <w:tcW w:w="844" w:type="dxa"/>
            <w:tcBorders>
              <w:top w:val="nil"/>
              <w:left w:val="nil"/>
              <w:bottom w:val="single" w:sz="4" w:space="0" w:color="auto"/>
              <w:right w:val="single" w:sz="4" w:space="0" w:color="auto"/>
            </w:tcBorders>
            <w:shd w:val="clear" w:color="000000" w:fill="FFFFFF"/>
            <w:hideMark/>
          </w:tcPr>
          <w:p w14:paraId="396A2E50"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4FBCEF04"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05341744"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12,20%</w:t>
            </w:r>
          </w:p>
        </w:tc>
        <w:tc>
          <w:tcPr>
            <w:tcW w:w="843" w:type="dxa"/>
            <w:tcBorders>
              <w:top w:val="nil"/>
              <w:left w:val="nil"/>
              <w:bottom w:val="single" w:sz="4" w:space="0" w:color="auto"/>
              <w:right w:val="single" w:sz="4" w:space="0" w:color="auto"/>
            </w:tcBorders>
            <w:shd w:val="clear" w:color="000000" w:fill="FFFFFF"/>
            <w:hideMark/>
          </w:tcPr>
          <w:p w14:paraId="02B83444"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205EC5B7"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3A6D4FF7"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12,80%</w:t>
            </w:r>
          </w:p>
        </w:tc>
        <w:tc>
          <w:tcPr>
            <w:tcW w:w="844" w:type="dxa"/>
            <w:tcBorders>
              <w:top w:val="nil"/>
              <w:left w:val="nil"/>
              <w:bottom w:val="single" w:sz="4" w:space="0" w:color="auto"/>
              <w:right w:val="single" w:sz="4" w:space="0" w:color="auto"/>
            </w:tcBorders>
            <w:shd w:val="clear" w:color="000000" w:fill="FFFFFF"/>
            <w:hideMark/>
          </w:tcPr>
          <w:p w14:paraId="076B1768"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40F33E4A"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0EA17C6B"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13,50%</w:t>
            </w:r>
          </w:p>
        </w:tc>
        <w:tc>
          <w:tcPr>
            <w:tcW w:w="845" w:type="dxa"/>
            <w:tcBorders>
              <w:top w:val="nil"/>
              <w:left w:val="nil"/>
              <w:bottom w:val="single" w:sz="4" w:space="0" w:color="auto"/>
              <w:right w:val="single" w:sz="4" w:space="0" w:color="auto"/>
            </w:tcBorders>
            <w:shd w:val="clear" w:color="000000" w:fill="FFFFFF"/>
            <w:hideMark/>
          </w:tcPr>
          <w:p w14:paraId="7ABC596B"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065B74A9"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642EC57F"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14,20%</w:t>
            </w:r>
          </w:p>
        </w:tc>
        <w:tc>
          <w:tcPr>
            <w:tcW w:w="956" w:type="dxa"/>
            <w:tcBorders>
              <w:top w:val="nil"/>
              <w:left w:val="nil"/>
              <w:bottom w:val="single" w:sz="4" w:space="0" w:color="auto"/>
              <w:right w:val="single" w:sz="4" w:space="0" w:color="auto"/>
            </w:tcBorders>
            <w:shd w:val="clear" w:color="000000" w:fill="FFFFFF"/>
            <w:hideMark/>
          </w:tcPr>
          <w:p w14:paraId="301615A3"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04B07213" w14:textId="77777777" w:rsidR="00925D8C" w:rsidRPr="00226F9D" w:rsidRDefault="00925D8C" w:rsidP="005B0999">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p>
          <w:p w14:paraId="715B94EA"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15,00%</w:t>
            </w:r>
          </w:p>
        </w:tc>
      </w:tr>
      <w:tr w:rsidR="008E6BC2" w:rsidRPr="00226F9D" w14:paraId="3CB257DB" w14:textId="77777777">
        <w:trPr>
          <w:trHeight w:val="645"/>
        </w:trPr>
        <w:tc>
          <w:tcPr>
            <w:tcW w:w="5240" w:type="dxa"/>
            <w:tcBorders>
              <w:top w:val="nil"/>
              <w:left w:val="single" w:sz="4" w:space="0" w:color="auto"/>
              <w:bottom w:val="single" w:sz="4" w:space="0" w:color="auto"/>
              <w:right w:val="single" w:sz="4" w:space="0" w:color="auto"/>
            </w:tcBorders>
            <w:shd w:val="clear" w:color="000000" w:fill="FFFFFF"/>
            <w:hideMark/>
          </w:tcPr>
          <w:p w14:paraId="27A3C5B6" w14:textId="77777777" w:rsidR="00FB70CD" w:rsidRPr="00226F9D" w:rsidRDefault="00FB70CD" w:rsidP="005B0999">
            <w:pPr>
              <w:adjustRightInd w:val="0"/>
              <w:snapToGrid w:val="0"/>
              <w:spacing w:after="0" w:line="240" w:lineRule="auto"/>
              <w:rPr>
                <w:rFonts w:ascii="Times New Roman" w:eastAsia="Times New Roman" w:hAnsi="Times New Roman" w:cs="Times New Roman"/>
                <w:i/>
                <w:iCs/>
                <w:color w:val="000000"/>
                <w:kern w:val="0"/>
                <w:sz w:val="16"/>
                <w:szCs w:val="16"/>
                <w:lang w:eastAsia="en-GB"/>
                <w14:ligatures w14:val="none"/>
              </w:rPr>
            </w:pPr>
            <w:r w:rsidRPr="00226F9D">
              <w:rPr>
                <w:rFonts w:ascii="Times New Roman" w:eastAsia="Times New Roman" w:hAnsi="Times New Roman" w:cs="Times New Roman"/>
                <w:i/>
                <w:iCs/>
                <w:color w:val="000000"/>
                <w:kern w:val="0"/>
                <w:sz w:val="16"/>
                <w:szCs w:val="16"/>
                <w:lang w:eastAsia="en-GB"/>
                <w14:ligatures w14:val="none"/>
              </w:rPr>
              <w:t xml:space="preserve">Капацитет ЈЛС за примену начела доброг управљања </w:t>
            </w:r>
          </w:p>
        </w:tc>
        <w:tc>
          <w:tcPr>
            <w:tcW w:w="1134" w:type="dxa"/>
            <w:tcBorders>
              <w:top w:val="nil"/>
              <w:left w:val="nil"/>
              <w:bottom w:val="single" w:sz="4" w:space="0" w:color="auto"/>
              <w:right w:val="single" w:sz="4" w:space="0" w:color="auto"/>
            </w:tcBorders>
            <w:shd w:val="clear" w:color="000000" w:fill="FFFFFF"/>
            <w:hideMark/>
          </w:tcPr>
          <w:p w14:paraId="50E49635"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92" w:type="dxa"/>
            <w:tcBorders>
              <w:top w:val="nil"/>
              <w:left w:val="nil"/>
              <w:bottom w:val="single" w:sz="4" w:space="0" w:color="auto"/>
              <w:right w:val="single" w:sz="4" w:space="0" w:color="auto"/>
            </w:tcBorders>
            <w:shd w:val="clear" w:color="000000" w:fill="FFFFFF"/>
            <w:hideMark/>
          </w:tcPr>
          <w:p w14:paraId="6C6346D8"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СКГО</w:t>
            </w:r>
          </w:p>
        </w:tc>
        <w:tc>
          <w:tcPr>
            <w:tcW w:w="2141" w:type="dxa"/>
            <w:tcBorders>
              <w:top w:val="nil"/>
              <w:left w:val="nil"/>
              <w:bottom w:val="single" w:sz="4" w:space="0" w:color="auto"/>
              <w:right w:val="single" w:sz="4" w:space="0" w:color="auto"/>
            </w:tcBorders>
            <w:shd w:val="clear" w:color="000000" w:fill="FFFFFF"/>
            <w:hideMark/>
          </w:tcPr>
          <w:p w14:paraId="37A1B345" w14:textId="6834B066" w:rsidR="00FB70CD" w:rsidRPr="00226F9D" w:rsidRDefault="00963AE6" w:rsidP="00963AE6">
            <w:pPr>
              <w:adjustRightInd w:val="0"/>
              <w:snapToGrid w:val="0"/>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52,9%</w:t>
            </w:r>
          </w:p>
        </w:tc>
        <w:tc>
          <w:tcPr>
            <w:tcW w:w="1267" w:type="dxa"/>
            <w:tcBorders>
              <w:top w:val="nil"/>
              <w:left w:val="nil"/>
              <w:bottom w:val="single" w:sz="4" w:space="0" w:color="auto"/>
              <w:right w:val="single" w:sz="4" w:space="0" w:color="auto"/>
            </w:tcBorders>
            <w:shd w:val="clear" w:color="000000" w:fill="FFFFFF"/>
            <w:hideMark/>
          </w:tcPr>
          <w:p w14:paraId="51673FFF" w14:textId="486037C2"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202</w:t>
            </w:r>
            <w:r w:rsidR="00654456" w:rsidRPr="00226F9D">
              <w:rPr>
                <w:rFonts w:ascii="Times New Roman" w:eastAsia="Times New Roman" w:hAnsi="Times New Roman" w:cs="Times New Roman"/>
                <w:color w:val="000000"/>
                <w:kern w:val="0"/>
                <w:sz w:val="16"/>
                <w:szCs w:val="16"/>
                <w:lang w:val="sr-Cyrl-RS" w:eastAsia="en-GB"/>
                <w14:ligatures w14:val="none"/>
              </w:rPr>
              <w:t>3</w:t>
            </w:r>
          </w:p>
        </w:tc>
        <w:tc>
          <w:tcPr>
            <w:tcW w:w="844" w:type="dxa"/>
            <w:tcBorders>
              <w:top w:val="nil"/>
              <w:left w:val="nil"/>
              <w:bottom w:val="single" w:sz="4" w:space="0" w:color="auto"/>
              <w:right w:val="single" w:sz="4" w:space="0" w:color="auto"/>
            </w:tcBorders>
            <w:shd w:val="clear" w:color="000000" w:fill="FFFFFF"/>
            <w:hideMark/>
          </w:tcPr>
          <w:p w14:paraId="010F02FD"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43" w:type="dxa"/>
            <w:tcBorders>
              <w:top w:val="nil"/>
              <w:left w:val="nil"/>
              <w:bottom w:val="single" w:sz="4" w:space="0" w:color="auto"/>
              <w:right w:val="single" w:sz="4" w:space="0" w:color="auto"/>
            </w:tcBorders>
            <w:shd w:val="clear" w:color="000000" w:fill="FFFFFF"/>
            <w:hideMark/>
          </w:tcPr>
          <w:p w14:paraId="37F26639"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44" w:type="dxa"/>
            <w:tcBorders>
              <w:top w:val="nil"/>
              <w:left w:val="nil"/>
              <w:bottom w:val="single" w:sz="4" w:space="0" w:color="auto"/>
              <w:right w:val="single" w:sz="4" w:space="0" w:color="auto"/>
            </w:tcBorders>
            <w:shd w:val="clear" w:color="000000" w:fill="FFFFFF"/>
            <w:hideMark/>
          </w:tcPr>
          <w:p w14:paraId="69486907" w14:textId="2B0F98E0" w:rsidR="00FB70CD" w:rsidRPr="00226F9D" w:rsidRDefault="00FB70CD" w:rsidP="005B0999">
            <w:pPr>
              <w:adjustRightInd w:val="0"/>
              <w:snapToGrid w:val="0"/>
              <w:spacing w:after="0" w:line="240" w:lineRule="auto"/>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DB6AFD" w:rsidRPr="00226F9D">
              <w:rPr>
                <w:rFonts w:ascii="Times New Roman" w:eastAsia="Times New Roman" w:hAnsi="Times New Roman" w:cs="Times New Roman"/>
                <w:color w:val="000000"/>
                <w:kern w:val="0"/>
                <w:sz w:val="16"/>
                <w:szCs w:val="16"/>
                <w:lang w:val="sr-Cyrl-RS" w:eastAsia="en-GB"/>
                <w14:ligatures w14:val="none"/>
              </w:rPr>
              <w:t>57,75%</w:t>
            </w:r>
          </w:p>
        </w:tc>
        <w:tc>
          <w:tcPr>
            <w:tcW w:w="845" w:type="dxa"/>
            <w:tcBorders>
              <w:top w:val="nil"/>
              <w:left w:val="nil"/>
              <w:bottom w:val="single" w:sz="4" w:space="0" w:color="auto"/>
              <w:right w:val="single" w:sz="4" w:space="0" w:color="auto"/>
            </w:tcBorders>
            <w:shd w:val="clear" w:color="000000" w:fill="FFFFFF"/>
            <w:hideMark/>
          </w:tcPr>
          <w:p w14:paraId="19F2326C" w14:textId="77777777" w:rsidR="00FB70CD" w:rsidRPr="00226F9D" w:rsidRDefault="00FB70CD" w:rsidP="005B0999">
            <w:pPr>
              <w:adjustRightInd w:val="0"/>
              <w:snapToGrid w:val="0"/>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956" w:type="dxa"/>
            <w:tcBorders>
              <w:top w:val="nil"/>
              <w:left w:val="nil"/>
              <w:bottom w:val="single" w:sz="4" w:space="0" w:color="auto"/>
              <w:right w:val="single" w:sz="4" w:space="0" w:color="auto"/>
            </w:tcBorders>
            <w:shd w:val="clear" w:color="000000" w:fill="FFFFFF"/>
            <w:hideMark/>
          </w:tcPr>
          <w:p w14:paraId="7B851CE4" w14:textId="03479CF4" w:rsidR="00FB70CD" w:rsidRPr="00226F9D" w:rsidRDefault="00FB70CD" w:rsidP="005B0999">
            <w:pPr>
              <w:adjustRightInd w:val="0"/>
              <w:snapToGrid w:val="0"/>
              <w:spacing w:after="0" w:line="240" w:lineRule="auto"/>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DB6AFD" w:rsidRPr="00226F9D">
              <w:rPr>
                <w:rFonts w:ascii="Times New Roman" w:eastAsia="Times New Roman" w:hAnsi="Times New Roman" w:cs="Times New Roman"/>
                <w:color w:val="000000"/>
                <w:kern w:val="0"/>
                <w:sz w:val="16"/>
                <w:szCs w:val="16"/>
                <w:lang w:val="sr-Cyrl-RS" w:eastAsia="en-GB"/>
                <w14:ligatures w14:val="none"/>
              </w:rPr>
              <w:t>60,5%</w:t>
            </w:r>
          </w:p>
        </w:tc>
      </w:tr>
    </w:tbl>
    <w:p w14:paraId="20E13E28" w14:textId="77777777" w:rsidR="00FB70CD" w:rsidRPr="00226F9D" w:rsidRDefault="00FB70CD" w:rsidP="005B0999">
      <w:pPr>
        <w:spacing w:after="0" w:line="240" w:lineRule="auto"/>
        <w:rPr>
          <w:rFonts w:ascii="Times New Roman" w:hAnsi="Times New Roman" w:cs="Times New Roman"/>
        </w:rPr>
      </w:pPr>
    </w:p>
    <w:p w14:paraId="7C1A56F3" w14:textId="77777777" w:rsidR="00FB70CD" w:rsidRPr="00226F9D" w:rsidRDefault="00FB70CD" w:rsidP="005B0999">
      <w:pPr>
        <w:spacing w:after="0" w:line="240" w:lineRule="auto"/>
        <w:rPr>
          <w:rFonts w:ascii="Times New Roman" w:hAnsi="Times New Roman" w:cs="Times New Roman"/>
        </w:rPr>
      </w:pPr>
    </w:p>
    <w:p w14:paraId="1986A0FD" w14:textId="77777777" w:rsidR="00FB70CD" w:rsidRPr="00226F9D" w:rsidRDefault="00FB70CD" w:rsidP="005B0999">
      <w:pPr>
        <w:spacing w:after="0" w:line="240" w:lineRule="auto"/>
        <w:rPr>
          <w:rFonts w:ascii="Times New Roman" w:hAnsi="Times New Roman" w:cs="Times New Roman"/>
        </w:rPr>
      </w:pPr>
      <w:r w:rsidRPr="00226F9D">
        <w:rPr>
          <w:rFonts w:ascii="Times New Roman" w:hAnsi="Times New Roman" w:cs="Times New Roman"/>
        </w:rPr>
        <w:br w:type="page"/>
      </w:r>
    </w:p>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63"/>
        <w:gridCol w:w="1560"/>
        <w:gridCol w:w="1420"/>
        <w:gridCol w:w="1131"/>
        <w:gridCol w:w="1559"/>
        <w:gridCol w:w="2127"/>
        <w:gridCol w:w="1275"/>
        <w:gridCol w:w="851"/>
        <w:gridCol w:w="850"/>
        <w:gridCol w:w="851"/>
        <w:gridCol w:w="863"/>
        <w:gridCol w:w="956"/>
      </w:tblGrid>
      <w:tr w:rsidR="00FB70CD" w:rsidRPr="00226F9D" w14:paraId="52382740" w14:textId="77777777" w:rsidTr="005B0999">
        <w:trPr>
          <w:trHeight w:val="24"/>
        </w:trPr>
        <w:tc>
          <w:tcPr>
            <w:tcW w:w="15706" w:type="dxa"/>
            <w:gridSpan w:val="12"/>
            <w:shd w:val="clear" w:color="000000" w:fill="C5E0B3"/>
            <w:vAlign w:val="center"/>
            <w:hideMark/>
          </w:tcPr>
          <w:p w14:paraId="5CDAD55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lastRenderedPageBreak/>
              <w:t>Посебни циљ 1: Унапређење положаја и одговорности локалне самоуправе</w:t>
            </w:r>
          </w:p>
        </w:tc>
      </w:tr>
      <w:tr w:rsidR="00FB70CD" w:rsidRPr="00226F9D" w14:paraId="6665876B" w14:textId="77777777" w:rsidTr="005B0999">
        <w:trPr>
          <w:trHeight w:val="24"/>
        </w:trPr>
        <w:tc>
          <w:tcPr>
            <w:tcW w:w="15706" w:type="dxa"/>
            <w:gridSpan w:val="12"/>
            <w:shd w:val="clear" w:color="000000" w:fill="C5E0B3"/>
            <w:vAlign w:val="center"/>
            <w:hideMark/>
          </w:tcPr>
          <w:p w14:paraId="4F46B39E"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Институција одговорна за праћење и контролу реализације: МДУЛС</w:t>
            </w:r>
          </w:p>
        </w:tc>
      </w:tr>
      <w:tr w:rsidR="00FB70CD" w:rsidRPr="00226F9D" w14:paraId="31C6C180" w14:textId="77777777">
        <w:trPr>
          <w:trHeight w:val="715"/>
        </w:trPr>
        <w:tc>
          <w:tcPr>
            <w:tcW w:w="5243" w:type="dxa"/>
            <w:gridSpan w:val="3"/>
            <w:shd w:val="clear" w:color="000000" w:fill="D9D9D9"/>
            <w:vAlign w:val="center"/>
            <w:hideMark/>
          </w:tcPr>
          <w:p w14:paraId="6008F799"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посебног циља (показатељ исхода)</w:t>
            </w:r>
          </w:p>
        </w:tc>
        <w:tc>
          <w:tcPr>
            <w:tcW w:w="1131" w:type="dxa"/>
            <w:shd w:val="clear" w:color="000000" w:fill="D9D9D9"/>
            <w:vAlign w:val="center"/>
            <w:hideMark/>
          </w:tcPr>
          <w:p w14:paraId="530F9FB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000000" w:fill="D9D9D9"/>
            <w:vAlign w:val="center"/>
            <w:hideMark/>
          </w:tcPr>
          <w:p w14:paraId="196F285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D9D9D9"/>
            <w:vAlign w:val="center"/>
            <w:hideMark/>
          </w:tcPr>
          <w:p w14:paraId="586B6AE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000000" w:fill="D9D9D9"/>
            <w:vAlign w:val="center"/>
            <w:hideMark/>
          </w:tcPr>
          <w:p w14:paraId="2BF1A6F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000000" w:fill="D9D9D9"/>
            <w:vAlign w:val="center"/>
            <w:hideMark/>
          </w:tcPr>
          <w:p w14:paraId="70A02E2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000000" w:fill="D9D9D9"/>
            <w:vAlign w:val="center"/>
            <w:hideMark/>
          </w:tcPr>
          <w:p w14:paraId="4C17336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D9D9D9"/>
            <w:vAlign w:val="center"/>
            <w:hideMark/>
          </w:tcPr>
          <w:p w14:paraId="311C014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3" w:type="dxa"/>
            <w:shd w:val="clear" w:color="000000" w:fill="D9D9D9"/>
            <w:vAlign w:val="center"/>
            <w:hideMark/>
          </w:tcPr>
          <w:p w14:paraId="1A69311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56" w:type="dxa"/>
            <w:shd w:val="clear" w:color="000000" w:fill="D9D9D9"/>
            <w:vAlign w:val="center"/>
            <w:hideMark/>
          </w:tcPr>
          <w:p w14:paraId="508C4F3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7E6AD428" w14:textId="77777777" w:rsidTr="005B0999">
        <w:trPr>
          <w:trHeight w:val="109"/>
        </w:trPr>
        <w:tc>
          <w:tcPr>
            <w:tcW w:w="5243" w:type="dxa"/>
            <w:gridSpan w:val="3"/>
            <w:shd w:val="clear" w:color="000000" w:fill="FFFFFF"/>
            <w:hideMark/>
          </w:tcPr>
          <w:p w14:paraId="30FA15E8" w14:textId="77777777" w:rsidR="00FB70CD" w:rsidRPr="00226F9D" w:rsidRDefault="00FB70CD" w:rsidP="005B0999">
            <w:pPr>
              <w:spacing w:after="0" w:line="240" w:lineRule="auto"/>
              <w:rPr>
                <w:rFonts w:ascii="Times New Roman" w:eastAsia="Times New Roman" w:hAnsi="Times New Roman" w:cs="Times New Roman"/>
                <w:i/>
                <w:iCs/>
                <w:color w:val="000000"/>
                <w:kern w:val="0"/>
                <w:sz w:val="16"/>
                <w:szCs w:val="16"/>
                <w:lang w:eastAsia="en-GB"/>
                <w14:ligatures w14:val="none"/>
              </w:rPr>
            </w:pPr>
            <w:r w:rsidRPr="00226F9D">
              <w:rPr>
                <w:rFonts w:ascii="Times New Roman" w:eastAsia="Times New Roman" w:hAnsi="Times New Roman" w:cs="Times New Roman"/>
                <w:i/>
                <w:iCs/>
                <w:color w:val="000000"/>
                <w:kern w:val="0"/>
                <w:sz w:val="16"/>
                <w:szCs w:val="16"/>
                <w:lang w:eastAsia="en-GB"/>
                <w14:ligatures w14:val="none"/>
              </w:rPr>
              <w:t>Број одредаба ЕПЛС чију примену је ратификовала Република Србија</w:t>
            </w:r>
          </w:p>
        </w:tc>
        <w:tc>
          <w:tcPr>
            <w:tcW w:w="1131" w:type="dxa"/>
            <w:hideMark/>
          </w:tcPr>
          <w:p w14:paraId="052726E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vAlign w:val="center"/>
            <w:hideMark/>
          </w:tcPr>
          <w:p w14:paraId="4A0CE3B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Правно-информациона база прописа РС</w:t>
            </w:r>
          </w:p>
        </w:tc>
        <w:tc>
          <w:tcPr>
            <w:tcW w:w="2127" w:type="dxa"/>
            <w:shd w:val="clear" w:color="000000" w:fill="FFFFFF"/>
            <w:hideMark/>
          </w:tcPr>
          <w:p w14:paraId="6B88648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27</w:t>
            </w:r>
          </w:p>
        </w:tc>
        <w:tc>
          <w:tcPr>
            <w:tcW w:w="1275" w:type="dxa"/>
            <w:shd w:val="clear" w:color="000000" w:fill="FFFFFF"/>
            <w:hideMark/>
          </w:tcPr>
          <w:p w14:paraId="6A857DB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000000" w:fill="FFFFFF"/>
            <w:hideMark/>
          </w:tcPr>
          <w:p w14:paraId="1E3493E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27</w:t>
            </w:r>
          </w:p>
        </w:tc>
        <w:tc>
          <w:tcPr>
            <w:tcW w:w="850" w:type="dxa"/>
            <w:shd w:val="clear" w:color="000000" w:fill="FFFFFF"/>
            <w:hideMark/>
          </w:tcPr>
          <w:p w14:paraId="621A9DC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27</w:t>
            </w:r>
          </w:p>
        </w:tc>
        <w:tc>
          <w:tcPr>
            <w:tcW w:w="851" w:type="dxa"/>
            <w:shd w:val="clear" w:color="000000" w:fill="FFFFFF"/>
            <w:hideMark/>
          </w:tcPr>
          <w:p w14:paraId="32245A4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27</w:t>
            </w:r>
          </w:p>
        </w:tc>
        <w:tc>
          <w:tcPr>
            <w:tcW w:w="863" w:type="dxa"/>
            <w:shd w:val="clear" w:color="000000" w:fill="FFFFFF"/>
            <w:hideMark/>
          </w:tcPr>
          <w:p w14:paraId="37A80DF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27</w:t>
            </w:r>
          </w:p>
        </w:tc>
        <w:tc>
          <w:tcPr>
            <w:tcW w:w="956" w:type="dxa"/>
            <w:shd w:val="clear" w:color="000000" w:fill="FFFFFF"/>
            <w:hideMark/>
          </w:tcPr>
          <w:p w14:paraId="452D859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w:t>
            </w:r>
          </w:p>
        </w:tc>
      </w:tr>
      <w:tr w:rsidR="00FB70CD" w:rsidRPr="00226F9D" w14:paraId="2FCF0B8F" w14:textId="77777777">
        <w:trPr>
          <w:trHeight w:val="614"/>
        </w:trPr>
        <w:tc>
          <w:tcPr>
            <w:tcW w:w="5243" w:type="dxa"/>
            <w:gridSpan w:val="3"/>
            <w:shd w:val="clear" w:color="000000" w:fill="FFFFFF"/>
            <w:hideMark/>
          </w:tcPr>
          <w:p w14:paraId="635A0EB8" w14:textId="77777777" w:rsidR="00FB70CD" w:rsidRPr="00226F9D" w:rsidRDefault="00FB70CD" w:rsidP="005B0999">
            <w:pPr>
              <w:spacing w:after="0" w:line="240" w:lineRule="auto"/>
              <w:rPr>
                <w:rFonts w:ascii="Times New Roman" w:eastAsia="Times New Roman" w:hAnsi="Times New Roman" w:cs="Times New Roman"/>
                <w:i/>
                <w:iCs/>
                <w:color w:val="000000"/>
                <w:kern w:val="0"/>
                <w:sz w:val="16"/>
                <w:szCs w:val="16"/>
                <w:lang w:eastAsia="en-GB"/>
                <w14:ligatures w14:val="none"/>
              </w:rPr>
            </w:pPr>
            <w:r w:rsidRPr="00226F9D">
              <w:rPr>
                <w:rFonts w:ascii="Times New Roman" w:eastAsia="Times New Roman" w:hAnsi="Times New Roman" w:cs="Times New Roman"/>
                <w:i/>
                <w:iCs/>
                <w:color w:val="000000"/>
                <w:kern w:val="0"/>
                <w:sz w:val="16"/>
                <w:szCs w:val="16"/>
                <w:lang w:eastAsia="en-GB"/>
                <w14:ligatures w14:val="none"/>
              </w:rPr>
              <w:t>Просечна вредност индекса добре управе у издвојеним областима: 1) oдговорност; 2) транспарентност, отвореност и партиципација</w:t>
            </w:r>
          </w:p>
        </w:tc>
        <w:tc>
          <w:tcPr>
            <w:tcW w:w="1131" w:type="dxa"/>
            <w:hideMark/>
          </w:tcPr>
          <w:p w14:paraId="10F3A35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59" w:type="dxa"/>
            <w:vAlign w:val="center"/>
            <w:hideMark/>
          </w:tcPr>
          <w:p w14:paraId="6DCE8CD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Електронски индекс СКГО</w:t>
            </w:r>
          </w:p>
        </w:tc>
        <w:tc>
          <w:tcPr>
            <w:tcW w:w="2127" w:type="dxa"/>
            <w:shd w:val="clear" w:color="000000" w:fill="FFFFFF"/>
            <w:vAlign w:val="center"/>
            <w:hideMark/>
          </w:tcPr>
          <w:p w14:paraId="27FEB39B" w14:textId="2E47ED3C" w:rsidR="00FB70CD" w:rsidRPr="00226F9D" w:rsidRDefault="00B24570" w:rsidP="005B0999">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59,1%</w:t>
            </w:r>
          </w:p>
        </w:tc>
        <w:tc>
          <w:tcPr>
            <w:tcW w:w="1275" w:type="dxa"/>
            <w:shd w:val="clear" w:color="000000" w:fill="FFFFFF"/>
            <w:hideMark/>
          </w:tcPr>
          <w:p w14:paraId="1CCC4067" w14:textId="77777777" w:rsidR="006858D5" w:rsidRPr="00226F9D" w:rsidRDefault="006858D5"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p w14:paraId="713D197F" w14:textId="1864F5E2"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202</w:t>
            </w:r>
            <w:r w:rsidR="00B24570" w:rsidRPr="00226F9D">
              <w:rPr>
                <w:rFonts w:ascii="Times New Roman" w:eastAsia="Times New Roman" w:hAnsi="Times New Roman" w:cs="Times New Roman"/>
                <w:color w:val="000000"/>
                <w:kern w:val="0"/>
                <w:sz w:val="16"/>
                <w:szCs w:val="16"/>
                <w:lang w:val="sr-Cyrl-RS" w:eastAsia="en-GB"/>
                <w14:ligatures w14:val="none"/>
              </w:rPr>
              <w:t>3</w:t>
            </w:r>
          </w:p>
        </w:tc>
        <w:tc>
          <w:tcPr>
            <w:tcW w:w="851" w:type="dxa"/>
            <w:noWrap/>
            <w:hideMark/>
          </w:tcPr>
          <w:p w14:paraId="42F01C8F" w14:textId="77777777" w:rsidR="006858D5" w:rsidRPr="00226F9D" w:rsidRDefault="006858D5"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p w14:paraId="5008155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000000" w:fill="FFFFFF"/>
            <w:hideMark/>
          </w:tcPr>
          <w:p w14:paraId="3BE12105" w14:textId="77777777" w:rsidR="006858D5" w:rsidRPr="00226F9D" w:rsidRDefault="006858D5"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p w14:paraId="6126D21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51" w:type="dxa"/>
            <w:shd w:val="clear" w:color="000000" w:fill="FFFFFF"/>
            <w:hideMark/>
          </w:tcPr>
          <w:p w14:paraId="08188661" w14:textId="77777777" w:rsidR="006858D5" w:rsidRPr="00226F9D" w:rsidRDefault="006858D5"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p w14:paraId="29578EE2" w14:textId="6C90B4BA" w:rsidR="00FB70CD" w:rsidRPr="00226F9D" w:rsidRDefault="006858D5"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63%</w:t>
            </w:r>
            <w:r w:rsidR="00FB70CD" w:rsidRPr="00226F9D">
              <w:rPr>
                <w:rFonts w:ascii="Times New Roman" w:eastAsia="Times New Roman" w:hAnsi="Times New Roman" w:cs="Times New Roman"/>
                <w:color w:val="000000"/>
                <w:kern w:val="0"/>
                <w:sz w:val="16"/>
                <w:szCs w:val="16"/>
                <w:lang w:eastAsia="en-GB"/>
                <w14:ligatures w14:val="none"/>
              </w:rPr>
              <w:t> </w:t>
            </w:r>
          </w:p>
        </w:tc>
        <w:tc>
          <w:tcPr>
            <w:tcW w:w="863" w:type="dxa"/>
            <w:noWrap/>
            <w:hideMark/>
          </w:tcPr>
          <w:p w14:paraId="2C8A2D2B" w14:textId="77777777" w:rsidR="006858D5" w:rsidRPr="00226F9D" w:rsidRDefault="006858D5"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p w14:paraId="1F11409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956" w:type="dxa"/>
            <w:shd w:val="clear" w:color="000000" w:fill="FFFFFF"/>
            <w:hideMark/>
          </w:tcPr>
          <w:p w14:paraId="76A5693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p w14:paraId="73E83F3D" w14:textId="5B6862C6" w:rsidR="00FB70CD" w:rsidRPr="00226F9D" w:rsidRDefault="006858D5"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66%</w:t>
            </w:r>
          </w:p>
        </w:tc>
      </w:tr>
      <w:tr w:rsidR="00FB70CD" w:rsidRPr="00226F9D" w14:paraId="79D21D90" w14:textId="77777777">
        <w:trPr>
          <w:trHeight w:val="424"/>
        </w:trPr>
        <w:tc>
          <w:tcPr>
            <w:tcW w:w="5243" w:type="dxa"/>
            <w:gridSpan w:val="3"/>
            <w:shd w:val="clear" w:color="000000" w:fill="FFFFFF"/>
            <w:hideMark/>
          </w:tcPr>
          <w:p w14:paraId="34FB454A" w14:textId="30696DA2" w:rsidR="00FB70CD" w:rsidRPr="00226F9D" w:rsidRDefault="00FB70CD" w:rsidP="005B0999">
            <w:pPr>
              <w:spacing w:after="0" w:line="240" w:lineRule="auto"/>
              <w:rPr>
                <w:rFonts w:ascii="Times New Roman" w:eastAsia="Times New Roman" w:hAnsi="Times New Roman" w:cs="Times New Roman"/>
                <w:i/>
                <w:iCs/>
                <w:color w:val="000000"/>
                <w:kern w:val="0"/>
                <w:sz w:val="16"/>
                <w:szCs w:val="16"/>
                <w:lang w:eastAsia="en-GB"/>
                <w14:ligatures w14:val="none"/>
              </w:rPr>
            </w:pPr>
            <w:r w:rsidRPr="00226F9D">
              <w:rPr>
                <w:rFonts w:ascii="Times New Roman" w:eastAsia="Times New Roman" w:hAnsi="Times New Roman" w:cs="Times New Roman"/>
                <w:i/>
                <w:iCs/>
                <w:color w:val="000000"/>
                <w:kern w:val="0"/>
                <w:sz w:val="16"/>
                <w:szCs w:val="16"/>
                <w:lang w:eastAsia="en-GB"/>
                <w14:ligatures w14:val="none"/>
              </w:rPr>
              <w:t>Степен обучености локалних органа и управе за примену новог системског правног оквира за локалну самоуправу</w:t>
            </w:r>
          </w:p>
        </w:tc>
        <w:tc>
          <w:tcPr>
            <w:tcW w:w="1131" w:type="dxa"/>
            <w:hideMark/>
          </w:tcPr>
          <w:p w14:paraId="269E07A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000000" w:fill="FFFFFF"/>
            <w:vAlign w:val="center"/>
            <w:hideMark/>
          </w:tcPr>
          <w:p w14:paraId="1797FDA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Извештаји СКГО</w:t>
            </w:r>
          </w:p>
        </w:tc>
        <w:tc>
          <w:tcPr>
            <w:tcW w:w="2127" w:type="dxa"/>
            <w:shd w:val="clear" w:color="000000" w:fill="FFFFFF"/>
            <w:hideMark/>
          </w:tcPr>
          <w:p w14:paraId="3CEB297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shd w:val="clear" w:color="000000" w:fill="FFFFFF"/>
            <w:hideMark/>
          </w:tcPr>
          <w:p w14:paraId="24A38C3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000000" w:fill="FFFFFF"/>
            <w:noWrap/>
            <w:hideMark/>
          </w:tcPr>
          <w:p w14:paraId="31479BE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w:t>
            </w:r>
          </w:p>
        </w:tc>
        <w:tc>
          <w:tcPr>
            <w:tcW w:w="850" w:type="dxa"/>
            <w:shd w:val="clear" w:color="000000" w:fill="FFFFFF"/>
            <w:hideMark/>
          </w:tcPr>
          <w:p w14:paraId="23340EE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w:t>
            </w:r>
          </w:p>
        </w:tc>
        <w:tc>
          <w:tcPr>
            <w:tcW w:w="851" w:type="dxa"/>
            <w:shd w:val="clear" w:color="000000" w:fill="FFFFFF"/>
            <w:hideMark/>
          </w:tcPr>
          <w:p w14:paraId="1F2BCF8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w:t>
            </w:r>
          </w:p>
        </w:tc>
        <w:tc>
          <w:tcPr>
            <w:tcW w:w="863" w:type="dxa"/>
            <w:noWrap/>
            <w:hideMark/>
          </w:tcPr>
          <w:p w14:paraId="6EC4C58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w:t>
            </w:r>
          </w:p>
        </w:tc>
        <w:tc>
          <w:tcPr>
            <w:tcW w:w="956" w:type="dxa"/>
            <w:shd w:val="clear" w:color="000000" w:fill="FFFFFF"/>
            <w:hideMark/>
          </w:tcPr>
          <w:p w14:paraId="0DD9DBC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w:t>
            </w:r>
          </w:p>
        </w:tc>
      </w:tr>
      <w:tr w:rsidR="00FB70CD" w:rsidRPr="00226F9D" w14:paraId="7F581626" w14:textId="77777777">
        <w:trPr>
          <w:trHeight w:val="239"/>
        </w:trPr>
        <w:tc>
          <w:tcPr>
            <w:tcW w:w="15706" w:type="dxa"/>
            <w:gridSpan w:val="12"/>
            <w:shd w:val="clear" w:color="000000" w:fill="F7CAAC"/>
            <w:vAlign w:val="center"/>
            <w:hideMark/>
          </w:tcPr>
          <w:p w14:paraId="0CC51234"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Мера 1.1: Реформа системског правног оквира за остваривање локалне самоуправе у Републици Србији </w:t>
            </w:r>
          </w:p>
        </w:tc>
      </w:tr>
      <w:tr w:rsidR="00FB70CD" w:rsidRPr="00226F9D" w14:paraId="26DEA090" w14:textId="77777777">
        <w:trPr>
          <w:trHeight w:val="133"/>
        </w:trPr>
        <w:tc>
          <w:tcPr>
            <w:tcW w:w="15706" w:type="dxa"/>
            <w:gridSpan w:val="12"/>
            <w:shd w:val="clear" w:color="000000" w:fill="F7CAAC"/>
            <w:vAlign w:val="center"/>
            <w:hideMark/>
          </w:tcPr>
          <w:p w14:paraId="7156B806"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Институција одговорна за праћење и контролу реализације: МДУЛС</w:t>
            </w:r>
          </w:p>
        </w:tc>
      </w:tr>
      <w:tr w:rsidR="00FB70CD" w:rsidRPr="00226F9D" w14:paraId="6DAB3CB4" w14:textId="77777777">
        <w:trPr>
          <w:trHeight w:val="152"/>
        </w:trPr>
        <w:tc>
          <w:tcPr>
            <w:tcW w:w="3823" w:type="dxa"/>
            <w:gridSpan w:val="2"/>
            <w:shd w:val="clear" w:color="000000" w:fill="F7CAAC"/>
            <w:vAlign w:val="center"/>
            <w:hideMark/>
          </w:tcPr>
          <w:p w14:paraId="45C27AD2"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Период спровођења: 2026-2030.</w:t>
            </w:r>
          </w:p>
        </w:tc>
        <w:tc>
          <w:tcPr>
            <w:tcW w:w="11883" w:type="dxa"/>
            <w:gridSpan w:val="10"/>
            <w:shd w:val="clear" w:color="000000" w:fill="F7CAAC"/>
            <w:vAlign w:val="center"/>
            <w:hideMark/>
          </w:tcPr>
          <w:p w14:paraId="50EEA135"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Тип мере: Регулаторна</w:t>
            </w:r>
          </w:p>
        </w:tc>
      </w:tr>
      <w:tr w:rsidR="00FB70CD" w:rsidRPr="00226F9D" w14:paraId="2DA30057" w14:textId="77777777">
        <w:trPr>
          <w:trHeight w:val="172"/>
        </w:trPr>
        <w:tc>
          <w:tcPr>
            <w:tcW w:w="15706" w:type="dxa"/>
            <w:gridSpan w:val="12"/>
            <w:shd w:val="clear" w:color="000000" w:fill="F7CAAC"/>
            <w:vAlign w:val="center"/>
            <w:hideMark/>
          </w:tcPr>
          <w:p w14:paraId="5D44A60C"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Прописи које је потребно изменити/усвојити за спровођење мере: Закон о потврђивању ЕПЛС, Закон о локалној самоуправи, Закон о државној управи и Закон о локалним изборима</w:t>
            </w:r>
          </w:p>
        </w:tc>
      </w:tr>
      <w:tr w:rsidR="00FB70CD" w:rsidRPr="00226F9D" w14:paraId="6290AD1E" w14:textId="77777777">
        <w:trPr>
          <w:trHeight w:val="564"/>
        </w:trPr>
        <w:tc>
          <w:tcPr>
            <w:tcW w:w="5243" w:type="dxa"/>
            <w:gridSpan w:val="3"/>
            <w:shd w:val="clear" w:color="000000" w:fill="B4C6E7"/>
            <w:vAlign w:val="center"/>
            <w:hideMark/>
          </w:tcPr>
          <w:p w14:paraId="6150C53F"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мере (показатељ резултата)</w:t>
            </w:r>
          </w:p>
        </w:tc>
        <w:tc>
          <w:tcPr>
            <w:tcW w:w="1131" w:type="dxa"/>
            <w:shd w:val="clear" w:color="000000" w:fill="B4C6E7"/>
            <w:vAlign w:val="center"/>
          </w:tcPr>
          <w:p w14:paraId="72ABF23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000000" w:fill="B4C6E7"/>
            <w:vAlign w:val="center"/>
          </w:tcPr>
          <w:p w14:paraId="4977997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B4C6E7"/>
            <w:vAlign w:val="center"/>
          </w:tcPr>
          <w:p w14:paraId="0C467B1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000000" w:fill="B4C6E7"/>
            <w:vAlign w:val="center"/>
            <w:hideMark/>
          </w:tcPr>
          <w:p w14:paraId="06EDD31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000000" w:fill="B4C6E7"/>
            <w:vAlign w:val="center"/>
            <w:hideMark/>
          </w:tcPr>
          <w:p w14:paraId="6CC6EA3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000000" w:fill="B4C6E7"/>
            <w:vAlign w:val="center"/>
            <w:hideMark/>
          </w:tcPr>
          <w:p w14:paraId="2615602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B4C6E7"/>
            <w:vAlign w:val="center"/>
            <w:hideMark/>
          </w:tcPr>
          <w:p w14:paraId="1D15CBC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3" w:type="dxa"/>
            <w:shd w:val="clear" w:color="000000" w:fill="B4C6E7"/>
            <w:vAlign w:val="center"/>
            <w:hideMark/>
          </w:tcPr>
          <w:p w14:paraId="68363E9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56" w:type="dxa"/>
            <w:shd w:val="clear" w:color="000000" w:fill="B4C6E7"/>
            <w:vAlign w:val="center"/>
            <w:hideMark/>
          </w:tcPr>
          <w:p w14:paraId="040C2FC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4C4ED7E2" w14:textId="77777777">
        <w:trPr>
          <w:trHeight w:val="517"/>
        </w:trPr>
        <w:tc>
          <w:tcPr>
            <w:tcW w:w="5243" w:type="dxa"/>
            <w:gridSpan w:val="3"/>
            <w:shd w:val="clear" w:color="000000" w:fill="FFFFFF"/>
            <w:hideMark/>
          </w:tcPr>
          <w:p w14:paraId="634E45F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Реформисан системски правни оквир за остваривање локалне самоуправе (Закон о локалној самоуправи и Закон о потврђивању Европске повеље о локалној самоуправи)</w:t>
            </w:r>
          </w:p>
        </w:tc>
        <w:tc>
          <w:tcPr>
            <w:tcW w:w="1131" w:type="dxa"/>
            <w:shd w:val="clear" w:color="000000" w:fill="FFFFFF"/>
          </w:tcPr>
          <w:p w14:paraId="4CDF0E6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000000" w:fill="FFFFFF"/>
            <w:hideMark/>
          </w:tcPr>
          <w:p w14:paraId="2438D1C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Правно-информациона база прописа РС</w:t>
            </w:r>
          </w:p>
        </w:tc>
        <w:tc>
          <w:tcPr>
            <w:tcW w:w="2127" w:type="dxa"/>
            <w:shd w:val="clear" w:color="000000" w:fill="FFFFFF"/>
          </w:tcPr>
          <w:p w14:paraId="32D3730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shd w:val="clear" w:color="000000" w:fill="FFFFFF"/>
            <w:hideMark/>
          </w:tcPr>
          <w:p w14:paraId="74F11AA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000000" w:fill="FFFFFF"/>
            <w:noWrap/>
            <w:hideMark/>
          </w:tcPr>
          <w:p w14:paraId="60975DB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0</w:t>
            </w:r>
          </w:p>
        </w:tc>
        <w:tc>
          <w:tcPr>
            <w:tcW w:w="850" w:type="dxa"/>
            <w:shd w:val="clear" w:color="000000" w:fill="FFFFFF"/>
            <w:hideMark/>
          </w:tcPr>
          <w:p w14:paraId="29F31D6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w:t>
            </w:r>
          </w:p>
        </w:tc>
        <w:tc>
          <w:tcPr>
            <w:tcW w:w="851" w:type="dxa"/>
            <w:shd w:val="clear" w:color="000000" w:fill="FFFFFF"/>
            <w:noWrap/>
            <w:hideMark/>
          </w:tcPr>
          <w:p w14:paraId="6EBBF62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w:t>
            </w:r>
          </w:p>
        </w:tc>
        <w:tc>
          <w:tcPr>
            <w:tcW w:w="863" w:type="dxa"/>
            <w:shd w:val="clear" w:color="000000" w:fill="FFFFFF"/>
            <w:hideMark/>
          </w:tcPr>
          <w:p w14:paraId="3BDEE1B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w:t>
            </w:r>
          </w:p>
        </w:tc>
        <w:tc>
          <w:tcPr>
            <w:tcW w:w="956" w:type="dxa"/>
            <w:shd w:val="clear" w:color="000000" w:fill="FFFFFF"/>
            <w:hideMark/>
          </w:tcPr>
          <w:p w14:paraId="70857E6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w:t>
            </w:r>
          </w:p>
        </w:tc>
      </w:tr>
      <w:tr w:rsidR="00FB70CD" w:rsidRPr="00226F9D" w14:paraId="52F59BF8" w14:textId="77777777">
        <w:trPr>
          <w:trHeight w:val="216"/>
        </w:trPr>
        <w:tc>
          <w:tcPr>
            <w:tcW w:w="5243" w:type="dxa"/>
            <w:gridSpan w:val="3"/>
            <w:vMerge w:val="restart"/>
            <w:shd w:val="clear" w:color="000000" w:fill="A9D08E"/>
            <w:noWrap/>
            <w:vAlign w:val="center"/>
            <w:hideMark/>
          </w:tcPr>
          <w:p w14:paraId="07BCE83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2" w:type="dxa"/>
            <w:gridSpan w:val="4"/>
            <w:vMerge w:val="restart"/>
            <w:shd w:val="clear" w:color="000000" w:fill="A9D08E"/>
            <w:noWrap/>
            <w:vAlign w:val="center"/>
            <w:hideMark/>
          </w:tcPr>
          <w:p w14:paraId="7525947E" w14:textId="77777777" w:rsidR="00FB70CD" w:rsidRPr="00226F9D" w:rsidRDefault="00D155C4"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22"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71" w:type="dxa"/>
            <w:gridSpan w:val="5"/>
            <w:shd w:val="clear" w:color="000000" w:fill="A8D08D"/>
            <w:hideMark/>
          </w:tcPr>
          <w:p w14:paraId="3DBE920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у 000 дин</w:t>
            </w:r>
          </w:p>
        </w:tc>
      </w:tr>
      <w:tr w:rsidR="00FB70CD" w:rsidRPr="00226F9D" w14:paraId="55DC409C" w14:textId="77777777">
        <w:trPr>
          <w:trHeight w:val="67"/>
        </w:trPr>
        <w:tc>
          <w:tcPr>
            <w:tcW w:w="5243" w:type="dxa"/>
            <w:gridSpan w:val="3"/>
            <w:vMerge/>
            <w:hideMark/>
          </w:tcPr>
          <w:p w14:paraId="336D491E"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p>
        </w:tc>
        <w:tc>
          <w:tcPr>
            <w:tcW w:w="6092" w:type="dxa"/>
            <w:gridSpan w:val="4"/>
            <w:vMerge/>
            <w:hideMark/>
          </w:tcPr>
          <w:p w14:paraId="029ADD71"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p>
        </w:tc>
        <w:tc>
          <w:tcPr>
            <w:tcW w:w="851" w:type="dxa"/>
            <w:shd w:val="clear" w:color="000000" w:fill="A8D08D"/>
            <w:hideMark/>
          </w:tcPr>
          <w:p w14:paraId="0A2DEDD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A8D08D"/>
            <w:hideMark/>
          </w:tcPr>
          <w:p w14:paraId="1F0A87B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A8D08D"/>
            <w:hideMark/>
          </w:tcPr>
          <w:p w14:paraId="72050E7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3" w:type="dxa"/>
            <w:shd w:val="clear" w:color="000000" w:fill="A8D08D"/>
            <w:hideMark/>
          </w:tcPr>
          <w:p w14:paraId="47091FD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56" w:type="dxa"/>
            <w:shd w:val="clear" w:color="000000" w:fill="A8D08D"/>
            <w:hideMark/>
          </w:tcPr>
          <w:p w14:paraId="4417887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648E05EC" w14:textId="77777777">
        <w:trPr>
          <w:trHeight w:val="24"/>
        </w:trPr>
        <w:tc>
          <w:tcPr>
            <w:tcW w:w="5243" w:type="dxa"/>
            <w:gridSpan w:val="3"/>
            <w:shd w:val="clear" w:color="000000" w:fill="FFFFFF"/>
            <w:hideMark/>
          </w:tcPr>
          <w:p w14:paraId="7DA77DA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2" w:type="dxa"/>
            <w:gridSpan w:val="4"/>
            <w:shd w:val="clear" w:color="000000" w:fill="FFFFFF"/>
            <w:hideMark/>
          </w:tcPr>
          <w:p w14:paraId="1D8C7FD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3210D42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2.690</w:t>
            </w:r>
          </w:p>
        </w:tc>
        <w:tc>
          <w:tcPr>
            <w:tcW w:w="850" w:type="dxa"/>
            <w:shd w:val="clear" w:color="000000" w:fill="FFFFFF"/>
            <w:hideMark/>
          </w:tcPr>
          <w:p w14:paraId="4AA720A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1.100</w:t>
            </w:r>
          </w:p>
        </w:tc>
        <w:tc>
          <w:tcPr>
            <w:tcW w:w="851" w:type="dxa"/>
            <w:shd w:val="clear" w:color="000000" w:fill="FFFFFF"/>
            <w:hideMark/>
          </w:tcPr>
          <w:p w14:paraId="089D5E2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000000" w:fill="FFFFFF"/>
            <w:hideMark/>
          </w:tcPr>
          <w:p w14:paraId="18318E5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000000" w:fill="FFFFFF"/>
            <w:hideMark/>
          </w:tcPr>
          <w:p w14:paraId="402EF58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422404B2" w14:textId="77777777">
        <w:trPr>
          <w:trHeight w:val="512"/>
        </w:trPr>
        <w:tc>
          <w:tcPr>
            <w:tcW w:w="2263" w:type="dxa"/>
            <w:shd w:val="clear" w:color="000000" w:fill="FFF2CC"/>
            <w:hideMark/>
          </w:tcPr>
          <w:p w14:paraId="37860C5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60" w:type="dxa"/>
            <w:shd w:val="clear" w:color="000000" w:fill="FFF2CC"/>
            <w:hideMark/>
          </w:tcPr>
          <w:p w14:paraId="2C937A9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20" w:type="dxa"/>
            <w:shd w:val="clear" w:color="000000" w:fill="FFF2CC"/>
            <w:hideMark/>
          </w:tcPr>
          <w:p w14:paraId="30D37DD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Oргани и партнери у спровођењу активности</w:t>
            </w:r>
          </w:p>
        </w:tc>
        <w:tc>
          <w:tcPr>
            <w:tcW w:w="2690" w:type="dxa"/>
            <w:gridSpan w:val="2"/>
            <w:shd w:val="clear" w:color="000000" w:fill="FFF2CC"/>
            <w:hideMark/>
          </w:tcPr>
          <w:p w14:paraId="3C8EE89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000000" w:fill="FFF2CC"/>
            <w:hideMark/>
          </w:tcPr>
          <w:p w14:paraId="517E842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000000" w:fill="FFF2CC"/>
            <w:hideMark/>
          </w:tcPr>
          <w:p w14:paraId="7DA0EA6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71" w:type="dxa"/>
            <w:gridSpan w:val="5"/>
            <w:shd w:val="clear" w:color="000000" w:fill="FFF2CC"/>
            <w:hideMark/>
          </w:tcPr>
          <w:p w14:paraId="214DD65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по изворима у 000 дин</w:t>
            </w:r>
          </w:p>
        </w:tc>
      </w:tr>
      <w:tr w:rsidR="00FB70CD" w:rsidRPr="00226F9D" w14:paraId="5FDFBD28" w14:textId="77777777">
        <w:trPr>
          <w:trHeight w:val="320"/>
        </w:trPr>
        <w:tc>
          <w:tcPr>
            <w:tcW w:w="2263" w:type="dxa"/>
            <w:shd w:val="clear" w:color="000000" w:fill="FFF2CC"/>
            <w:hideMark/>
          </w:tcPr>
          <w:p w14:paraId="7AD4F2A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560" w:type="dxa"/>
            <w:shd w:val="clear" w:color="000000" w:fill="FFF2CC"/>
            <w:hideMark/>
          </w:tcPr>
          <w:p w14:paraId="566D261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420" w:type="dxa"/>
            <w:shd w:val="clear" w:color="000000" w:fill="FFF2CC"/>
            <w:hideMark/>
          </w:tcPr>
          <w:p w14:paraId="345C0AB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690" w:type="dxa"/>
            <w:gridSpan w:val="2"/>
            <w:shd w:val="clear" w:color="000000" w:fill="FFF2CC"/>
            <w:hideMark/>
          </w:tcPr>
          <w:p w14:paraId="4A13E2B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2127" w:type="dxa"/>
            <w:shd w:val="clear" w:color="000000" w:fill="FFF2CC"/>
            <w:hideMark/>
          </w:tcPr>
          <w:p w14:paraId="77ECCD2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275" w:type="dxa"/>
            <w:shd w:val="clear" w:color="000000" w:fill="FFF2CC"/>
            <w:hideMark/>
          </w:tcPr>
          <w:p w14:paraId="5287797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2CC"/>
            <w:hideMark/>
          </w:tcPr>
          <w:p w14:paraId="324B55F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2026</w:t>
            </w:r>
          </w:p>
        </w:tc>
        <w:tc>
          <w:tcPr>
            <w:tcW w:w="850" w:type="dxa"/>
            <w:shd w:val="clear" w:color="000000" w:fill="FFF2CC"/>
            <w:hideMark/>
          </w:tcPr>
          <w:p w14:paraId="0F2EDEF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2027</w:t>
            </w:r>
          </w:p>
        </w:tc>
        <w:tc>
          <w:tcPr>
            <w:tcW w:w="851" w:type="dxa"/>
            <w:shd w:val="clear" w:color="000000" w:fill="FFF2CC"/>
            <w:hideMark/>
          </w:tcPr>
          <w:p w14:paraId="142CA6F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2028</w:t>
            </w:r>
          </w:p>
        </w:tc>
        <w:tc>
          <w:tcPr>
            <w:tcW w:w="863" w:type="dxa"/>
            <w:shd w:val="clear" w:color="000000" w:fill="FFF2CC"/>
            <w:hideMark/>
          </w:tcPr>
          <w:p w14:paraId="100D0CA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2029</w:t>
            </w:r>
          </w:p>
        </w:tc>
        <w:tc>
          <w:tcPr>
            <w:tcW w:w="956" w:type="dxa"/>
            <w:shd w:val="clear" w:color="000000" w:fill="FFF2CC"/>
            <w:hideMark/>
          </w:tcPr>
          <w:p w14:paraId="5FABE0E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2030</w:t>
            </w:r>
          </w:p>
        </w:tc>
      </w:tr>
      <w:tr w:rsidR="00FB70CD" w:rsidRPr="00226F9D" w14:paraId="062C3094" w14:textId="77777777">
        <w:trPr>
          <w:trHeight w:val="563"/>
        </w:trPr>
        <w:tc>
          <w:tcPr>
            <w:tcW w:w="2263" w:type="dxa"/>
            <w:shd w:val="clear" w:color="000000" w:fill="FFFFFF"/>
            <w:hideMark/>
          </w:tcPr>
          <w:p w14:paraId="25688D10"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1.1.1 Припрема Ex ante анализе измена и допуна Закона о локалној самоуправи </w:t>
            </w:r>
          </w:p>
        </w:tc>
        <w:tc>
          <w:tcPr>
            <w:tcW w:w="1560" w:type="dxa"/>
            <w:shd w:val="clear" w:color="000000" w:fill="FFFFFF"/>
            <w:hideMark/>
          </w:tcPr>
          <w:p w14:paraId="36F8570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20" w:type="dxa"/>
            <w:shd w:val="clear" w:color="000000" w:fill="FFFFFF"/>
            <w:hideMark/>
          </w:tcPr>
          <w:p w14:paraId="702ECA6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0" w:type="dxa"/>
            <w:gridSpan w:val="2"/>
            <w:hideMark/>
          </w:tcPr>
          <w:p w14:paraId="4E17DA16" w14:textId="18624FC9"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II квартал 2026.</w:t>
            </w:r>
          </w:p>
        </w:tc>
        <w:tc>
          <w:tcPr>
            <w:tcW w:w="2127" w:type="dxa"/>
            <w:shd w:val="clear" w:color="000000" w:fill="FFFFFF"/>
            <w:hideMark/>
          </w:tcPr>
          <w:p w14:paraId="041663D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Подршка из донације (СДЦ-СКГО – Партнерство за добру локалну самоуправу)</w:t>
            </w:r>
          </w:p>
        </w:tc>
        <w:tc>
          <w:tcPr>
            <w:tcW w:w="1275" w:type="dxa"/>
            <w:shd w:val="clear" w:color="000000" w:fill="FFFFFF"/>
            <w:noWrap/>
            <w:hideMark/>
          </w:tcPr>
          <w:p w14:paraId="6A00435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2724F29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480</w:t>
            </w:r>
          </w:p>
        </w:tc>
        <w:tc>
          <w:tcPr>
            <w:tcW w:w="850" w:type="dxa"/>
            <w:shd w:val="clear" w:color="000000" w:fill="FFFFFF"/>
            <w:hideMark/>
          </w:tcPr>
          <w:p w14:paraId="4F7C7B3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758F51A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000000" w:fill="FFFFFF"/>
            <w:hideMark/>
          </w:tcPr>
          <w:p w14:paraId="163B823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000000" w:fill="FFFFFF"/>
            <w:hideMark/>
          </w:tcPr>
          <w:p w14:paraId="03FFC4C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bl>
    <w:p w14:paraId="68505908" w14:textId="77777777" w:rsidR="00FB70CD" w:rsidRPr="00226F9D" w:rsidRDefault="00FB70CD" w:rsidP="005B0999">
      <w:pPr>
        <w:spacing w:after="0" w:line="240" w:lineRule="auto"/>
        <w:rPr>
          <w:rFonts w:ascii="Times New Roman" w:hAnsi="Times New Roman" w:cs="Times New Roman"/>
        </w:rPr>
      </w:pPr>
    </w:p>
    <w:p w14:paraId="6D747BBE" w14:textId="77777777" w:rsidR="00FB70CD" w:rsidRPr="00226F9D" w:rsidRDefault="00FB70CD" w:rsidP="005B0999">
      <w:pPr>
        <w:spacing w:after="0" w:line="240" w:lineRule="auto"/>
        <w:rPr>
          <w:rFonts w:ascii="Times New Roman" w:hAnsi="Times New Roman" w:cs="Times New Roman"/>
        </w:rPr>
      </w:pPr>
    </w:p>
    <w:p w14:paraId="3BAFC585" w14:textId="77777777" w:rsidR="005B0999" w:rsidRPr="00226F9D" w:rsidRDefault="005B0999" w:rsidP="005B0999">
      <w:pPr>
        <w:spacing w:after="0" w:line="240" w:lineRule="auto"/>
        <w:rPr>
          <w:rFonts w:ascii="Times New Roman" w:hAnsi="Times New Roman" w:cs="Times New Roman"/>
        </w:rPr>
      </w:pPr>
    </w:p>
    <w:p w14:paraId="6D3B6670" w14:textId="77777777" w:rsidR="005B0999" w:rsidRPr="00226F9D" w:rsidRDefault="005B0999" w:rsidP="005B0999">
      <w:pPr>
        <w:spacing w:after="0" w:line="240" w:lineRule="auto"/>
        <w:rPr>
          <w:rFonts w:ascii="Times New Roman" w:hAnsi="Times New Roman" w:cs="Times New Roman"/>
        </w:rPr>
      </w:pPr>
    </w:p>
    <w:p w14:paraId="5451D6F9" w14:textId="77777777" w:rsidR="00FB70CD" w:rsidRPr="00226F9D" w:rsidRDefault="00FB70CD" w:rsidP="005B0999">
      <w:pPr>
        <w:spacing w:after="0" w:line="240" w:lineRule="auto"/>
        <w:rPr>
          <w:rFonts w:ascii="Times New Roman" w:hAnsi="Times New Roman" w:cs="Times New Roman"/>
        </w:rPr>
      </w:pPr>
    </w:p>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63"/>
        <w:gridCol w:w="1560"/>
        <w:gridCol w:w="1417"/>
        <w:gridCol w:w="2693"/>
        <w:gridCol w:w="2127"/>
        <w:gridCol w:w="1275"/>
        <w:gridCol w:w="851"/>
        <w:gridCol w:w="850"/>
        <w:gridCol w:w="851"/>
        <w:gridCol w:w="863"/>
        <w:gridCol w:w="956"/>
      </w:tblGrid>
      <w:tr w:rsidR="00FB70CD" w:rsidRPr="00226F9D" w14:paraId="55300ECD" w14:textId="77777777">
        <w:trPr>
          <w:trHeight w:val="506"/>
        </w:trPr>
        <w:tc>
          <w:tcPr>
            <w:tcW w:w="2263" w:type="dxa"/>
            <w:vMerge w:val="restart"/>
            <w:shd w:val="clear" w:color="000000" w:fill="FFFFFF"/>
            <w:hideMark/>
          </w:tcPr>
          <w:p w14:paraId="62B0F28F"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lastRenderedPageBreak/>
              <w:t>1.1.2. Припрема измена и допуна Закона о локалној самоуправи</w:t>
            </w:r>
          </w:p>
        </w:tc>
        <w:tc>
          <w:tcPr>
            <w:tcW w:w="1560" w:type="dxa"/>
            <w:vMerge w:val="restart"/>
            <w:shd w:val="clear" w:color="000000" w:fill="FFFFFF"/>
            <w:hideMark/>
          </w:tcPr>
          <w:p w14:paraId="39564B9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vMerge w:val="restart"/>
            <w:shd w:val="clear" w:color="000000" w:fill="FFFFFF"/>
            <w:hideMark/>
          </w:tcPr>
          <w:p w14:paraId="3E9DB79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vMerge w:val="restart"/>
            <w:hideMark/>
          </w:tcPr>
          <w:p w14:paraId="439810DD" w14:textId="128875C1"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2026.</w:t>
            </w:r>
          </w:p>
        </w:tc>
        <w:tc>
          <w:tcPr>
            <w:tcW w:w="2127" w:type="dxa"/>
            <w:hideMark/>
          </w:tcPr>
          <w:p w14:paraId="3BCBCA4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noWrap/>
            <w:hideMark/>
          </w:tcPr>
          <w:p w14:paraId="141CA18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20-0608-0002, 411</w:t>
            </w:r>
          </w:p>
        </w:tc>
        <w:tc>
          <w:tcPr>
            <w:tcW w:w="851" w:type="dxa"/>
            <w:shd w:val="clear" w:color="000000" w:fill="FFFFFF"/>
            <w:hideMark/>
          </w:tcPr>
          <w:p w14:paraId="296E4CD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hideMark/>
          </w:tcPr>
          <w:p w14:paraId="07863A1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436FF68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000000" w:fill="FFFFFF"/>
            <w:hideMark/>
          </w:tcPr>
          <w:p w14:paraId="39514EE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000000" w:fill="FFFFFF"/>
            <w:hideMark/>
          </w:tcPr>
          <w:p w14:paraId="7F4D57D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12763EF9" w14:textId="77777777" w:rsidTr="005B0999">
        <w:trPr>
          <w:trHeight w:val="394"/>
        </w:trPr>
        <w:tc>
          <w:tcPr>
            <w:tcW w:w="2263" w:type="dxa"/>
            <w:vMerge/>
            <w:hideMark/>
          </w:tcPr>
          <w:p w14:paraId="2FB4A8C3"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0" w:type="dxa"/>
            <w:vMerge/>
            <w:hideMark/>
          </w:tcPr>
          <w:p w14:paraId="40BB15F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64463F0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vMerge/>
            <w:hideMark/>
          </w:tcPr>
          <w:p w14:paraId="75ECE660"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shd w:val="clear" w:color="000000" w:fill="FFFFFF"/>
            <w:hideMark/>
          </w:tcPr>
          <w:p w14:paraId="1C4EF43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Подршка из донације (СДЦ-СКГО – Партнерство за добру локалну самоуправу)</w:t>
            </w:r>
          </w:p>
        </w:tc>
        <w:tc>
          <w:tcPr>
            <w:tcW w:w="1275" w:type="dxa"/>
            <w:shd w:val="clear" w:color="000000" w:fill="FFFFFF"/>
            <w:noWrap/>
            <w:hideMark/>
          </w:tcPr>
          <w:p w14:paraId="1BFC189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3147D8D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650</w:t>
            </w:r>
          </w:p>
        </w:tc>
        <w:tc>
          <w:tcPr>
            <w:tcW w:w="850" w:type="dxa"/>
            <w:shd w:val="clear" w:color="000000" w:fill="FFFFFF"/>
            <w:hideMark/>
          </w:tcPr>
          <w:p w14:paraId="2C57236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25F5D1B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000000" w:fill="FFFFFF"/>
            <w:hideMark/>
          </w:tcPr>
          <w:p w14:paraId="627BA5F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000000" w:fill="FFFFFF"/>
            <w:hideMark/>
          </w:tcPr>
          <w:p w14:paraId="3C9A9C9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4E612EA4" w14:textId="77777777">
        <w:trPr>
          <w:trHeight w:val="1119"/>
        </w:trPr>
        <w:tc>
          <w:tcPr>
            <w:tcW w:w="2263" w:type="dxa"/>
            <w:shd w:val="clear" w:color="000000" w:fill="FFFFFF"/>
            <w:hideMark/>
          </w:tcPr>
          <w:p w14:paraId="5D5AA26F"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1.1.3. Припрема анализе правног система РС - устав, системски и секторски прописи и могућности пуне ратификације ЕПЛС  </w:t>
            </w:r>
          </w:p>
        </w:tc>
        <w:tc>
          <w:tcPr>
            <w:tcW w:w="1560" w:type="dxa"/>
            <w:shd w:val="clear" w:color="000000" w:fill="FFFFFF"/>
            <w:hideMark/>
          </w:tcPr>
          <w:p w14:paraId="79165D3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000000" w:fill="FFFFFF"/>
            <w:hideMark/>
          </w:tcPr>
          <w:p w14:paraId="6A028EC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shd w:val="clear" w:color="000000" w:fill="FFFFFF"/>
            <w:hideMark/>
          </w:tcPr>
          <w:p w14:paraId="7F2C179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2026.</w:t>
            </w:r>
          </w:p>
        </w:tc>
        <w:tc>
          <w:tcPr>
            <w:tcW w:w="2127" w:type="dxa"/>
            <w:shd w:val="clear" w:color="000000" w:fill="FFFFFF"/>
            <w:hideMark/>
          </w:tcPr>
          <w:p w14:paraId="59912D7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Подршка из донације (СДЦ-СКГО – Партнерство за добру локалну самоуправу)</w:t>
            </w:r>
          </w:p>
        </w:tc>
        <w:tc>
          <w:tcPr>
            <w:tcW w:w="1275" w:type="dxa"/>
            <w:shd w:val="clear" w:color="000000" w:fill="FFFFFF"/>
            <w:noWrap/>
            <w:hideMark/>
          </w:tcPr>
          <w:p w14:paraId="318AA1A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2E69231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1.200</w:t>
            </w:r>
          </w:p>
        </w:tc>
        <w:tc>
          <w:tcPr>
            <w:tcW w:w="850" w:type="dxa"/>
            <w:shd w:val="clear" w:color="000000" w:fill="FFFFFF"/>
            <w:hideMark/>
          </w:tcPr>
          <w:p w14:paraId="127420D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0C1DB3A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000000" w:fill="FFFFFF"/>
            <w:hideMark/>
          </w:tcPr>
          <w:p w14:paraId="6A80C5D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000000" w:fill="FFFFFF"/>
            <w:hideMark/>
          </w:tcPr>
          <w:p w14:paraId="69326BD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42B55D0B" w14:textId="77777777">
        <w:trPr>
          <w:trHeight w:val="608"/>
        </w:trPr>
        <w:tc>
          <w:tcPr>
            <w:tcW w:w="2263" w:type="dxa"/>
            <w:shd w:val="clear" w:color="000000" w:fill="FFFFFF"/>
            <w:hideMark/>
          </w:tcPr>
          <w:p w14:paraId="01472140"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1.1.4. Припрема измена и допуна Закона о потврђивању ЕПЛС и упућивање Влади ради утврђивања Предлога закона (додатна ратификација по налазима анализе)</w:t>
            </w:r>
          </w:p>
        </w:tc>
        <w:tc>
          <w:tcPr>
            <w:tcW w:w="1560" w:type="dxa"/>
            <w:shd w:val="clear" w:color="000000" w:fill="FFFFFF"/>
            <w:hideMark/>
          </w:tcPr>
          <w:p w14:paraId="20D3354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000000" w:fill="FFFFFF"/>
            <w:hideMark/>
          </w:tcPr>
          <w:p w14:paraId="61B05C0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hideMark/>
          </w:tcPr>
          <w:p w14:paraId="45C87A5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IV квартал 2029. - IV квартал 2030.</w:t>
            </w:r>
          </w:p>
        </w:tc>
        <w:tc>
          <w:tcPr>
            <w:tcW w:w="2127" w:type="dxa"/>
            <w:hideMark/>
          </w:tcPr>
          <w:p w14:paraId="37091C8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noWrap/>
            <w:hideMark/>
          </w:tcPr>
          <w:p w14:paraId="7398ACE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20-0608-0002, 411</w:t>
            </w:r>
          </w:p>
        </w:tc>
        <w:tc>
          <w:tcPr>
            <w:tcW w:w="851" w:type="dxa"/>
            <w:shd w:val="clear" w:color="000000" w:fill="FFFFFF"/>
            <w:hideMark/>
          </w:tcPr>
          <w:p w14:paraId="432EF54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hideMark/>
          </w:tcPr>
          <w:p w14:paraId="7B84CEA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30F8D46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000000" w:fill="FFFFFF"/>
            <w:hideMark/>
          </w:tcPr>
          <w:p w14:paraId="54F9574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000000" w:fill="FFFFFF"/>
            <w:hideMark/>
          </w:tcPr>
          <w:p w14:paraId="7C96DD5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3F3D218D" w14:textId="77777777">
        <w:trPr>
          <w:trHeight w:val="899"/>
        </w:trPr>
        <w:tc>
          <w:tcPr>
            <w:tcW w:w="2263" w:type="dxa"/>
            <w:shd w:val="clear" w:color="000000" w:fill="FFFFFF"/>
            <w:hideMark/>
          </w:tcPr>
          <w:p w14:paraId="42BF4923"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1.1.5. Припрема модела локалних аката за примену измена и допуна ЗЛС (измене и допуне модела статута; пословник о раду скупштине; модели извештаја извршних органа; модел одлуке о објављивању правних аката ЈЛС, и др.)</w:t>
            </w:r>
          </w:p>
        </w:tc>
        <w:tc>
          <w:tcPr>
            <w:tcW w:w="1560" w:type="dxa"/>
            <w:shd w:val="clear" w:color="000000" w:fill="FFFFFF"/>
            <w:hideMark/>
          </w:tcPr>
          <w:p w14:paraId="3F658AE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000000" w:fill="FFFFFF"/>
            <w:hideMark/>
          </w:tcPr>
          <w:p w14:paraId="358E627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СКГО</w:t>
            </w:r>
          </w:p>
        </w:tc>
        <w:tc>
          <w:tcPr>
            <w:tcW w:w="2693" w:type="dxa"/>
            <w:hideMark/>
          </w:tcPr>
          <w:p w14:paraId="3264189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 квартал 2027. - II квартал 2027.</w:t>
            </w:r>
          </w:p>
        </w:tc>
        <w:tc>
          <w:tcPr>
            <w:tcW w:w="2127" w:type="dxa"/>
            <w:hideMark/>
          </w:tcPr>
          <w:p w14:paraId="45103CE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noWrap/>
            <w:hideMark/>
          </w:tcPr>
          <w:p w14:paraId="1AFC96C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673005C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50" w:type="dxa"/>
            <w:shd w:val="clear" w:color="000000" w:fill="FFFFFF"/>
            <w:hideMark/>
          </w:tcPr>
          <w:p w14:paraId="3859E4A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500*</w:t>
            </w:r>
          </w:p>
        </w:tc>
        <w:tc>
          <w:tcPr>
            <w:tcW w:w="851" w:type="dxa"/>
            <w:shd w:val="clear" w:color="000000" w:fill="FFFFFF"/>
            <w:hideMark/>
          </w:tcPr>
          <w:p w14:paraId="6BA5BA3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000000" w:fill="FFFFFF"/>
            <w:hideMark/>
          </w:tcPr>
          <w:p w14:paraId="4FE5271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000000" w:fill="FFFFFF"/>
            <w:hideMark/>
          </w:tcPr>
          <w:p w14:paraId="2518B0A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64FEF5D2" w14:textId="77777777">
        <w:trPr>
          <w:trHeight w:val="724"/>
        </w:trPr>
        <w:tc>
          <w:tcPr>
            <w:tcW w:w="2263" w:type="dxa"/>
            <w:shd w:val="clear" w:color="000000" w:fill="FFFFFF"/>
            <w:hideMark/>
          </w:tcPr>
          <w:p w14:paraId="273CEAE0"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1.1.6. Израда анализе правног оквира у циљу даљег развоја професионализације локалних изборних комисија (сталног и проширеног састава)</w:t>
            </w:r>
          </w:p>
        </w:tc>
        <w:tc>
          <w:tcPr>
            <w:tcW w:w="1560" w:type="dxa"/>
            <w:shd w:val="clear" w:color="000000" w:fill="FFFFFF"/>
            <w:hideMark/>
          </w:tcPr>
          <w:p w14:paraId="670B663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000000" w:fill="FFFFFF"/>
            <w:hideMark/>
          </w:tcPr>
          <w:p w14:paraId="3B5E54A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shd w:val="clear" w:color="000000" w:fill="FFFFFF"/>
            <w:hideMark/>
          </w:tcPr>
          <w:p w14:paraId="2CE3703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 квартал 2026. - IV квартал 2026.</w:t>
            </w:r>
          </w:p>
        </w:tc>
        <w:tc>
          <w:tcPr>
            <w:tcW w:w="2127" w:type="dxa"/>
            <w:shd w:val="clear" w:color="000000" w:fill="FFFFFF"/>
            <w:hideMark/>
          </w:tcPr>
          <w:p w14:paraId="2C5532D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Подршка из донације (СДЦ-СКГО – Партнерство за добру локалну самоуправу)</w:t>
            </w:r>
          </w:p>
        </w:tc>
        <w:tc>
          <w:tcPr>
            <w:tcW w:w="1275" w:type="dxa"/>
            <w:shd w:val="clear" w:color="000000" w:fill="FFFFFF"/>
            <w:noWrap/>
            <w:hideMark/>
          </w:tcPr>
          <w:p w14:paraId="5B8B5C4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0C6026A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360</w:t>
            </w:r>
          </w:p>
        </w:tc>
        <w:tc>
          <w:tcPr>
            <w:tcW w:w="850" w:type="dxa"/>
            <w:shd w:val="clear" w:color="000000" w:fill="FFFFFF"/>
            <w:hideMark/>
          </w:tcPr>
          <w:p w14:paraId="5FB6944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7A624A1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000000" w:fill="FFFFFF"/>
            <w:hideMark/>
          </w:tcPr>
          <w:p w14:paraId="27C060D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000000" w:fill="FFFFFF"/>
            <w:hideMark/>
          </w:tcPr>
          <w:p w14:paraId="1A4F085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B41259" w:rsidRPr="00226F9D" w14:paraId="429FD708" w14:textId="77777777">
        <w:trPr>
          <w:trHeight w:val="486"/>
        </w:trPr>
        <w:tc>
          <w:tcPr>
            <w:tcW w:w="2263" w:type="dxa"/>
            <w:shd w:val="clear" w:color="000000" w:fill="FFFFFF"/>
            <w:hideMark/>
          </w:tcPr>
          <w:p w14:paraId="72859D01"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1.1.7. Припрема измена и допуна Закона о државној управи и упућивање Влади ради утврђивања Предлога закона</w:t>
            </w:r>
          </w:p>
        </w:tc>
        <w:tc>
          <w:tcPr>
            <w:tcW w:w="1560" w:type="dxa"/>
            <w:shd w:val="clear" w:color="000000" w:fill="FFFFFF"/>
            <w:hideMark/>
          </w:tcPr>
          <w:p w14:paraId="65BF2D1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МДУЛС</w:t>
            </w:r>
          </w:p>
        </w:tc>
        <w:tc>
          <w:tcPr>
            <w:tcW w:w="1417" w:type="dxa"/>
            <w:shd w:val="clear" w:color="000000" w:fill="FFFFFF"/>
            <w:hideMark/>
          </w:tcPr>
          <w:p w14:paraId="723212BD"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Ресорна министарства</w:t>
            </w:r>
          </w:p>
        </w:tc>
        <w:tc>
          <w:tcPr>
            <w:tcW w:w="2693" w:type="dxa"/>
            <w:shd w:val="clear" w:color="000000" w:fill="FFFFFF"/>
            <w:hideMark/>
          </w:tcPr>
          <w:p w14:paraId="0605C3C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II квартал 2026. - IV квартал 2026.</w:t>
            </w:r>
          </w:p>
        </w:tc>
        <w:tc>
          <w:tcPr>
            <w:tcW w:w="2127" w:type="dxa"/>
            <w:hideMark/>
          </w:tcPr>
          <w:p w14:paraId="2633E74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Буџет РС – редовна издвајања</w:t>
            </w:r>
          </w:p>
        </w:tc>
        <w:tc>
          <w:tcPr>
            <w:tcW w:w="1275" w:type="dxa"/>
            <w:shd w:val="clear" w:color="000000" w:fill="FFFFFF"/>
            <w:noWrap/>
            <w:hideMark/>
          </w:tcPr>
          <w:p w14:paraId="303C8E0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20-0607-0006, 411</w:t>
            </w:r>
          </w:p>
        </w:tc>
        <w:tc>
          <w:tcPr>
            <w:tcW w:w="851" w:type="dxa"/>
            <w:shd w:val="clear" w:color="000000" w:fill="FFFFFF"/>
            <w:hideMark/>
          </w:tcPr>
          <w:p w14:paraId="1E213FF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000000" w:fill="FFFFFF"/>
            <w:hideMark/>
          </w:tcPr>
          <w:p w14:paraId="7CA0B58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shd w:val="clear" w:color="000000" w:fill="FFFFFF"/>
            <w:hideMark/>
          </w:tcPr>
          <w:p w14:paraId="3C602BF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63" w:type="dxa"/>
            <w:shd w:val="clear" w:color="000000" w:fill="FFFFFF"/>
            <w:hideMark/>
          </w:tcPr>
          <w:p w14:paraId="5082B62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956" w:type="dxa"/>
            <w:shd w:val="clear" w:color="000000" w:fill="FFFFFF"/>
            <w:hideMark/>
          </w:tcPr>
          <w:p w14:paraId="4193152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r>
      <w:tr w:rsidR="00B41259" w:rsidRPr="00226F9D" w14:paraId="0D8901E7" w14:textId="77777777">
        <w:trPr>
          <w:trHeight w:val="753"/>
        </w:trPr>
        <w:tc>
          <w:tcPr>
            <w:tcW w:w="2263" w:type="dxa"/>
            <w:shd w:val="clear" w:color="000000" w:fill="FFFFFF"/>
            <w:hideMark/>
          </w:tcPr>
          <w:p w14:paraId="09092188" w14:textId="7439A5D5"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1.1.</w:t>
            </w:r>
            <w:r w:rsidR="00B41259" w:rsidRPr="00226F9D">
              <w:rPr>
                <w:rFonts w:ascii="Times New Roman" w:eastAsia="Times New Roman" w:hAnsi="Times New Roman" w:cs="Times New Roman"/>
                <w:kern w:val="0"/>
                <w:sz w:val="16"/>
                <w:szCs w:val="16"/>
                <w:lang w:eastAsia="en-GB"/>
                <w14:ligatures w14:val="none"/>
              </w:rPr>
              <w:t>8</w:t>
            </w:r>
            <w:r w:rsidRPr="00226F9D">
              <w:rPr>
                <w:rFonts w:ascii="Times New Roman" w:eastAsia="Times New Roman" w:hAnsi="Times New Roman" w:cs="Times New Roman"/>
                <w:kern w:val="0"/>
                <w:sz w:val="16"/>
                <w:szCs w:val="16"/>
                <w:lang w:eastAsia="en-GB"/>
                <w14:ligatures w14:val="none"/>
              </w:rPr>
              <w:t>. Израда мапе пута за унапређење професионалних капацитета локалне изборне администрације</w:t>
            </w:r>
          </w:p>
        </w:tc>
        <w:tc>
          <w:tcPr>
            <w:tcW w:w="1560" w:type="dxa"/>
            <w:shd w:val="clear" w:color="000000" w:fill="FFFFFF"/>
            <w:hideMark/>
          </w:tcPr>
          <w:p w14:paraId="3E5806C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МДУЛС</w:t>
            </w:r>
          </w:p>
        </w:tc>
        <w:tc>
          <w:tcPr>
            <w:tcW w:w="1417" w:type="dxa"/>
            <w:shd w:val="clear" w:color="000000" w:fill="FFFFFF"/>
            <w:hideMark/>
          </w:tcPr>
          <w:p w14:paraId="52096FE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w:t>
            </w:r>
          </w:p>
        </w:tc>
        <w:tc>
          <w:tcPr>
            <w:tcW w:w="2693" w:type="dxa"/>
            <w:shd w:val="clear" w:color="000000" w:fill="FFFFFF"/>
            <w:hideMark/>
          </w:tcPr>
          <w:p w14:paraId="4F173980"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 квартал 2028. - IV квартал 2028.</w:t>
            </w:r>
          </w:p>
        </w:tc>
        <w:tc>
          <w:tcPr>
            <w:tcW w:w="2127" w:type="dxa"/>
            <w:hideMark/>
          </w:tcPr>
          <w:p w14:paraId="4905C70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shd w:val="clear" w:color="000000" w:fill="FFFFFF"/>
            <w:noWrap/>
            <w:hideMark/>
          </w:tcPr>
          <w:p w14:paraId="7DB0539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shd w:val="clear" w:color="000000" w:fill="FFFFFF"/>
            <w:hideMark/>
          </w:tcPr>
          <w:p w14:paraId="7083CD1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000000" w:fill="FFFFFF"/>
            <w:hideMark/>
          </w:tcPr>
          <w:p w14:paraId="0B5F507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600*</w:t>
            </w:r>
          </w:p>
        </w:tc>
        <w:tc>
          <w:tcPr>
            <w:tcW w:w="851" w:type="dxa"/>
            <w:shd w:val="clear" w:color="000000" w:fill="FFFFFF"/>
            <w:hideMark/>
          </w:tcPr>
          <w:p w14:paraId="629E6A6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63" w:type="dxa"/>
            <w:shd w:val="clear" w:color="000000" w:fill="FFFFFF"/>
            <w:hideMark/>
          </w:tcPr>
          <w:p w14:paraId="7264B95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956" w:type="dxa"/>
            <w:shd w:val="clear" w:color="000000" w:fill="FFFFFF"/>
            <w:hideMark/>
          </w:tcPr>
          <w:p w14:paraId="1D27738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r>
    </w:tbl>
    <w:p w14:paraId="5C1AC34C" w14:textId="77777777" w:rsidR="00FB70CD" w:rsidRPr="00226F9D" w:rsidRDefault="00FB70CD" w:rsidP="005B0999">
      <w:pPr>
        <w:spacing w:after="0" w:line="240" w:lineRule="auto"/>
        <w:rPr>
          <w:rFonts w:ascii="Times New Roman" w:hAnsi="Times New Roman" w:cs="Times New Roman"/>
        </w:rPr>
      </w:pPr>
    </w:p>
    <w:p w14:paraId="0629AED4" w14:textId="77777777" w:rsidR="005B0999" w:rsidRPr="00226F9D" w:rsidRDefault="005B0999" w:rsidP="005B0999">
      <w:pPr>
        <w:spacing w:after="0" w:line="240" w:lineRule="auto"/>
        <w:rPr>
          <w:rFonts w:ascii="Times New Roman" w:hAnsi="Times New Roman" w:cs="Times New Roman"/>
        </w:rPr>
      </w:pPr>
    </w:p>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63"/>
        <w:gridCol w:w="1560"/>
        <w:gridCol w:w="1417"/>
        <w:gridCol w:w="1134"/>
        <w:gridCol w:w="1559"/>
        <w:gridCol w:w="2127"/>
        <w:gridCol w:w="1275"/>
        <w:gridCol w:w="851"/>
        <w:gridCol w:w="850"/>
        <w:gridCol w:w="851"/>
        <w:gridCol w:w="863"/>
        <w:gridCol w:w="956"/>
      </w:tblGrid>
      <w:tr w:rsidR="00B41259" w:rsidRPr="00226F9D" w14:paraId="11DD3A8F" w14:textId="77777777" w:rsidTr="70A5C696">
        <w:trPr>
          <w:trHeight w:val="24"/>
        </w:trPr>
        <w:tc>
          <w:tcPr>
            <w:tcW w:w="2263" w:type="dxa"/>
            <w:shd w:val="clear" w:color="auto" w:fill="FFFFFF" w:themeFill="background1"/>
            <w:hideMark/>
          </w:tcPr>
          <w:p w14:paraId="09C32649" w14:textId="629BC833"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1.1.</w:t>
            </w:r>
            <w:r w:rsidR="00B41259" w:rsidRPr="00226F9D">
              <w:rPr>
                <w:rFonts w:ascii="Times New Roman" w:eastAsia="Times New Roman" w:hAnsi="Times New Roman" w:cs="Times New Roman"/>
                <w:kern w:val="0"/>
                <w:sz w:val="16"/>
                <w:szCs w:val="16"/>
                <w:lang w:eastAsia="en-GB"/>
                <w14:ligatures w14:val="none"/>
              </w:rPr>
              <w:t>9</w:t>
            </w:r>
            <w:r w:rsidRPr="00226F9D">
              <w:rPr>
                <w:rFonts w:ascii="Times New Roman" w:eastAsia="Times New Roman" w:hAnsi="Times New Roman" w:cs="Times New Roman"/>
                <w:kern w:val="0"/>
                <w:sz w:val="16"/>
                <w:szCs w:val="16"/>
                <w:lang w:eastAsia="en-GB"/>
                <w14:ligatures w14:val="none"/>
              </w:rPr>
              <w:t xml:space="preserve">. Припрема измена и допуне Закона о локалним изборима у складу са утврђеним приоритетима из мапе пута за развој професионалних капацитета </w:t>
            </w:r>
            <w:r w:rsidRPr="00226F9D">
              <w:rPr>
                <w:rFonts w:ascii="Times New Roman" w:eastAsia="Times New Roman" w:hAnsi="Times New Roman" w:cs="Times New Roman"/>
                <w:kern w:val="0"/>
                <w:sz w:val="16"/>
                <w:szCs w:val="16"/>
                <w:lang w:eastAsia="en-GB"/>
                <w14:ligatures w14:val="none"/>
              </w:rPr>
              <w:lastRenderedPageBreak/>
              <w:t xml:space="preserve">локалне изборне администрације </w:t>
            </w:r>
          </w:p>
        </w:tc>
        <w:tc>
          <w:tcPr>
            <w:tcW w:w="1560" w:type="dxa"/>
            <w:hideMark/>
          </w:tcPr>
          <w:p w14:paraId="1EA072AC"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lastRenderedPageBreak/>
              <w:t>МДУЛС</w:t>
            </w:r>
          </w:p>
        </w:tc>
        <w:tc>
          <w:tcPr>
            <w:tcW w:w="1417" w:type="dxa"/>
            <w:hideMark/>
          </w:tcPr>
          <w:p w14:paraId="0C5BF42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w:t>
            </w:r>
          </w:p>
        </w:tc>
        <w:tc>
          <w:tcPr>
            <w:tcW w:w="2693" w:type="dxa"/>
            <w:gridSpan w:val="2"/>
            <w:hideMark/>
          </w:tcPr>
          <w:p w14:paraId="3EB20A1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 квартал 2029. - IV квартал 2029.</w:t>
            </w:r>
          </w:p>
        </w:tc>
        <w:tc>
          <w:tcPr>
            <w:tcW w:w="2127" w:type="dxa"/>
            <w:hideMark/>
          </w:tcPr>
          <w:p w14:paraId="4F3A7F6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Буџет РС – редовна издвајања</w:t>
            </w:r>
          </w:p>
        </w:tc>
        <w:tc>
          <w:tcPr>
            <w:tcW w:w="1275" w:type="dxa"/>
            <w:shd w:val="clear" w:color="auto" w:fill="FFFFFF" w:themeFill="background1"/>
            <w:noWrap/>
            <w:hideMark/>
          </w:tcPr>
          <w:p w14:paraId="12368B3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20-0608-0002, 411</w:t>
            </w:r>
          </w:p>
        </w:tc>
        <w:tc>
          <w:tcPr>
            <w:tcW w:w="851" w:type="dxa"/>
            <w:shd w:val="clear" w:color="auto" w:fill="FFFFFF" w:themeFill="background1"/>
            <w:hideMark/>
          </w:tcPr>
          <w:p w14:paraId="51871C3C"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auto" w:fill="FFFFFF" w:themeFill="background1"/>
            <w:hideMark/>
          </w:tcPr>
          <w:p w14:paraId="47531B8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hideMark/>
          </w:tcPr>
          <w:p w14:paraId="5A544CA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63" w:type="dxa"/>
            <w:hideMark/>
          </w:tcPr>
          <w:p w14:paraId="6F0CB1F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956" w:type="dxa"/>
            <w:hideMark/>
          </w:tcPr>
          <w:p w14:paraId="5514967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r>
      <w:tr w:rsidR="00FB70CD" w:rsidRPr="00226F9D" w14:paraId="2AB3AE54" w14:textId="77777777" w:rsidTr="70A5C696">
        <w:trPr>
          <w:trHeight w:val="135"/>
        </w:trPr>
        <w:tc>
          <w:tcPr>
            <w:tcW w:w="15706" w:type="dxa"/>
            <w:gridSpan w:val="12"/>
            <w:shd w:val="clear" w:color="auto" w:fill="F7CAAC"/>
            <w:hideMark/>
          </w:tcPr>
          <w:p w14:paraId="6F1C45EE"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Мера 1.2: Унапређење капацитета локалне администрације за примену системског правног оквира за локалну самоуправу</w:t>
            </w:r>
          </w:p>
        </w:tc>
      </w:tr>
      <w:tr w:rsidR="00FB70CD" w:rsidRPr="00226F9D" w14:paraId="3762A6AF" w14:textId="77777777" w:rsidTr="70A5C696">
        <w:trPr>
          <w:trHeight w:val="24"/>
        </w:trPr>
        <w:tc>
          <w:tcPr>
            <w:tcW w:w="15706" w:type="dxa"/>
            <w:gridSpan w:val="12"/>
            <w:shd w:val="clear" w:color="auto" w:fill="F7CAAC"/>
            <w:hideMark/>
          </w:tcPr>
          <w:p w14:paraId="4A339186"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Институција одговорна за праћење и контролу реализације: МДУЛС</w:t>
            </w:r>
          </w:p>
        </w:tc>
      </w:tr>
      <w:tr w:rsidR="00FB70CD" w:rsidRPr="00226F9D" w14:paraId="4AA3DB69" w14:textId="77777777" w:rsidTr="70A5C696">
        <w:trPr>
          <w:trHeight w:val="87"/>
        </w:trPr>
        <w:tc>
          <w:tcPr>
            <w:tcW w:w="3823" w:type="dxa"/>
            <w:gridSpan w:val="2"/>
            <w:shd w:val="clear" w:color="auto" w:fill="F7CAAC"/>
            <w:hideMark/>
          </w:tcPr>
          <w:p w14:paraId="5EA15BB8"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Период спровођења: 2026-2030.</w:t>
            </w:r>
          </w:p>
        </w:tc>
        <w:tc>
          <w:tcPr>
            <w:tcW w:w="11883" w:type="dxa"/>
            <w:gridSpan w:val="10"/>
            <w:shd w:val="clear" w:color="auto" w:fill="F7CAAC"/>
            <w:hideMark/>
          </w:tcPr>
          <w:p w14:paraId="6F487B01"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Тип мере: Информативно-едукативна </w:t>
            </w:r>
          </w:p>
        </w:tc>
      </w:tr>
      <w:tr w:rsidR="00FB70CD" w:rsidRPr="00226F9D" w14:paraId="2AC96C11" w14:textId="77777777" w:rsidTr="70A5C696">
        <w:trPr>
          <w:trHeight w:val="63"/>
        </w:trPr>
        <w:tc>
          <w:tcPr>
            <w:tcW w:w="15706" w:type="dxa"/>
            <w:gridSpan w:val="12"/>
            <w:shd w:val="clear" w:color="auto" w:fill="F7CAAC"/>
            <w:hideMark/>
          </w:tcPr>
          <w:p w14:paraId="0B252357"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Прописи које је потребно изменити/усвојити за спровођење мере: </w:t>
            </w:r>
          </w:p>
        </w:tc>
      </w:tr>
      <w:tr w:rsidR="00FB70CD" w:rsidRPr="00226F9D" w14:paraId="4EF31C70" w14:textId="77777777" w:rsidTr="70A5C696">
        <w:trPr>
          <w:trHeight w:val="181"/>
        </w:trPr>
        <w:tc>
          <w:tcPr>
            <w:tcW w:w="5240" w:type="dxa"/>
            <w:gridSpan w:val="3"/>
            <w:shd w:val="clear" w:color="auto" w:fill="B4C6E7"/>
            <w:vAlign w:val="center"/>
            <w:hideMark/>
          </w:tcPr>
          <w:p w14:paraId="0C438924"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мере (показатељ резултата)</w:t>
            </w:r>
          </w:p>
        </w:tc>
        <w:tc>
          <w:tcPr>
            <w:tcW w:w="1134" w:type="dxa"/>
            <w:shd w:val="clear" w:color="auto" w:fill="B4C6E7"/>
            <w:vAlign w:val="center"/>
          </w:tcPr>
          <w:p w14:paraId="15F0F01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auto" w:fill="B4C6E7"/>
            <w:vAlign w:val="center"/>
          </w:tcPr>
          <w:p w14:paraId="5736625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auto" w:fill="B4C6E7"/>
            <w:vAlign w:val="center"/>
          </w:tcPr>
          <w:p w14:paraId="5C66825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auto" w:fill="B4C6E7"/>
            <w:vAlign w:val="center"/>
            <w:hideMark/>
          </w:tcPr>
          <w:p w14:paraId="63A3E17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auto" w:fill="B4C6E7"/>
            <w:vAlign w:val="center"/>
            <w:hideMark/>
          </w:tcPr>
          <w:p w14:paraId="210D1DC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auto" w:fill="B4C6E7"/>
            <w:vAlign w:val="center"/>
            <w:hideMark/>
          </w:tcPr>
          <w:p w14:paraId="0F3BE75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auto" w:fill="B4C6E7"/>
            <w:vAlign w:val="center"/>
            <w:hideMark/>
          </w:tcPr>
          <w:p w14:paraId="0827714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3" w:type="dxa"/>
            <w:shd w:val="clear" w:color="auto" w:fill="B4C6E7"/>
            <w:vAlign w:val="center"/>
            <w:hideMark/>
          </w:tcPr>
          <w:p w14:paraId="6C31040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56" w:type="dxa"/>
            <w:shd w:val="clear" w:color="auto" w:fill="B4C6E7"/>
            <w:vAlign w:val="center"/>
            <w:hideMark/>
          </w:tcPr>
          <w:p w14:paraId="2F75A2C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3FEF4EB5" w14:textId="77777777" w:rsidTr="70A5C696">
        <w:trPr>
          <w:trHeight w:val="293"/>
        </w:trPr>
        <w:tc>
          <w:tcPr>
            <w:tcW w:w="5240" w:type="dxa"/>
            <w:gridSpan w:val="3"/>
            <w:shd w:val="clear" w:color="auto" w:fill="FFFFFF" w:themeFill="background1"/>
            <w:vAlign w:val="center"/>
            <w:hideMark/>
          </w:tcPr>
          <w:p w14:paraId="5F96D498"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 запослених у ЛС који су обучени за примену нових решења у Закону о локалној самоуправи (кумулативно)</w:t>
            </w:r>
          </w:p>
        </w:tc>
        <w:tc>
          <w:tcPr>
            <w:tcW w:w="1134" w:type="dxa"/>
            <w:shd w:val="clear" w:color="auto" w:fill="FFFFFF" w:themeFill="background1"/>
          </w:tcPr>
          <w:p w14:paraId="3866B83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auto" w:fill="FFFFFF" w:themeFill="background1"/>
          </w:tcPr>
          <w:p w14:paraId="57B6E10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СКГО</w:t>
            </w:r>
          </w:p>
        </w:tc>
        <w:tc>
          <w:tcPr>
            <w:tcW w:w="2127" w:type="dxa"/>
            <w:shd w:val="clear" w:color="auto" w:fill="FFFFFF" w:themeFill="background1"/>
          </w:tcPr>
          <w:p w14:paraId="1DE31CA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shd w:val="clear" w:color="auto" w:fill="FFFFFF" w:themeFill="background1"/>
            <w:hideMark/>
          </w:tcPr>
          <w:p w14:paraId="2CCF60C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auto" w:fill="FFFFFF" w:themeFill="background1"/>
            <w:hideMark/>
          </w:tcPr>
          <w:p w14:paraId="2AC1776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auto" w:fill="FFFFFF" w:themeFill="background1"/>
            <w:hideMark/>
          </w:tcPr>
          <w:p w14:paraId="5B0EAFF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50</w:t>
            </w:r>
          </w:p>
        </w:tc>
        <w:tc>
          <w:tcPr>
            <w:tcW w:w="851" w:type="dxa"/>
            <w:shd w:val="clear" w:color="auto" w:fill="FFFFFF" w:themeFill="background1"/>
            <w:hideMark/>
          </w:tcPr>
          <w:p w14:paraId="5D807E4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w:t>
            </w:r>
          </w:p>
        </w:tc>
        <w:tc>
          <w:tcPr>
            <w:tcW w:w="863" w:type="dxa"/>
            <w:shd w:val="clear" w:color="auto" w:fill="FFFFFF" w:themeFill="background1"/>
            <w:hideMark/>
          </w:tcPr>
          <w:p w14:paraId="257844F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250</w:t>
            </w:r>
          </w:p>
        </w:tc>
        <w:tc>
          <w:tcPr>
            <w:tcW w:w="956" w:type="dxa"/>
            <w:shd w:val="clear" w:color="auto" w:fill="FFFFFF" w:themeFill="background1"/>
            <w:hideMark/>
          </w:tcPr>
          <w:p w14:paraId="11FA071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r>
      <w:tr w:rsidR="00FB70CD" w:rsidRPr="00226F9D" w14:paraId="74E655B2" w14:textId="77777777" w:rsidTr="70A5C696">
        <w:trPr>
          <w:trHeight w:val="148"/>
        </w:trPr>
        <w:tc>
          <w:tcPr>
            <w:tcW w:w="5240" w:type="dxa"/>
            <w:gridSpan w:val="3"/>
            <w:shd w:val="clear" w:color="auto" w:fill="FFFFFF" w:themeFill="background1"/>
            <w:vAlign w:val="center"/>
            <w:hideMark/>
          </w:tcPr>
          <w:p w14:paraId="5AAB3C8F" w14:textId="074333CB"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Број запослених у ЛС који су обучени за спровођењe поступака референдума и народне иницијативе (кумулативно)</w:t>
            </w:r>
          </w:p>
        </w:tc>
        <w:tc>
          <w:tcPr>
            <w:tcW w:w="1134" w:type="dxa"/>
            <w:shd w:val="clear" w:color="auto" w:fill="FFFFFF" w:themeFill="background1"/>
          </w:tcPr>
          <w:p w14:paraId="763F2CB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auto" w:fill="FFFFFF" w:themeFill="background1"/>
          </w:tcPr>
          <w:p w14:paraId="70A432F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СКГО</w:t>
            </w:r>
          </w:p>
        </w:tc>
        <w:tc>
          <w:tcPr>
            <w:tcW w:w="2127" w:type="dxa"/>
            <w:shd w:val="clear" w:color="auto" w:fill="FFFFFF" w:themeFill="background1"/>
          </w:tcPr>
          <w:p w14:paraId="6644F62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shd w:val="clear" w:color="auto" w:fill="FFFFFF" w:themeFill="background1"/>
            <w:hideMark/>
          </w:tcPr>
          <w:p w14:paraId="7EA3A20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auto" w:fill="FFFFFF" w:themeFill="background1"/>
            <w:hideMark/>
          </w:tcPr>
          <w:p w14:paraId="668B2C3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60</w:t>
            </w:r>
          </w:p>
        </w:tc>
        <w:tc>
          <w:tcPr>
            <w:tcW w:w="850" w:type="dxa"/>
            <w:shd w:val="clear" w:color="auto" w:fill="FFFFFF" w:themeFill="background1"/>
            <w:hideMark/>
          </w:tcPr>
          <w:p w14:paraId="042D60F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100</w:t>
            </w:r>
          </w:p>
        </w:tc>
        <w:tc>
          <w:tcPr>
            <w:tcW w:w="851" w:type="dxa"/>
            <w:shd w:val="clear" w:color="auto" w:fill="FFFFFF" w:themeFill="background1"/>
            <w:hideMark/>
          </w:tcPr>
          <w:p w14:paraId="5BED31F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150</w:t>
            </w:r>
          </w:p>
        </w:tc>
        <w:tc>
          <w:tcPr>
            <w:tcW w:w="863" w:type="dxa"/>
            <w:shd w:val="clear" w:color="auto" w:fill="FFFFFF" w:themeFill="background1"/>
            <w:hideMark/>
          </w:tcPr>
          <w:p w14:paraId="35A32CA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w:t>
            </w:r>
          </w:p>
        </w:tc>
        <w:tc>
          <w:tcPr>
            <w:tcW w:w="956" w:type="dxa"/>
            <w:shd w:val="clear" w:color="auto" w:fill="FFFFFF" w:themeFill="background1"/>
            <w:hideMark/>
          </w:tcPr>
          <w:p w14:paraId="4FF4943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250</w:t>
            </w:r>
          </w:p>
        </w:tc>
      </w:tr>
      <w:tr w:rsidR="00FB70CD" w:rsidRPr="00226F9D" w14:paraId="2DDD5CA4" w14:textId="77777777" w:rsidTr="70A5C696">
        <w:trPr>
          <w:trHeight w:val="20"/>
        </w:trPr>
        <w:tc>
          <w:tcPr>
            <w:tcW w:w="5240" w:type="dxa"/>
            <w:gridSpan w:val="3"/>
            <w:vMerge w:val="restart"/>
            <w:shd w:val="clear" w:color="auto" w:fill="A9D08E"/>
            <w:noWrap/>
            <w:vAlign w:val="center"/>
            <w:hideMark/>
          </w:tcPr>
          <w:p w14:paraId="43728074"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Извор финансирања мере</w:t>
            </w:r>
          </w:p>
        </w:tc>
        <w:tc>
          <w:tcPr>
            <w:tcW w:w="6095" w:type="dxa"/>
            <w:gridSpan w:val="4"/>
            <w:vMerge w:val="restart"/>
            <w:shd w:val="clear" w:color="auto" w:fill="A9D08E"/>
            <w:noWrap/>
            <w:vAlign w:val="center"/>
            <w:hideMark/>
          </w:tcPr>
          <w:p w14:paraId="1AB6C679" w14:textId="77777777" w:rsidR="00FB70CD" w:rsidRPr="00226F9D" w:rsidRDefault="00D155C4"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hyperlink r:id="rId23" w:anchor="_ftn2" w:history="1">
              <w:r w:rsidR="00FB70CD" w:rsidRPr="00226F9D">
                <w:rPr>
                  <w:rFonts w:ascii="Times New Roman" w:eastAsia="Times New Roman" w:hAnsi="Times New Roman" w:cs="Times New Roman"/>
                  <w:b/>
                  <w:color w:val="000000"/>
                  <w:kern w:val="0"/>
                  <w:sz w:val="16"/>
                  <w:szCs w:val="16"/>
                  <w:lang w:eastAsia="en-GB"/>
                  <w14:ligatures w14:val="none"/>
                </w:rPr>
                <w:t>Веза са програмским буџетом</w:t>
              </w:r>
            </w:hyperlink>
          </w:p>
        </w:tc>
        <w:tc>
          <w:tcPr>
            <w:tcW w:w="4371" w:type="dxa"/>
            <w:gridSpan w:val="5"/>
            <w:shd w:val="clear" w:color="auto" w:fill="A8D08D"/>
            <w:hideMark/>
          </w:tcPr>
          <w:p w14:paraId="70E8CBBF"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Укупна процењена финансијска средства у 000 дин</w:t>
            </w:r>
          </w:p>
        </w:tc>
      </w:tr>
      <w:tr w:rsidR="00FB70CD" w:rsidRPr="00226F9D" w14:paraId="0B31FF92" w14:textId="77777777" w:rsidTr="70A5C696">
        <w:trPr>
          <w:trHeight w:val="20"/>
        </w:trPr>
        <w:tc>
          <w:tcPr>
            <w:tcW w:w="5240" w:type="dxa"/>
            <w:gridSpan w:val="3"/>
            <w:vMerge/>
            <w:hideMark/>
          </w:tcPr>
          <w:p w14:paraId="2037DBF8" w14:textId="77777777" w:rsidR="00FB70CD" w:rsidRPr="00226F9D" w:rsidRDefault="00FB70CD" w:rsidP="005B0999">
            <w:pPr>
              <w:spacing w:after="0" w:line="240" w:lineRule="auto"/>
              <w:rPr>
                <w:rFonts w:ascii="Times New Roman" w:eastAsia="Times New Roman" w:hAnsi="Times New Roman" w:cs="Times New Roman"/>
                <w:b/>
                <w:color w:val="000000"/>
                <w:kern w:val="0"/>
                <w:sz w:val="16"/>
                <w:szCs w:val="16"/>
                <w:lang w:eastAsia="en-GB"/>
                <w14:ligatures w14:val="none"/>
              </w:rPr>
            </w:pPr>
          </w:p>
        </w:tc>
        <w:tc>
          <w:tcPr>
            <w:tcW w:w="6095" w:type="dxa"/>
            <w:gridSpan w:val="4"/>
            <w:vMerge/>
            <w:hideMark/>
          </w:tcPr>
          <w:p w14:paraId="19FE6B26" w14:textId="77777777" w:rsidR="00FB70CD" w:rsidRPr="00226F9D" w:rsidRDefault="00FB70CD" w:rsidP="005B0999">
            <w:pPr>
              <w:spacing w:after="0" w:line="240" w:lineRule="auto"/>
              <w:rPr>
                <w:rFonts w:ascii="Times New Roman" w:eastAsia="Times New Roman" w:hAnsi="Times New Roman" w:cs="Times New Roman"/>
                <w:b/>
                <w:color w:val="000000"/>
                <w:kern w:val="0"/>
                <w:sz w:val="16"/>
                <w:szCs w:val="16"/>
                <w:lang w:eastAsia="en-GB"/>
                <w14:ligatures w14:val="none"/>
              </w:rPr>
            </w:pPr>
          </w:p>
        </w:tc>
        <w:tc>
          <w:tcPr>
            <w:tcW w:w="851" w:type="dxa"/>
            <w:shd w:val="clear" w:color="auto" w:fill="A8D08D"/>
            <w:hideMark/>
          </w:tcPr>
          <w:p w14:paraId="5061512B"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2026</w:t>
            </w:r>
          </w:p>
        </w:tc>
        <w:tc>
          <w:tcPr>
            <w:tcW w:w="850" w:type="dxa"/>
            <w:shd w:val="clear" w:color="auto" w:fill="A8D08D"/>
            <w:hideMark/>
          </w:tcPr>
          <w:p w14:paraId="4073B996"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2027</w:t>
            </w:r>
          </w:p>
        </w:tc>
        <w:tc>
          <w:tcPr>
            <w:tcW w:w="851" w:type="dxa"/>
            <w:shd w:val="clear" w:color="auto" w:fill="A8D08D"/>
            <w:hideMark/>
          </w:tcPr>
          <w:p w14:paraId="32A3769A"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2028</w:t>
            </w:r>
          </w:p>
        </w:tc>
        <w:tc>
          <w:tcPr>
            <w:tcW w:w="863" w:type="dxa"/>
            <w:shd w:val="clear" w:color="auto" w:fill="A8D08D"/>
            <w:hideMark/>
          </w:tcPr>
          <w:p w14:paraId="4409B3E2"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2029</w:t>
            </w:r>
          </w:p>
        </w:tc>
        <w:tc>
          <w:tcPr>
            <w:tcW w:w="956" w:type="dxa"/>
            <w:shd w:val="clear" w:color="auto" w:fill="A8D08D"/>
            <w:hideMark/>
          </w:tcPr>
          <w:p w14:paraId="4346B8F2"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2030</w:t>
            </w:r>
          </w:p>
        </w:tc>
      </w:tr>
      <w:tr w:rsidR="00FB70CD" w:rsidRPr="00226F9D" w14:paraId="54BA37AC" w14:textId="77777777" w:rsidTr="70A5C696">
        <w:trPr>
          <w:trHeight w:val="63"/>
        </w:trPr>
        <w:tc>
          <w:tcPr>
            <w:tcW w:w="5240" w:type="dxa"/>
            <w:gridSpan w:val="3"/>
            <w:shd w:val="clear" w:color="auto" w:fill="FFFFFF" w:themeFill="background1"/>
            <w:hideMark/>
          </w:tcPr>
          <w:p w14:paraId="18264DD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auto" w:fill="FFFFFF" w:themeFill="background1"/>
            <w:hideMark/>
          </w:tcPr>
          <w:p w14:paraId="10852E1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6045DAE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850</w:t>
            </w:r>
          </w:p>
        </w:tc>
        <w:tc>
          <w:tcPr>
            <w:tcW w:w="850" w:type="dxa"/>
            <w:shd w:val="clear" w:color="auto" w:fill="FFFFFF" w:themeFill="background1"/>
            <w:noWrap/>
            <w:hideMark/>
          </w:tcPr>
          <w:p w14:paraId="72ECCD9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800</w:t>
            </w:r>
          </w:p>
        </w:tc>
        <w:tc>
          <w:tcPr>
            <w:tcW w:w="851" w:type="dxa"/>
            <w:shd w:val="clear" w:color="auto" w:fill="FFFFFF" w:themeFill="background1"/>
            <w:noWrap/>
            <w:hideMark/>
          </w:tcPr>
          <w:p w14:paraId="0198716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2.790</w:t>
            </w:r>
          </w:p>
        </w:tc>
        <w:tc>
          <w:tcPr>
            <w:tcW w:w="863" w:type="dxa"/>
            <w:shd w:val="clear" w:color="auto" w:fill="FFFFFF" w:themeFill="background1"/>
            <w:noWrap/>
            <w:hideMark/>
          </w:tcPr>
          <w:p w14:paraId="50442C6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1.800</w:t>
            </w:r>
          </w:p>
        </w:tc>
        <w:tc>
          <w:tcPr>
            <w:tcW w:w="956" w:type="dxa"/>
            <w:shd w:val="clear" w:color="auto" w:fill="FFFFFF" w:themeFill="background1"/>
            <w:noWrap/>
            <w:hideMark/>
          </w:tcPr>
          <w:p w14:paraId="6268420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500</w:t>
            </w:r>
          </w:p>
        </w:tc>
      </w:tr>
      <w:tr w:rsidR="00FB70CD" w:rsidRPr="00226F9D" w14:paraId="4B175487" w14:textId="77777777" w:rsidTr="70A5C696">
        <w:trPr>
          <w:trHeight w:val="323"/>
        </w:trPr>
        <w:tc>
          <w:tcPr>
            <w:tcW w:w="2263" w:type="dxa"/>
            <w:shd w:val="clear" w:color="auto" w:fill="FFF2CC"/>
            <w:vAlign w:val="center"/>
            <w:hideMark/>
          </w:tcPr>
          <w:p w14:paraId="06F6AA9D"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60" w:type="dxa"/>
            <w:shd w:val="clear" w:color="auto" w:fill="FFF2CC"/>
            <w:vAlign w:val="center"/>
            <w:hideMark/>
          </w:tcPr>
          <w:p w14:paraId="3FFBF67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auto" w:fill="FFF2CC"/>
            <w:vAlign w:val="center"/>
            <w:hideMark/>
          </w:tcPr>
          <w:p w14:paraId="402A29B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Oргани и партнери у спровођењу активности</w:t>
            </w:r>
          </w:p>
        </w:tc>
        <w:tc>
          <w:tcPr>
            <w:tcW w:w="2693" w:type="dxa"/>
            <w:gridSpan w:val="2"/>
            <w:shd w:val="clear" w:color="auto" w:fill="FFF2CC"/>
            <w:vAlign w:val="center"/>
            <w:hideMark/>
          </w:tcPr>
          <w:p w14:paraId="2C90059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auto" w:fill="FFF2CC"/>
            <w:vAlign w:val="center"/>
            <w:hideMark/>
          </w:tcPr>
          <w:p w14:paraId="2C3321B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auto" w:fill="FFF2CC"/>
            <w:vAlign w:val="center"/>
            <w:hideMark/>
          </w:tcPr>
          <w:p w14:paraId="40A205C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71" w:type="dxa"/>
            <w:gridSpan w:val="5"/>
            <w:shd w:val="clear" w:color="auto" w:fill="FFF2CC"/>
            <w:vAlign w:val="center"/>
            <w:hideMark/>
          </w:tcPr>
          <w:p w14:paraId="22C3C2D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по изворима у 000 дин</w:t>
            </w:r>
          </w:p>
        </w:tc>
      </w:tr>
      <w:tr w:rsidR="00FB70CD" w:rsidRPr="00226F9D" w14:paraId="2C7DAC84" w14:textId="77777777" w:rsidTr="70A5C696">
        <w:trPr>
          <w:trHeight w:val="24"/>
        </w:trPr>
        <w:tc>
          <w:tcPr>
            <w:tcW w:w="2263" w:type="dxa"/>
            <w:shd w:val="clear" w:color="auto" w:fill="FFF2CC"/>
            <w:hideMark/>
          </w:tcPr>
          <w:p w14:paraId="59129A6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560" w:type="dxa"/>
            <w:shd w:val="clear" w:color="auto" w:fill="FFF2CC"/>
            <w:hideMark/>
          </w:tcPr>
          <w:p w14:paraId="39B9653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417" w:type="dxa"/>
            <w:shd w:val="clear" w:color="auto" w:fill="FFF2CC"/>
            <w:hideMark/>
          </w:tcPr>
          <w:p w14:paraId="186BB62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693" w:type="dxa"/>
            <w:gridSpan w:val="2"/>
            <w:shd w:val="clear" w:color="auto" w:fill="FFF2CC"/>
            <w:hideMark/>
          </w:tcPr>
          <w:p w14:paraId="77370C1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127" w:type="dxa"/>
            <w:shd w:val="clear" w:color="auto" w:fill="FFF2CC"/>
            <w:hideMark/>
          </w:tcPr>
          <w:p w14:paraId="15D6E097"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275" w:type="dxa"/>
            <w:shd w:val="clear" w:color="auto" w:fill="FFF2CC"/>
            <w:hideMark/>
          </w:tcPr>
          <w:p w14:paraId="6F72B06F"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851" w:type="dxa"/>
            <w:shd w:val="clear" w:color="auto" w:fill="FFF2CC"/>
            <w:hideMark/>
          </w:tcPr>
          <w:p w14:paraId="1DE7794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FFF2CC"/>
            <w:hideMark/>
          </w:tcPr>
          <w:p w14:paraId="5424624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FFF2CC"/>
            <w:hideMark/>
          </w:tcPr>
          <w:p w14:paraId="12DBDEB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3" w:type="dxa"/>
            <w:shd w:val="clear" w:color="auto" w:fill="FFF2CC"/>
            <w:hideMark/>
          </w:tcPr>
          <w:p w14:paraId="17FBFBE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56" w:type="dxa"/>
            <w:shd w:val="clear" w:color="auto" w:fill="FFF2CC"/>
            <w:hideMark/>
          </w:tcPr>
          <w:p w14:paraId="38FBBC9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6EBD3F6F" w14:textId="77777777" w:rsidTr="70A5C696">
        <w:trPr>
          <w:trHeight w:val="872"/>
        </w:trPr>
        <w:tc>
          <w:tcPr>
            <w:tcW w:w="2263" w:type="dxa"/>
            <w:hideMark/>
          </w:tcPr>
          <w:p w14:paraId="6C501360"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1.2.1. Обука секретара скупштина за примену нових решења из Закона о локалној самоуправи у делу функционисања скупштине општине</w:t>
            </w:r>
          </w:p>
        </w:tc>
        <w:tc>
          <w:tcPr>
            <w:tcW w:w="1560" w:type="dxa"/>
            <w:hideMark/>
          </w:tcPr>
          <w:p w14:paraId="570438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57F4518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hideMark/>
          </w:tcPr>
          <w:p w14:paraId="52E8BC4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2027. - IV квартал 2027.</w:t>
            </w:r>
          </w:p>
        </w:tc>
        <w:tc>
          <w:tcPr>
            <w:tcW w:w="2127" w:type="dxa"/>
            <w:hideMark/>
          </w:tcPr>
          <w:p w14:paraId="458AC80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hideMark/>
          </w:tcPr>
          <w:p w14:paraId="78289A2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48AE62F8"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850" w:type="dxa"/>
            <w:shd w:val="clear" w:color="auto" w:fill="FFFFFF" w:themeFill="background1"/>
            <w:hideMark/>
          </w:tcPr>
          <w:p w14:paraId="6517A2B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51" w:type="dxa"/>
            <w:shd w:val="clear" w:color="auto" w:fill="FFFFFF" w:themeFill="background1"/>
            <w:hideMark/>
          </w:tcPr>
          <w:p w14:paraId="56CAA33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36E4798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7617163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4964E4B8" w14:textId="77777777" w:rsidTr="70A5C696">
        <w:trPr>
          <w:trHeight w:val="877"/>
        </w:trPr>
        <w:tc>
          <w:tcPr>
            <w:tcW w:w="2263" w:type="dxa"/>
            <w:hideMark/>
          </w:tcPr>
          <w:p w14:paraId="6D37695A" w14:textId="77777777" w:rsidR="00FB70CD" w:rsidRPr="00226F9D" w:rsidRDefault="00FB70CD" w:rsidP="005B0999">
            <w:pPr>
              <w:spacing w:after="0" w:line="240" w:lineRule="auto"/>
              <w:rPr>
                <w:rFonts w:ascii="Times New Roman" w:eastAsia="Times New Roman" w:hAnsi="Times New Roman" w:cs="Times New Roman"/>
                <w:color w:val="000000"/>
                <w:spacing w:val="-4"/>
                <w:kern w:val="0"/>
                <w:sz w:val="16"/>
                <w:szCs w:val="16"/>
                <w:lang w:eastAsia="en-GB"/>
                <w14:ligatures w14:val="none"/>
              </w:rPr>
            </w:pPr>
            <w:r w:rsidRPr="00226F9D">
              <w:rPr>
                <w:rFonts w:ascii="Times New Roman" w:eastAsia="Times New Roman" w:hAnsi="Times New Roman" w:cs="Times New Roman"/>
                <w:color w:val="000000"/>
                <w:spacing w:val="-4"/>
                <w:kern w:val="0"/>
                <w:sz w:val="16"/>
                <w:szCs w:val="16"/>
                <w:lang w:eastAsia="en-GB"/>
                <w14:ligatures w14:val="none"/>
              </w:rPr>
              <w:t>1.2.2. Обука запослених у локалној управи за примену нових решења из Закона о локалној самоуправи у домену функционисања локалне управе</w:t>
            </w:r>
          </w:p>
        </w:tc>
        <w:tc>
          <w:tcPr>
            <w:tcW w:w="1560" w:type="dxa"/>
            <w:hideMark/>
          </w:tcPr>
          <w:p w14:paraId="01D18E6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5F5167E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hideMark/>
          </w:tcPr>
          <w:p w14:paraId="510CCCC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2027. - IV квартал 2030.</w:t>
            </w:r>
          </w:p>
        </w:tc>
        <w:tc>
          <w:tcPr>
            <w:tcW w:w="2127" w:type="dxa"/>
            <w:hideMark/>
          </w:tcPr>
          <w:p w14:paraId="7318214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hideMark/>
          </w:tcPr>
          <w:p w14:paraId="7FC1120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2CDD9F2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4D2EE0A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51" w:type="dxa"/>
            <w:hideMark/>
          </w:tcPr>
          <w:p w14:paraId="1A6D1F7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63" w:type="dxa"/>
            <w:hideMark/>
          </w:tcPr>
          <w:p w14:paraId="675CE5E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956" w:type="dxa"/>
            <w:hideMark/>
          </w:tcPr>
          <w:p w14:paraId="71EDC32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r>
      <w:tr w:rsidR="00FB70CD" w:rsidRPr="00226F9D" w14:paraId="7B0548AD" w14:textId="77777777" w:rsidTr="70A5C696">
        <w:trPr>
          <w:trHeight w:val="1155"/>
        </w:trPr>
        <w:tc>
          <w:tcPr>
            <w:tcW w:w="2263" w:type="dxa"/>
            <w:hideMark/>
          </w:tcPr>
          <w:p w14:paraId="3EA7452E" w14:textId="77777777" w:rsidR="00FB70CD" w:rsidRPr="00226F9D" w:rsidRDefault="00FB70CD" w:rsidP="005B0999">
            <w:pPr>
              <w:spacing w:after="0" w:line="240" w:lineRule="auto"/>
              <w:rPr>
                <w:rFonts w:ascii="Times New Roman" w:eastAsia="Times New Roman" w:hAnsi="Times New Roman" w:cs="Times New Roman"/>
                <w:color w:val="000000"/>
                <w:spacing w:val="-4"/>
                <w:kern w:val="0"/>
                <w:sz w:val="16"/>
                <w:szCs w:val="16"/>
                <w:lang w:eastAsia="en-GB"/>
                <w14:ligatures w14:val="none"/>
              </w:rPr>
            </w:pPr>
            <w:r w:rsidRPr="00226F9D">
              <w:rPr>
                <w:rFonts w:ascii="Times New Roman" w:eastAsia="Times New Roman" w:hAnsi="Times New Roman" w:cs="Times New Roman"/>
                <w:color w:val="000000"/>
                <w:spacing w:val="-4"/>
                <w:kern w:val="0"/>
                <w:sz w:val="16"/>
                <w:szCs w:val="16"/>
                <w:lang w:eastAsia="en-GB"/>
                <w14:ligatures w14:val="none"/>
              </w:rPr>
              <w:t>1.2.3. Израда Приручника за спровођење локалних избора у циљу јачања капацитета ЈЛС за примену нормативног оквира и процедура у процесу спровођења локалних избора</w:t>
            </w:r>
          </w:p>
        </w:tc>
        <w:tc>
          <w:tcPr>
            <w:tcW w:w="1560" w:type="dxa"/>
            <w:hideMark/>
          </w:tcPr>
          <w:p w14:paraId="3215C37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07F95AB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shd w:val="clear" w:color="auto" w:fill="FFFFFF" w:themeFill="background1"/>
            <w:hideMark/>
          </w:tcPr>
          <w:p w14:paraId="041A033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IV квартал 2028. - I квартал 2029.</w:t>
            </w:r>
          </w:p>
        </w:tc>
        <w:tc>
          <w:tcPr>
            <w:tcW w:w="2127" w:type="dxa"/>
            <w:hideMark/>
          </w:tcPr>
          <w:p w14:paraId="74F900B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hideMark/>
          </w:tcPr>
          <w:p w14:paraId="0F9D0968"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167E929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hideMark/>
          </w:tcPr>
          <w:p w14:paraId="10CB042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576AF65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1.200*</w:t>
            </w:r>
          </w:p>
        </w:tc>
        <w:tc>
          <w:tcPr>
            <w:tcW w:w="863" w:type="dxa"/>
            <w:shd w:val="clear" w:color="auto" w:fill="FFFFFF" w:themeFill="background1"/>
            <w:hideMark/>
          </w:tcPr>
          <w:p w14:paraId="3D79BEA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0293CBF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027933D4" w14:textId="77777777" w:rsidTr="70A5C696">
        <w:trPr>
          <w:trHeight w:val="790"/>
        </w:trPr>
        <w:tc>
          <w:tcPr>
            <w:tcW w:w="2263" w:type="dxa"/>
            <w:hideMark/>
          </w:tcPr>
          <w:p w14:paraId="14C215A8"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1.2.4. Успостављање капацитета новоизабраних одборника за познавање система локалне самоуправе и остваривање одборничке функције (е-обука за одборнике)</w:t>
            </w:r>
          </w:p>
        </w:tc>
        <w:tc>
          <w:tcPr>
            <w:tcW w:w="1560" w:type="dxa"/>
            <w:hideMark/>
          </w:tcPr>
          <w:p w14:paraId="74C57B5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571A748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hideMark/>
          </w:tcPr>
          <w:p w14:paraId="2CF44AE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 квартал 2028. - IV квартал 2028.</w:t>
            </w:r>
          </w:p>
        </w:tc>
        <w:tc>
          <w:tcPr>
            <w:tcW w:w="2127" w:type="dxa"/>
            <w:hideMark/>
          </w:tcPr>
          <w:p w14:paraId="32EAA28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hideMark/>
          </w:tcPr>
          <w:p w14:paraId="6E695B9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5AEAE40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003AC14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6915876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1.090*</w:t>
            </w:r>
          </w:p>
        </w:tc>
        <w:tc>
          <w:tcPr>
            <w:tcW w:w="863" w:type="dxa"/>
            <w:shd w:val="clear" w:color="auto" w:fill="FFFFFF" w:themeFill="background1"/>
            <w:hideMark/>
          </w:tcPr>
          <w:p w14:paraId="79F74BC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1F22508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0F227C5E" w14:textId="77777777" w:rsidTr="70A5C696">
        <w:trPr>
          <w:trHeight w:val="498"/>
        </w:trPr>
        <w:tc>
          <w:tcPr>
            <w:tcW w:w="2263" w:type="dxa"/>
            <w:vMerge w:val="restart"/>
            <w:hideMark/>
          </w:tcPr>
          <w:p w14:paraId="7EC5F021"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lastRenderedPageBreak/>
              <w:t xml:space="preserve">1.2.5. Oбука запослених у локалној самоуправи за спровођење референдума и народне иницијативе </w:t>
            </w:r>
          </w:p>
        </w:tc>
        <w:tc>
          <w:tcPr>
            <w:tcW w:w="1560" w:type="dxa"/>
            <w:vMerge w:val="restart"/>
            <w:hideMark/>
          </w:tcPr>
          <w:p w14:paraId="0A9A10F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vMerge w:val="restart"/>
            <w:hideMark/>
          </w:tcPr>
          <w:p w14:paraId="5389783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hideMark/>
          </w:tcPr>
          <w:p w14:paraId="5BD5E7C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2026.</w:t>
            </w:r>
          </w:p>
        </w:tc>
        <w:tc>
          <w:tcPr>
            <w:tcW w:w="2127" w:type="dxa"/>
            <w:shd w:val="clear" w:color="auto" w:fill="FFFFFF" w:themeFill="background1"/>
            <w:hideMark/>
          </w:tcPr>
          <w:p w14:paraId="382A1C5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Подршка из донације (СДЦ-СКГО – Партнерство за добру локалну самоуправу)</w:t>
            </w:r>
          </w:p>
        </w:tc>
        <w:tc>
          <w:tcPr>
            <w:tcW w:w="1275" w:type="dxa"/>
            <w:shd w:val="clear" w:color="auto" w:fill="FFFFFF" w:themeFill="background1"/>
            <w:hideMark/>
          </w:tcPr>
          <w:p w14:paraId="428E9F1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7479C22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850</w:t>
            </w:r>
          </w:p>
        </w:tc>
        <w:tc>
          <w:tcPr>
            <w:tcW w:w="850" w:type="dxa"/>
            <w:shd w:val="clear" w:color="auto" w:fill="FFFFFF" w:themeFill="background1"/>
            <w:hideMark/>
          </w:tcPr>
          <w:p w14:paraId="7E1AC7C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646F2D8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1832873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6579DD0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197A8674" w14:textId="77777777" w:rsidTr="70A5C696">
        <w:trPr>
          <w:trHeight w:val="637"/>
        </w:trPr>
        <w:tc>
          <w:tcPr>
            <w:tcW w:w="2263" w:type="dxa"/>
            <w:vMerge/>
            <w:hideMark/>
          </w:tcPr>
          <w:p w14:paraId="3909D58D"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60" w:type="dxa"/>
            <w:vMerge/>
            <w:hideMark/>
          </w:tcPr>
          <w:p w14:paraId="49524CED"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755DFD9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hideMark/>
          </w:tcPr>
          <w:p w14:paraId="31D7178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2027. - IV квартал 2030.</w:t>
            </w:r>
          </w:p>
        </w:tc>
        <w:tc>
          <w:tcPr>
            <w:tcW w:w="2127" w:type="dxa"/>
            <w:hideMark/>
          </w:tcPr>
          <w:p w14:paraId="23AE3F0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hideMark/>
          </w:tcPr>
          <w:p w14:paraId="6EB4D71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2AAC8E9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38E7B6E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w:t>
            </w:r>
          </w:p>
        </w:tc>
        <w:tc>
          <w:tcPr>
            <w:tcW w:w="851" w:type="dxa"/>
            <w:hideMark/>
          </w:tcPr>
          <w:p w14:paraId="2C5FEF7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w:t>
            </w:r>
          </w:p>
        </w:tc>
        <w:tc>
          <w:tcPr>
            <w:tcW w:w="863" w:type="dxa"/>
            <w:noWrap/>
            <w:hideMark/>
          </w:tcPr>
          <w:p w14:paraId="7773841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w:t>
            </w:r>
          </w:p>
        </w:tc>
        <w:tc>
          <w:tcPr>
            <w:tcW w:w="956" w:type="dxa"/>
            <w:hideMark/>
          </w:tcPr>
          <w:p w14:paraId="25A080D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w:t>
            </w:r>
          </w:p>
        </w:tc>
      </w:tr>
      <w:tr w:rsidR="00FB70CD" w:rsidRPr="00226F9D" w14:paraId="2316E1CF" w14:textId="77777777" w:rsidTr="70A5C696">
        <w:trPr>
          <w:trHeight w:val="544"/>
        </w:trPr>
        <w:tc>
          <w:tcPr>
            <w:tcW w:w="2263" w:type="dxa"/>
            <w:hideMark/>
          </w:tcPr>
          <w:p w14:paraId="0C84D048"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1.2.6. Oбука запослених у локалној самоуправи за спровођење нових решења из Закона о локалним изборима</w:t>
            </w:r>
          </w:p>
        </w:tc>
        <w:tc>
          <w:tcPr>
            <w:tcW w:w="1560" w:type="dxa"/>
            <w:hideMark/>
          </w:tcPr>
          <w:p w14:paraId="5E37203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03DBB17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РИК</w:t>
            </w:r>
            <w:r w:rsidRPr="00226F9D">
              <w:rPr>
                <w:rFonts w:ascii="Times New Roman" w:eastAsia="Times New Roman" w:hAnsi="Times New Roman" w:cs="Times New Roman"/>
                <w:color w:val="000000"/>
                <w:kern w:val="0"/>
                <w:sz w:val="16"/>
                <w:szCs w:val="16"/>
                <w:lang w:eastAsia="en-GB"/>
                <w14:ligatures w14:val="none"/>
              </w:rPr>
              <w:t>, НАЈУ, СКГО</w:t>
            </w:r>
          </w:p>
        </w:tc>
        <w:tc>
          <w:tcPr>
            <w:tcW w:w="2693" w:type="dxa"/>
            <w:gridSpan w:val="2"/>
            <w:shd w:val="clear" w:color="auto" w:fill="FFFFFF" w:themeFill="background1"/>
            <w:hideMark/>
          </w:tcPr>
          <w:p w14:paraId="1E336FF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2029.- IV квартал 2029.</w:t>
            </w:r>
          </w:p>
        </w:tc>
        <w:tc>
          <w:tcPr>
            <w:tcW w:w="2127" w:type="dxa"/>
            <w:hideMark/>
          </w:tcPr>
          <w:p w14:paraId="365AC20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Донаторска подршка* - средства нису обезбеђена</w:t>
            </w:r>
          </w:p>
        </w:tc>
        <w:tc>
          <w:tcPr>
            <w:tcW w:w="1275" w:type="dxa"/>
            <w:hideMark/>
          </w:tcPr>
          <w:p w14:paraId="52D3417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0D835CC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noWrap/>
            <w:hideMark/>
          </w:tcPr>
          <w:p w14:paraId="038B236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51" w:type="dxa"/>
            <w:hideMark/>
          </w:tcPr>
          <w:p w14:paraId="0BD8CEA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177BA52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1.300*</w:t>
            </w:r>
          </w:p>
        </w:tc>
        <w:tc>
          <w:tcPr>
            <w:tcW w:w="956" w:type="dxa"/>
            <w:hideMark/>
          </w:tcPr>
          <w:p w14:paraId="7D7C42A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47D97A9B" w14:textId="77777777" w:rsidTr="70A5C696">
        <w:trPr>
          <w:trHeight w:val="77"/>
        </w:trPr>
        <w:tc>
          <w:tcPr>
            <w:tcW w:w="15706" w:type="dxa"/>
            <w:gridSpan w:val="12"/>
            <w:shd w:val="clear" w:color="auto" w:fill="F7CAAC"/>
            <w:noWrap/>
            <w:hideMark/>
          </w:tcPr>
          <w:p w14:paraId="3FE17886"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Мера 1.3: Унапређење примене принципа доброг управљања у локалној самоуправи</w:t>
            </w: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506E97AF" w14:textId="77777777" w:rsidTr="70A5C696">
        <w:trPr>
          <w:trHeight w:val="24"/>
        </w:trPr>
        <w:tc>
          <w:tcPr>
            <w:tcW w:w="15706" w:type="dxa"/>
            <w:gridSpan w:val="12"/>
            <w:shd w:val="clear" w:color="auto" w:fill="F7CAAC"/>
            <w:hideMark/>
          </w:tcPr>
          <w:p w14:paraId="7D41628C"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Институција одговорна за праћење и контролу реализације: МДУЛС</w:t>
            </w:r>
          </w:p>
        </w:tc>
      </w:tr>
      <w:tr w:rsidR="00FB70CD" w:rsidRPr="00226F9D" w14:paraId="5C699C02" w14:textId="77777777" w:rsidTr="70A5C696">
        <w:trPr>
          <w:trHeight w:val="24"/>
        </w:trPr>
        <w:tc>
          <w:tcPr>
            <w:tcW w:w="3823" w:type="dxa"/>
            <w:gridSpan w:val="2"/>
            <w:shd w:val="clear" w:color="auto" w:fill="F7CAAC"/>
            <w:hideMark/>
          </w:tcPr>
          <w:p w14:paraId="3DBDF3F5"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Период спровођења: 2026-2030.</w:t>
            </w:r>
          </w:p>
        </w:tc>
        <w:tc>
          <w:tcPr>
            <w:tcW w:w="11883" w:type="dxa"/>
            <w:gridSpan w:val="10"/>
            <w:shd w:val="clear" w:color="auto" w:fill="F7CAAC"/>
            <w:hideMark/>
          </w:tcPr>
          <w:p w14:paraId="3B44E09C"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Тип мере: Информативно-едукативна </w:t>
            </w:r>
          </w:p>
        </w:tc>
      </w:tr>
      <w:tr w:rsidR="00FB70CD" w:rsidRPr="00226F9D" w14:paraId="500EDA8B" w14:textId="77777777" w:rsidTr="70A5C696">
        <w:trPr>
          <w:trHeight w:val="24"/>
        </w:trPr>
        <w:tc>
          <w:tcPr>
            <w:tcW w:w="15706" w:type="dxa"/>
            <w:gridSpan w:val="12"/>
            <w:shd w:val="clear" w:color="auto" w:fill="F7CAAC"/>
            <w:hideMark/>
          </w:tcPr>
          <w:p w14:paraId="5A92E2AD"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Прописи које је потребно изменити/усвојити за спровођење мере: </w:t>
            </w:r>
          </w:p>
        </w:tc>
      </w:tr>
      <w:tr w:rsidR="00FB70CD" w:rsidRPr="00226F9D" w14:paraId="47F41A9C" w14:textId="77777777" w:rsidTr="70A5C696">
        <w:trPr>
          <w:trHeight w:val="340"/>
        </w:trPr>
        <w:tc>
          <w:tcPr>
            <w:tcW w:w="5240" w:type="dxa"/>
            <w:gridSpan w:val="3"/>
            <w:shd w:val="clear" w:color="auto" w:fill="B4C6E7"/>
            <w:vAlign w:val="center"/>
            <w:hideMark/>
          </w:tcPr>
          <w:p w14:paraId="64E2DC36"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мере (показатељ резултата)</w:t>
            </w:r>
          </w:p>
        </w:tc>
        <w:tc>
          <w:tcPr>
            <w:tcW w:w="1134" w:type="dxa"/>
            <w:shd w:val="clear" w:color="auto" w:fill="B4C6E7"/>
            <w:vAlign w:val="center"/>
          </w:tcPr>
          <w:p w14:paraId="6E26FC0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auto" w:fill="B4C6E7"/>
            <w:vAlign w:val="center"/>
          </w:tcPr>
          <w:p w14:paraId="689F6E6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auto" w:fill="B4C6E7"/>
            <w:vAlign w:val="center"/>
          </w:tcPr>
          <w:p w14:paraId="475B922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auto" w:fill="B4C6E7"/>
            <w:vAlign w:val="center"/>
            <w:hideMark/>
          </w:tcPr>
          <w:p w14:paraId="1F01C99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auto" w:fill="B4C6E7"/>
            <w:vAlign w:val="center"/>
            <w:hideMark/>
          </w:tcPr>
          <w:p w14:paraId="22A06CC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auto" w:fill="B4C6E7"/>
            <w:vAlign w:val="center"/>
            <w:hideMark/>
          </w:tcPr>
          <w:p w14:paraId="7F79882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auto" w:fill="B4C6E7"/>
            <w:vAlign w:val="center"/>
            <w:hideMark/>
          </w:tcPr>
          <w:p w14:paraId="7468F7B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3" w:type="dxa"/>
            <w:shd w:val="clear" w:color="auto" w:fill="B4C6E7"/>
            <w:vAlign w:val="center"/>
            <w:hideMark/>
          </w:tcPr>
          <w:p w14:paraId="79F30BB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56" w:type="dxa"/>
            <w:shd w:val="clear" w:color="auto" w:fill="B4C6E7"/>
            <w:vAlign w:val="center"/>
            <w:hideMark/>
          </w:tcPr>
          <w:p w14:paraId="7C14E07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37FEB561" w14:textId="77777777" w:rsidTr="70A5C696">
        <w:trPr>
          <w:trHeight w:val="223"/>
        </w:trPr>
        <w:tc>
          <w:tcPr>
            <w:tcW w:w="5240" w:type="dxa"/>
            <w:gridSpan w:val="3"/>
            <w:vAlign w:val="center"/>
            <w:hideMark/>
          </w:tcPr>
          <w:p w14:paraId="7AADA35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 локалних службеника обучених за примену принципа доброг управљања (кумулативно)</w:t>
            </w:r>
          </w:p>
        </w:tc>
        <w:tc>
          <w:tcPr>
            <w:tcW w:w="1134" w:type="dxa"/>
          </w:tcPr>
          <w:p w14:paraId="72613F0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tcPr>
          <w:p w14:paraId="17BC401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НАЈУ</w:t>
            </w:r>
          </w:p>
        </w:tc>
        <w:tc>
          <w:tcPr>
            <w:tcW w:w="2127" w:type="dxa"/>
            <w:shd w:val="clear" w:color="auto" w:fill="FFFFFF" w:themeFill="background1"/>
          </w:tcPr>
          <w:p w14:paraId="2BF2B97F" w14:textId="0D5C350E" w:rsidR="00FB70CD" w:rsidRPr="00226F9D" w:rsidRDefault="00AF39A3"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2931</w:t>
            </w:r>
          </w:p>
        </w:tc>
        <w:tc>
          <w:tcPr>
            <w:tcW w:w="1275" w:type="dxa"/>
            <w:shd w:val="clear" w:color="auto" w:fill="FFFFFF" w:themeFill="background1"/>
            <w:hideMark/>
          </w:tcPr>
          <w:p w14:paraId="19C31781" w14:textId="256C1C79" w:rsidR="00FB70CD" w:rsidRPr="00226F9D" w:rsidRDefault="00AF39A3"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2025</w:t>
            </w:r>
          </w:p>
        </w:tc>
        <w:tc>
          <w:tcPr>
            <w:tcW w:w="851" w:type="dxa"/>
            <w:shd w:val="clear" w:color="auto" w:fill="FFFFFF" w:themeFill="background1"/>
            <w:noWrap/>
            <w:hideMark/>
          </w:tcPr>
          <w:p w14:paraId="6C69659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3000</w:t>
            </w:r>
          </w:p>
        </w:tc>
        <w:tc>
          <w:tcPr>
            <w:tcW w:w="850" w:type="dxa"/>
            <w:shd w:val="clear" w:color="auto" w:fill="FFFFFF" w:themeFill="background1"/>
            <w:hideMark/>
          </w:tcPr>
          <w:p w14:paraId="226B0E6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3100</w:t>
            </w:r>
          </w:p>
        </w:tc>
        <w:tc>
          <w:tcPr>
            <w:tcW w:w="851" w:type="dxa"/>
            <w:shd w:val="clear" w:color="auto" w:fill="FFFFFF" w:themeFill="background1"/>
            <w:hideMark/>
          </w:tcPr>
          <w:p w14:paraId="00142FE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3200</w:t>
            </w:r>
          </w:p>
        </w:tc>
        <w:tc>
          <w:tcPr>
            <w:tcW w:w="863" w:type="dxa"/>
            <w:shd w:val="clear" w:color="auto" w:fill="FFFFFF" w:themeFill="background1"/>
            <w:hideMark/>
          </w:tcPr>
          <w:p w14:paraId="217E8A6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3300</w:t>
            </w:r>
          </w:p>
        </w:tc>
        <w:tc>
          <w:tcPr>
            <w:tcW w:w="956" w:type="dxa"/>
            <w:shd w:val="clear" w:color="auto" w:fill="FFFFFF" w:themeFill="background1"/>
            <w:hideMark/>
          </w:tcPr>
          <w:p w14:paraId="0E8FA6C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3400</w:t>
            </w:r>
          </w:p>
        </w:tc>
      </w:tr>
      <w:tr w:rsidR="00FB70CD" w:rsidRPr="00226F9D" w14:paraId="0FA3EC1F" w14:textId="77777777" w:rsidTr="70A5C696">
        <w:trPr>
          <w:trHeight w:val="166"/>
        </w:trPr>
        <w:tc>
          <w:tcPr>
            <w:tcW w:w="5240" w:type="dxa"/>
            <w:gridSpan w:val="3"/>
            <w:vAlign w:val="center"/>
            <w:hideMark/>
          </w:tcPr>
          <w:p w14:paraId="418118D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 градова, општина и градских општина које су добиле награду за примену принципа добре управе (кумулативно)</w:t>
            </w:r>
          </w:p>
        </w:tc>
        <w:tc>
          <w:tcPr>
            <w:tcW w:w="1134" w:type="dxa"/>
          </w:tcPr>
          <w:p w14:paraId="10A2B85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auto" w:fill="FFFFFF" w:themeFill="background1"/>
          </w:tcPr>
          <w:p w14:paraId="4D8698F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Извештај МДУЛС о спроведеном националном конкурсу </w:t>
            </w:r>
          </w:p>
        </w:tc>
        <w:tc>
          <w:tcPr>
            <w:tcW w:w="2127" w:type="dxa"/>
            <w:shd w:val="clear" w:color="auto" w:fill="FFFFFF" w:themeFill="background1"/>
          </w:tcPr>
          <w:p w14:paraId="3FA7919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28</w:t>
            </w:r>
          </w:p>
        </w:tc>
        <w:tc>
          <w:tcPr>
            <w:tcW w:w="1275" w:type="dxa"/>
            <w:shd w:val="clear" w:color="auto" w:fill="FFFFFF" w:themeFill="background1"/>
            <w:hideMark/>
          </w:tcPr>
          <w:p w14:paraId="1A889DA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2025</w:t>
            </w:r>
          </w:p>
        </w:tc>
        <w:tc>
          <w:tcPr>
            <w:tcW w:w="851" w:type="dxa"/>
            <w:shd w:val="clear" w:color="auto" w:fill="FFFFFF" w:themeFill="background1"/>
            <w:noWrap/>
            <w:hideMark/>
          </w:tcPr>
          <w:p w14:paraId="0615D78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32</w:t>
            </w:r>
          </w:p>
        </w:tc>
        <w:tc>
          <w:tcPr>
            <w:tcW w:w="850" w:type="dxa"/>
            <w:shd w:val="clear" w:color="auto" w:fill="FFFFFF" w:themeFill="background1"/>
            <w:noWrap/>
            <w:hideMark/>
          </w:tcPr>
          <w:p w14:paraId="0EFB370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36</w:t>
            </w:r>
          </w:p>
        </w:tc>
        <w:tc>
          <w:tcPr>
            <w:tcW w:w="851" w:type="dxa"/>
            <w:shd w:val="clear" w:color="auto" w:fill="FFFFFF" w:themeFill="background1"/>
            <w:noWrap/>
            <w:hideMark/>
          </w:tcPr>
          <w:p w14:paraId="567AFC9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40</w:t>
            </w:r>
          </w:p>
        </w:tc>
        <w:tc>
          <w:tcPr>
            <w:tcW w:w="863" w:type="dxa"/>
            <w:shd w:val="clear" w:color="auto" w:fill="FFFFFF" w:themeFill="background1"/>
            <w:hideMark/>
          </w:tcPr>
          <w:p w14:paraId="4738AF5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44</w:t>
            </w:r>
          </w:p>
        </w:tc>
        <w:tc>
          <w:tcPr>
            <w:tcW w:w="956" w:type="dxa"/>
            <w:shd w:val="clear" w:color="auto" w:fill="FFFFFF" w:themeFill="background1"/>
            <w:hideMark/>
          </w:tcPr>
          <w:p w14:paraId="64AB032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48</w:t>
            </w:r>
          </w:p>
        </w:tc>
      </w:tr>
      <w:tr w:rsidR="00FB70CD" w:rsidRPr="00226F9D" w14:paraId="2FCC1B88" w14:textId="77777777" w:rsidTr="70A5C696">
        <w:trPr>
          <w:trHeight w:val="20"/>
        </w:trPr>
        <w:tc>
          <w:tcPr>
            <w:tcW w:w="5240" w:type="dxa"/>
            <w:gridSpan w:val="3"/>
            <w:vMerge w:val="restart"/>
            <w:shd w:val="clear" w:color="auto" w:fill="A9D08E"/>
            <w:noWrap/>
            <w:vAlign w:val="center"/>
            <w:hideMark/>
          </w:tcPr>
          <w:p w14:paraId="1EA620A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5" w:type="dxa"/>
            <w:gridSpan w:val="4"/>
            <w:vMerge w:val="restart"/>
            <w:shd w:val="clear" w:color="auto" w:fill="A9D08E"/>
            <w:noWrap/>
            <w:vAlign w:val="center"/>
            <w:hideMark/>
          </w:tcPr>
          <w:p w14:paraId="663F73C4" w14:textId="77777777" w:rsidR="00FB70CD" w:rsidRPr="00226F9D" w:rsidRDefault="00D155C4"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24"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71" w:type="dxa"/>
            <w:gridSpan w:val="5"/>
            <w:shd w:val="clear" w:color="auto" w:fill="A8D08D"/>
            <w:hideMark/>
          </w:tcPr>
          <w:p w14:paraId="2B4922E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у 000 дин</w:t>
            </w:r>
          </w:p>
        </w:tc>
      </w:tr>
      <w:tr w:rsidR="00FB70CD" w:rsidRPr="00226F9D" w14:paraId="4A0D9B51" w14:textId="77777777" w:rsidTr="70A5C696">
        <w:trPr>
          <w:trHeight w:val="20"/>
        </w:trPr>
        <w:tc>
          <w:tcPr>
            <w:tcW w:w="5240" w:type="dxa"/>
            <w:gridSpan w:val="3"/>
            <w:vMerge/>
            <w:hideMark/>
          </w:tcPr>
          <w:p w14:paraId="44490BAB"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p>
        </w:tc>
        <w:tc>
          <w:tcPr>
            <w:tcW w:w="6095" w:type="dxa"/>
            <w:gridSpan w:val="4"/>
            <w:vMerge/>
            <w:hideMark/>
          </w:tcPr>
          <w:p w14:paraId="4151821A"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p>
        </w:tc>
        <w:tc>
          <w:tcPr>
            <w:tcW w:w="851" w:type="dxa"/>
            <w:shd w:val="clear" w:color="auto" w:fill="A8D08D"/>
            <w:hideMark/>
          </w:tcPr>
          <w:p w14:paraId="6EF8F74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A8D08D"/>
            <w:hideMark/>
          </w:tcPr>
          <w:p w14:paraId="60329AA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A8D08D"/>
            <w:hideMark/>
          </w:tcPr>
          <w:p w14:paraId="1065013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3" w:type="dxa"/>
            <w:shd w:val="clear" w:color="auto" w:fill="A8D08D"/>
            <w:hideMark/>
          </w:tcPr>
          <w:p w14:paraId="0DEC8C6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56" w:type="dxa"/>
            <w:shd w:val="clear" w:color="auto" w:fill="A8D08D"/>
            <w:hideMark/>
          </w:tcPr>
          <w:p w14:paraId="46D3E53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4301E746" w14:textId="77777777" w:rsidTr="70A5C696">
        <w:trPr>
          <w:trHeight w:val="62"/>
        </w:trPr>
        <w:tc>
          <w:tcPr>
            <w:tcW w:w="5240" w:type="dxa"/>
            <w:gridSpan w:val="3"/>
            <w:shd w:val="clear" w:color="auto" w:fill="FFFFFF" w:themeFill="background1"/>
            <w:hideMark/>
          </w:tcPr>
          <w:p w14:paraId="070C439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auto" w:fill="FFFFFF" w:themeFill="background1"/>
            <w:hideMark/>
          </w:tcPr>
          <w:p w14:paraId="7C892D6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359EA6F3" w14:textId="3F8D2540" w:rsidR="00FB70CD" w:rsidRPr="00226F9D" w:rsidRDefault="00FB70CD" w:rsidP="005B0999">
            <w:pPr>
              <w:spacing w:after="0" w:line="240" w:lineRule="auto"/>
              <w:jc w:val="center"/>
              <w:rPr>
                <w:rFonts w:ascii="Times New Roman" w:eastAsia="Times New Roman" w:hAnsi="Times New Roman" w:cs="Times New Roman"/>
                <w:b/>
                <w:bCs/>
                <w:color w:val="000000"/>
                <w:spacing w:val="-4"/>
                <w:kern w:val="0"/>
                <w:sz w:val="16"/>
                <w:szCs w:val="16"/>
                <w:lang w:eastAsia="en-GB"/>
                <w14:ligatures w14:val="none"/>
              </w:rPr>
            </w:pPr>
            <w:r w:rsidRPr="00226F9D">
              <w:rPr>
                <w:rFonts w:ascii="Times New Roman" w:eastAsia="Times New Roman" w:hAnsi="Times New Roman" w:cs="Times New Roman"/>
                <w:b/>
                <w:bCs/>
                <w:color w:val="000000"/>
                <w:spacing w:val="-4"/>
                <w:kern w:val="0"/>
                <w:sz w:val="16"/>
                <w:szCs w:val="16"/>
                <w:lang w:eastAsia="en-GB"/>
                <w14:ligatures w14:val="none"/>
              </w:rPr>
              <w:t>12</w:t>
            </w:r>
            <w:r w:rsidR="00EF5ADF" w:rsidRPr="00226F9D">
              <w:rPr>
                <w:rFonts w:ascii="Times New Roman" w:eastAsia="Times New Roman" w:hAnsi="Times New Roman" w:cs="Times New Roman"/>
                <w:b/>
                <w:bCs/>
                <w:color w:val="000000"/>
                <w:spacing w:val="-4"/>
                <w:kern w:val="0"/>
                <w:sz w:val="16"/>
                <w:szCs w:val="16"/>
                <w:lang w:eastAsia="en-GB"/>
                <w14:ligatures w14:val="none"/>
              </w:rPr>
              <w:t>5</w:t>
            </w:r>
            <w:r w:rsidRPr="00226F9D">
              <w:rPr>
                <w:rFonts w:ascii="Times New Roman" w:eastAsia="Times New Roman" w:hAnsi="Times New Roman" w:cs="Times New Roman"/>
                <w:b/>
                <w:bCs/>
                <w:color w:val="000000"/>
                <w:spacing w:val="-4"/>
                <w:kern w:val="0"/>
                <w:sz w:val="16"/>
                <w:szCs w:val="16"/>
                <w:lang w:eastAsia="en-GB"/>
                <w14:ligatures w14:val="none"/>
              </w:rPr>
              <w:t>.360</w:t>
            </w:r>
          </w:p>
        </w:tc>
        <w:tc>
          <w:tcPr>
            <w:tcW w:w="850" w:type="dxa"/>
            <w:shd w:val="clear" w:color="auto" w:fill="FFFFFF" w:themeFill="background1"/>
            <w:tcMar>
              <w:left w:w="28" w:type="dxa"/>
              <w:right w:w="28" w:type="dxa"/>
            </w:tcMar>
            <w:hideMark/>
          </w:tcPr>
          <w:p w14:paraId="2277817C" w14:textId="79E457C3" w:rsidR="00FB70CD" w:rsidRPr="00226F9D" w:rsidRDefault="00FB70CD" w:rsidP="005B0999">
            <w:pPr>
              <w:spacing w:after="0" w:line="240" w:lineRule="auto"/>
              <w:jc w:val="center"/>
              <w:rPr>
                <w:rFonts w:ascii="Times New Roman" w:eastAsia="Times New Roman" w:hAnsi="Times New Roman" w:cs="Times New Roman"/>
                <w:b/>
                <w:bCs/>
                <w:color w:val="000000"/>
                <w:spacing w:val="-8"/>
                <w:kern w:val="0"/>
                <w:sz w:val="16"/>
                <w:szCs w:val="16"/>
                <w:lang w:eastAsia="en-GB"/>
                <w14:ligatures w14:val="none"/>
              </w:rPr>
            </w:pPr>
            <w:r w:rsidRPr="00226F9D">
              <w:rPr>
                <w:rFonts w:ascii="Times New Roman" w:eastAsia="Times New Roman" w:hAnsi="Times New Roman" w:cs="Times New Roman"/>
                <w:b/>
                <w:bCs/>
                <w:color w:val="000000"/>
                <w:spacing w:val="-8"/>
                <w:kern w:val="0"/>
                <w:sz w:val="16"/>
                <w:szCs w:val="16"/>
                <w:lang w:eastAsia="en-GB"/>
                <w14:ligatures w14:val="none"/>
              </w:rPr>
              <w:t>11</w:t>
            </w:r>
            <w:r w:rsidR="00EF5ADF" w:rsidRPr="00226F9D">
              <w:rPr>
                <w:rFonts w:ascii="Times New Roman" w:eastAsia="Times New Roman" w:hAnsi="Times New Roman" w:cs="Times New Roman"/>
                <w:b/>
                <w:bCs/>
                <w:color w:val="000000"/>
                <w:spacing w:val="-8"/>
                <w:kern w:val="0"/>
                <w:sz w:val="16"/>
                <w:szCs w:val="16"/>
                <w:lang w:eastAsia="en-GB"/>
                <w14:ligatures w14:val="none"/>
              </w:rPr>
              <w:t>8</w:t>
            </w:r>
            <w:r w:rsidRPr="00226F9D">
              <w:rPr>
                <w:rFonts w:ascii="Times New Roman" w:eastAsia="Times New Roman" w:hAnsi="Times New Roman" w:cs="Times New Roman"/>
                <w:b/>
                <w:bCs/>
                <w:color w:val="000000"/>
                <w:spacing w:val="-8"/>
                <w:kern w:val="0"/>
                <w:sz w:val="16"/>
                <w:szCs w:val="16"/>
                <w:lang w:eastAsia="en-GB"/>
                <w14:ligatures w14:val="none"/>
              </w:rPr>
              <w:t>.</w:t>
            </w:r>
            <w:r w:rsidR="003D1380" w:rsidRPr="00226F9D">
              <w:rPr>
                <w:rFonts w:ascii="Times New Roman" w:eastAsia="Times New Roman" w:hAnsi="Times New Roman" w:cs="Times New Roman"/>
                <w:b/>
                <w:bCs/>
                <w:color w:val="000000"/>
                <w:spacing w:val="-8"/>
                <w:kern w:val="0"/>
                <w:sz w:val="16"/>
                <w:szCs w:val="16"/>
                <w:lang w:eastAsia="en-GB"/>
                <w14:ligatures w14:val="none"/>
              </w:rPr>
              <w:t>566</w:t>
            </w:r>
            <w:r w:rsidRPr="00226F9D">
              <w:rPr>
                <w:rFonts w:ascii="Times New Roman" w:eastAsia="Times New Roman" w:hAnsi="Times New Roman" w:cs="Times New Roman"/>
                <w:b/>
                <w:bCs/>
                <w:color w:val="000000"/>
                <w:spacing w:val="-8"/>
                <w:kern w:val="0"/>
                <w:sz w:val="16"/>
                <w:szCs w:val="16"/>
                <w:lang w:eastAsia="en-GB"/>
                <w14:ligatures w14:val="none"/>
              </w:rPr>
              <w:t>,96</w:t>
            </w:r>
          </w:p>
        </w:tc>
        <w:tc>
          <w:tcPr>
            <w:tcW w:w="851" w:type="dxa"/>
            <w:shd w:val="clear" w:color="auto" w:fill="FFFFFF" w:themeFill="background1"/>
            <w:hideMark/>
          </w:tcPr>
          <w:p w14:paraId="5DAF3747" w14:textId="6BB845D9" w:rsidR="00FB70CD" w:rsidRPr="00226F9D" w:rsidRDefault="003D1380" w:rsidP="005B0999">
            <w:pPr>
              <w:spacing w:after="0" w:line="240" w:lineRule="auto"/>
              <w:jc w:val="center"/>
              <w:rPr>
                <w:rFonts w:ascii="Times New Roman" w:eastAsia="Times New Roman" w:hAnsi="Times New Roman" w:cs="Times New Roman"/>
                <w:b/>
                <w:bCs/>
                <w:color w:val="000000"/>
                <w:spacing w:val="-4"/>
                <w:kern w:val="0"/>
                <w:sz w:val="16"/>
                <w:szCs w:val="16"/>
                <w:lang w:eastAsia="en-GB"/>
                <w14:ligatures w14:val="none"/>
              </w:rPr>
            </w:pPr>
            <w:r w:rsidRPr="00226F9D">
              <w:rPr>
                <w:rFonts w:ascii="Times New Roman" w:eastAsia="Times New Roman" w:hAnsi="Times New Roman" w:cs="Times New Roman"/>
                <w:b/>
                <w:bCs/>
                <w:color w:val="000000"/>
                <w:spacing w:val="-4"/>
                <w:kern w:val="0"/>
                <w:sz w:val="16"/>
                <w:szCs w:val="16"/>
                <w:lang w:eastAsia="en-GB"/>
                <w14:ligatures w14:val="none"/>
              </w:rPr>
              <w:t>47</w:t>
            </w:r>
            <w:r w:rsidR="00FB70CD" w:rsidRPr="00226F9D">
              <w:rPr>
                <w:rFonts w:ascii="Times New Roman" w:eastAsia="Times New Roman" w:hAnsi="Times New Roman" w:cs="Times New Roman"/>
                <w:b/>
                <w:bCs/>
                <w:color w:val="000000"/>
                <w:spacing w:val="-4"/>
                <w:kern w:val="0"/>
                <w:sz w:val="16"/>
                <w:szCs w:val="16"/>
                <w:lang w:eastAsia="en-GB"/>
                <w14:ligatures w14:val="none"/>
              </w:rPr>
              <w:t>.</w:t>
            </w:r>
            <w:r w:rsidRPr="00226F9D">
              <w:rPr>
                <w:rFonts w:ascii="Times New Roman" w:eastAsia="Times New Roman" w:hAnsi="Times New Roman" w:cs="Times New Roman"/>
                <w:b/>
                <w:bCs/>
                <w:color w:val="000000"/>
                <w:spacing w:val="-4"/>
                <w:kern w:val="0"/>
                <w:sz w:val="16"/>
                <w:szCs w:val="16"/>
                <w:lang w:eastAsia="en-GB"/>
                <w14:ligatures w14:val="none"/>
              </w:rPr>
              <w:t>18</w:t>
            </w:r>
            <w:r w:rsidR="00955824" w:rsidRPr="00226F9D">
              <w:rPr>
                <w:rFonts w:ascii="Times New Roman" w:eastAsia="Times New Roman" w:hAnsi="Times New Roman" w:cs="Times New Roman"/>
                <w:b/>
                <w:bCs/>
                <w:color w:val="000000"/>
                <w:spacing w:val="-4"/>
                <w:kern w:val="0"/>
                <w:sz w:val="16"/>
                <w:szCs w:val="16"/>
                <w:lang w:eastAsia="en-GB"/>
                <w14:ligatures w14:val="none"/>
              </w:rPr>
              <w:t>0</w:t>
            </w:r>
            <w:r w:rsidR="00FB70CD" w:rsidRPr="00226F9D">
              <w:rPr>
                <w:rFonts w:ascii="Times New Roman" w:eastAsia="Times New Roman" w:hAnsi="Times New Roman" w:cs="Times New Roman"/>
                <w:b/>
                <w:bCs/>
                <w:color w:val="000000"/>
                <w:spacing w:val="-4"/>
                <w:kern w:val="0"/>
                <w:sz w:val="16"/>
                <w:szCs w:val="16"/>
                <w:lang w:eastAsia="en-GB"/>
                <w14:ligatures w14:val="none"/>
              </w:rPr>
              <w:t>,88</w:t>
            </w:r>
          </w:p>
        </w:tc>
        <w:tc>
          <w:tcPr>
            <w:tcW w:w="863" w:type="dxa"/>
            <w:shd w:val="clear" w:color="auto" w:fill="FFFFFF" w:themeFill="background1"/>
            <w:hideMark/>
          </w:tcPr>
          <w:p w14:paraId="25E898B4" w14:textId="175C79CA" w:rsidR="00FB70CD" w:rsidRPr="00226F9D" w:rsidRDefault="00955824" w:rsidP="005B0999">
            <w:pPr>
              <w:spacing w:after="0" w:line="240" w:lineRule="auto"/>
              <w:jc w:val="center"/>
              <w:rPr>
                <w:rFonts w:ascii="Times New Roman" w:eastAsia="Times New Roman" w:hAnsi="Times New Roman" w:cs="Times New Roman"/>
                <w:b/>
                <w:bCs/>
                <w:color w:val="000000"/>
                <w:spacing w:val="-4"/>
                <w:kern w:val="0"/>
                <w:sz w:val="16"/>
                <w:szCs w:val="16"/>
                <w:lang w:eastAsia="en-GB"/>
                <w14:ligatures w14:val="none"/>
              </w:rPr>
            </w:pPr>
            <w:r w:rsidRPr="00226F9D">
              <w:rPr>
                <w:rFonts w:ascii="Times New Roman" w:eastAsia="Times New Roman" w:hAnsi="Times New Roman" w:cs="Times New Roman"/>
                <w:b/>
                <w:bCs/>
                <w:color w:val="000000"/>
                <w:spacing w:val="-4"/>
                <w:kern w:val="0"/>
                <w:sz w:val="16"/>
                <w:szCs w:val="16"/>
                <w:lang w:eastAsia="en-GB"/>
                <w14:ligatures w14:val="none"/>
              </w:rPr>
              <w:t>33.797</w:t>
            </w:r>
            <w:r w:rsidR="00FB70CD" w:rsidRPr="00226F9D">
              <w:rPr>
                <w:rFonts w:ascii="Times New Roman" w:eastAsia="Times New Roman" w:hAnsi="Times New Roman" w:cs="Times New Roman"/>
                <w:b/>
                <w:bCs/>
                <w:color w:val="000000"/>
                <w:spacing w:val="-4"/>
                <w:kern w:val="0"/>
                <w:sz w:val="16"/>
                <w:szCs w:val="16"/>
                <w:lang w:eastAsia="en-GB"/>
                <w14:ligatures w14:val="none"/>
              </w:rPr>
              <w:t>,88</w:t>
            </w:r>
          </w:p>
        </w:tc>
        <w:tc>
          <w:tcPr>
            <w:tcW w:w="956" w:type="dxa"/>
            <w:shd w:val="clear" w:color="auto" w:fill="FFFFFF" w:themeFill="background1"/>
            <w:hideMark/>
          </w:tcPr>
          <w:p w14:paraId="6736F92B" w14:textId="51B8F9D9" w:rsidR="00FB70CD" w:rsidRPr="00226F9D" w:rsidRDefault="00955824" w:rsidP="005B0999">
            <w:pPr>
              <w:spacing w:after="0" w:line="240" w:lineRule="auto"/>
              <w:jc w:val="center"/>
              <w:rPr>
                <w:rFonts w:ascii="Times New Roman" w:eastAsia="Times New Roman" w:hAnsi="Times New Roman" w:cs="Times New Roman"/>
                <w:b/>
                <w:bCs/>
                <w:color w:val="000000"/>
                <w:spacing w:val="-4"/>
                <w:kern w:val="0"/>
                <w:sz w:val="16"/>
                <w:szCs w:val="16"/>
                <w:lang w:eastAsia="en-GB"/>
                <w14:ligatures w14:val="none"/>
              </w:rPr>
            </w:pPr>
            <w:r w:rsidRPr="00226F9D">
              <w:rPr>
                <w:rFonts w:ascii="Times New Roman" w:eastAsia="Times New Roman" w:hAnsi="Times New Roman" w:cs="Times New Roman"/>
                <w:b/>
                <w:bCs/>
                <w:color w:val="000000"/>
                <w:spacing w:val="-4"/>
                <w:kern w:val="0"/>
                <w:sz w:val="16"/>
                <w:szCs w:val="16"/>
                <w:lang w:eastAsia="en-GB"/>
                <w14:ligatures w14:val="none"/>
              </w:rPr>
              <w:t>20</w:t>
            </w:r>
            <w:r w:rsidR="00FB70CD" w:rsidRPr="00226F9D">
              <w:rPr>
                <w:rFonts w:ascii="Times New Roman" w:eastAsia="Times New Roman" w:hAnsi="Times New Roman" w:cs="Times New Roman"/>
                <w:b/>
                <w:bCs/>
                <w:color w:val="000000"/>
                <w:spacing w:val="-4"/>
                <w:kern w:val="0"/>
                <w:sz w:val="16"/>
                <w:szCs w:val="16"/>
                <w:lang w:eastAsia="en-GB"/>
                <w14:ligatures w14:val="none"/>
              </w:rPr>
              <w:t>.704,88</w:t>
            </w:r>
          </w:p>
        </w:tc>
      </w:tr>
      <w:tr w:rsidR="00FB70CD" w:rsidRPr="00226F9D" w14:paraId="0B8A39C9" w14:textId="77777777" w:rsidTr="70A5C696">
        <w:trPr>
          <w:trHeight w:val="365"/>
        </w:trPr>
        <w:tc>
          <w:tcPr>
            <w:tcW w:w="2263" w:type="dxa"/>
            <w:shd w:val="clear" w:color="auto" w:fill="FFF2CC"/>
            <w:vAlign w:val="center"/>
            <w:hideMark/>
          </w:tcPr>
          <w:p w14:paraId="3B123D8D"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60" w:type="dxa"/>
            <w:shd w:val="clear" w:color="auto" w:fill="FFF2CC"/>
            <w:vAlign w:val="center"/>
            <w:hideMark/>
          </w:tcPr>
          <w:p w14:paraId="45D00AE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auto" w:fill="FFF2CC"/>
            <w:vAlign w:val="center"/>
            <w:hideMark/>
          </w:tcPr>
          <w:p w14:paraId="593E76F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Oргани и партнери у спровођењу активности</w:t>
            </w:r>
          </w:p>
        </w:tc>
        <w:tc>
          <w:tcPr>
            <w:tcW w:w="2693" w:type="dxa"/>
            <w:gridSpan w:val="2"/>
            <w:shd w:val="clear" w:color="auto" w:fill="FFF2CC"/>
            <w:vAlign w:val="center"/>
            <w:hideMark/>
          </w:tcPr>
          <w:p w14:paraId="4C65B22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auto" w:fill="FFF2CC"/>
            <w:vAlign w:val="center"/>
            <w:hideMark/>
          </w:tcPr>
          <w:p w14:paraId="74712BC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auto" w:fill="FFF2CC"/>
            <w:vAlign w:val="center"/>
            <w:hideMark/>
          </w:tcPr>
          <w:p w14:paraId="34A983C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71" w:type="dxa"/>
            <w:gridSpan w:val="5"/>
            <w:shd w:val="clear" w:color="auto" w:fill="FFF2CC"/>
            <w:vAlign w:val="center"/>
            <w:hideMark/>
          </w:tcPr>
          <w:p w14:paraId="6631475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по изворима у 000 дин</w:t>
            </w:r>
          </w:p>
        </w:tc>
      </w:tr>
      <w:tr w:rsidR="00FB70CD" w:rsidRPr="00226F9D" w14:paraId="54D485FC" w14:textId="77777777" w:rsidTr="70A5C696">
        <w:trPr>
          <w:trHeight w:val="24"/>
        </w:trPr>
        <w:tc>
          <w:tcPr>
            <w:tcW w:w="2263" w:type="dxa"/>
            <w:shd w:val="clear" w:color="auto" w:fill="FFF2CC"/>
            <w:hideMark/>
          </w:tcPr>
          <w:p w14:paraId="50D7867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560" w:type="dxa"/>
            <w:shd w:val="clear" w:color="auto" w:fill="FFF2CC"/>
            <w:hideMark/>
          </w:tcPr>
          <w:p w14:paraId="774DA69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417" w:type="dxa"/>
            <w:shd w:val="clear" w:color="auto" w:fill="FFF2CC"/>
            <w:hideMark/>
          </w:tcPr>
          <w:p w14:paraId="78FDE81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693" w:type="dxa"/>
            <w:gridSpan w:val="2"/>
            <w:shd w:val="clear" w:color="auto" w:fill="FFF2CC"/>
            <w:hideMark/>
          </w:tcPr>
          <w:p w14:paraId="3FBEB65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127" w:type="dxa"/>
            <w:shd w:val="clear" w:color="auto" w:fill="FFF2CC"/>
            <w:hideMark/>
          </w:tcPr>
          <w:p w14:paraId="12651F2A"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275" w:type="dxa"/>
            <w:shd w:val="clear" w:color="auto" w:fill="FFF2CC"/>
            <w:hideMark/>
          </w:tcPr>
          <w:p w14:paraId="4C694AA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2CC"/>
            <w:hideMark/>
          </w:tcPr>
          <w:p w14:paraId="7E61AB9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FFF2CC"/>
            <w:hideMark/>
          </w:tcPr>
          <w:p w14:paraId="04002E7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FFF2CC"/>
            <w:hideMark/>
          </w:tcPr>
          <w:p w14:paraId="1603AC6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3" w:type="dxa"/>
            <w:shd w:val="clear" w:color="auto" w:fill="FFF2CC"/>
            <w:hideMark/>
          </w:tcPr>
          <w:p w14:paraId="25F9BA1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56" w:type="dxa"/>
            <w:shd w:val="clear" w:color="auto" w:fill="FFF2CC"/>
            <w:hideMark/>
          </w:tcPr>
          <w:p w14:paraId="7864F9E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03D823AC" w14:textId="77777777" w:rsidTr="70A5C696">
        <w:trPr>
          <w:trHeight w:val="863"/>
        </w:trPr>
        <w:tc>
          <w:tcPr>
            <w:tcW w:w="2263" w:type="dxa"/>
            <w:vMerge w:val="restart"/>
            <w:hideMark/>
          </w:tcPr>
          <w:p w14:paraId="7824F7AD"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1.3.1. Подстицање примене принципа доброг управљања кроз организовање јавног позива за доделу годишње награде за најбољу општинску/градску управу</w:t>
            </w:r>
          </w:p>
        </w:tc>
        <w:tc>
          <w:tcPr>
            <w:tcW w:w="1560" w:type="dxa"/>
            <w:vMerge w:val="restart"/>
            <w:hideMark/>
          </w:tcPr>
          <w:p w14:paraId="3D3E8D9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vMerge w:val="restart"/>
            <w:hideMark/>
          </w:tcPr>
          <w:p w14:paraId="23CB1A0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vMerge w:val="restart"/>
            <w:hideMark/>
          </w:tcPr>
          <w:p w14:paraId="41B314A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2030.</w:t>
            </w:r>
          </w:p>
        </w:tc>
        <w:tc>
          <w:tcPr>
            <w:tcW w:w="2127" w:type="dxa"/>
            <w:shd w:val="clear" w:color="auto" w:fill="FFFFFF" w:themeFill="background1"/>
            <w:hideMark/>
          </w:tcPr>
          <w:p w14:paraId="0E2D144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Подршка из донације (СДЦ-СКГО – Партнерство за добру локалну самоуправу)</w:t>
            </w:r>
          </w:p>
        </w:tc>
        <w:tc>
          <w:tcPr>
            <w:tcW w:w="1275" w:type="dxa"/>
            <w:shd w:val="clear" w:color="auto" w:fill="FFFFFF" w:themeFill="background1"/>
            <w:hideMark/>
          </w:tcPr>
          <w:p w14:paraId="726FC30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449AD31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5.000</w:t>
            </w:r>
          </w:p>
        </w:tc>
        <w:tc>
          <w:tcPr>
            <w:tcW w:w="850" w:type="dxa"/>
            <w:hideMark/>
          </w:tcPr>
          <w:p w14:paraId="02A00B1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50D5677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25EFF7D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02048E6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4EE682BA" w14:textId="77777777" w:rsidTr="70A5C696">
        <w:trPr>
          <w:trHeight w:val="59"/>
        </w:trPr>
        <w:tc>
          <w:tcPr>
            <w:tcW w:w="2263" w:type="dxa"/>
            <w:vMerge/>
            <w:hideMark/>
          </w:tcPr>
          <w:p w14:paraId="15DD2294"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0" w:type="dxa"/>
            <w:vMerge/>
            <w:hideMark/>
          </w:tcPr>
          <w:p w14:paraId="5F844ED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71D27B5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vMerge/>
            <w:hideMark/>
          </w:tcPr>
          <w:p w14:paraId="32D1FD43"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hideMark/>
          </w:tcPr>
          <w:p w14:paraId="3CEDD29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трансфер другим нивоима власти</w:t>
            </w:r>
          </w:p>
        </w:tc>
        <w:tc>
          <w:tcPr>
            <w:tcW w:w="1275" w:type="dxa"/>
            <w:shd w:val="clear" w:color="auto" w:fill="FFFFFF" w:themeFill="background1"/>
            <w:noWrap/>
            <w:hideMark/>
          </w:tcPr>
          <w:p w14:paraId="0AB4261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20-0608-0004, 463</w:t>
            </w:r>
          </w:p>
        </w:tc>
        <w:tc>
          <w:tcPr>
            <w:tcW w:w="851" w:type="dxa"/>
            <w:shd w:val="clear" w:color="auto" w:fill="FFFFFF" w:themeFill="background1"/>
            <w:noWrap/>
            <w:hideMark/>
          </w:tcPr>
          <w:p w14:paraId="3C25641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10.000</w:t>
            </w:r>
          </w:p>
        </w:tc>
        <w:tc>
          <w:tcPr>
            <w:tcW w:w="850" w:type="dxa"/>
            <w:noWrap/>
            <w:hideMark/>
          </w:tcPr>
          <w:p w14:paraId="017EBC1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7.692,96</w:t>
            </w:r>
          </w:p>
        </w:tc>
        <w:tc>
          <w:tcPr>
            <w:tcW w:w="851" w:type="dxa"/>
            <w:noWrap/>
            <w:hideMark/>
          </w:tcPr>
          <w:p w14:paraId="7602E5D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7.764,88</w:t>
            </w:r>
          </w:p>
        </w:tc>
        <w:tc>
          <w:tcPr>
            <w:tcW w:w="863" w:type="dxa"/>
            <w:shd w:val="clear" w:color="auto" w:fill="FFFFFF" w:themeFill="background1"/>
            <w:noWrap/>
            <w:hideMark/>
          </w:tcPr>
          <w:p w14:paraId="683781D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7.764,88**</w:t>
            </w:r>
          </w:p>
        </w:tc>
        <w:tc>
          <w:tcPr>
            <w:tcW w:w="956" w:type="dxa"/>
            <w:shd w:val="clear" w:color="auto" w:fill="FFFFFF" w:themeFill="background1"/>
            <w:hideMark/>
          </w:tcPr>
          <w:p w14:paraId="347D886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7.764,88**</w:t>
            </w:r>
          </w:p>
        </w:tc>
      </w:tr>
      <w:tr w:rsidR="00FB70CD" w:rsidRPr="00226F9D" w14:paraId="77018BEF" w14:textId="77777777" w:rsidTr="70A5C696">
        <w:trPr>
          <w:trHeight w:val="1020"/>
        </w:trPr>
        <w:tc>
          <w:tcPr>
            <w:tcW w:w="2263" w:type="dxa"/>
            <w:vMerge w:val="restart"/>
            <w:hideMark/>
          </w:tcPr>
          <w:p w14:paraId="01752748" w14:textId="7F84E202" w:rsidR="00DE3075" w:rsidRPr="00226F9D" w:rsidRDefault="00FB70CD" w:rsidP="00DE3075">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1.3.2. </w:t>
            </w:r>
            <w:r w:rsidR="00DE3075" w:rsidRPr="00226F9D">
              <w:rPr>
                <w:rFonts w:ascii="Times New Roman" w:eastAsia="Times New Roman" w:hAnsi="Times New Roman" w:cs="Times New Roman"/>
                <w:color w:val="000000"/>
                <w:kern w:val="0"/>
                <w:sz w:val="16"/>
                <w:szCs w:val="16"/>
                <w:lang w:eastAsia="en-GB"/>
                <w14:ligatures w14:val="none"/>
              </w:rPr>
              <w:t xml:space="preserve">Подршка унапређењу капацитета постојећих и успостављању нових локалних омбудсмана односно заједничких </w:t>
            </w:r>
            <w:r w:rsidR="00DE3075" w:rsidRPr="00226F9D">
              <w:rPr>
                <w:rFonts w:ascii="Times New Roman" w:eastAsia="Times New Roman" w:hAnsi="Times New Roman" w:cs="Times New Roman"/>
                <w:color w:val="000000"/>
                <w:kern w:val="0"/>
                <w:sz w:val="16"/>
                <w:szCs w:val="16"/>
                <w:lang w:eastAsia="en-GB"/>
                <w14:ligatures w14:val="none"/>
              </w:rPr>
              <w:lastRenderedPageBreak/>
              <w:t>локалних омбудсмана (саветодавна подршкa; обука за примену делокруга локалног омбудсмана; правна подршка успостављању локалног омбудсмана односно заједничког локалног омбудсмана; израда модела и смерница за примену прописа; подршка уједначавању праксе рада локалних омбудсмана и др.)</w:t>
            </w:r>
          </w:p>
          <w:p w14:paraId="7C31F2F5" w14:textId="5EF7154F" w:rsidR="00DE3075" w:rsidRPr="00226F9D" w:rsidRDefault="00DE3075" w:rsidP="00DE3075">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0" w:type="dxa"/>
            <w:vMerge w:val="restart"/>
            <w:hideMark/>
          </w:tcPr>
          <w:p w14:paraId="2342959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lastRenderedPageBreak/>
              <w:t>МДУЛС</w:t>
            </w:r>
          </w:p>
        </w:tc>
        <w:tc>
          <w:tcPr>
            <w:tcW w:w="1417" w:type="dxa"/>
            <w:vMerge w:val="restart"/>
            <w:hideMark/>
          </w:tcPr>
          <w:p w14:paraId="4C71B3F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 Удружење омбудсмана Србије</w:t>
            </w:r>
          </w:p>
        </w:tc>
        <w:tc>
          <w:tcPr>
            <w:tcW w:w="2693" w:type="dxa"/>
            <w:gridSpan w:val="2"/>
            <w:vMerge w:val="restart"/>
            <w:hideMark/>
          </w:tcPr>
          <w:p w14:paraId="4112236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 IV квартал 2030.</w:t>
            </w:r>
          </w:p>
        </w:tc>
        <w:tc>
          <w:tcPr>
            <w:tcW w:w="2127" w:type="dxa"/>
            <w:shd w:val="clear" w:color="auto" w:fill="FFFFFF" w:themeFill="background1"/>
            <w:hideMark/>
          </w:tcPr>
          <w:p w14:paraId="6FE63A3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Подршка из донације (СДЦ-СКГО – Партнерство за добру локалну самоуправу)</w:t>
            </w:r>
          </w:p>
        </w:tc>
        <w:tc>
          <w:tcPr>
            <w:tcW w:w="1275" w:type="dxa"/>
            <w:shd w:val="clear" w:color="auto" w:fill="FFFFFF" w:themeFill="background1"/>
            <w:hideMark/>
          </w:tcPr>
          <w:p w14:paraId="6E53D7C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21899C9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650</w:t>
            </w:r>
          </w:p>
        </w:tc>
        <w:tc>
          <w:tcPr>
            <w:tcW w:w="850" w:type="dxa"/>
            <w:hideMark/>
          </w:tcPr>
          <w:p w14:paraId="37487E8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732BEE8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776B25F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649D062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0E6F8025" w14:textId="77777777" w:rsidTr="70A5C696">
        <w:trPr>
          <w:trHeight w:val="1276"/>
        </w:trPr>
        <w:tc>
          <w:tcPr>
            <w:tcW w:w="2263" w:type="dxa"/>
            <w:vMerge/>
            <w:hideMark/>
          </w:tcPr>
          <w:p w14:paraId="11624F81"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0" w:type="dxa"/>
            <w:vMerge/>
            <w:hideMark/>
          </w:tcPr>
          <w:p w14:paraId="0390CF20"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6566A822"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gridSpan w:val="2"/>
            <w:vMerge/>
            <w:hideMark/>
          </w:tcPr>
          <w:p w14:paraId="2E4D125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hideMark/>
          </w:tcPr>
          <w:p w14:paraId="5DC491D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hideMark/>
          </w:tcPr>
          <w:p w14:paraId="591B5B2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098447D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32C52C8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51" w:type="dxa"/>
            <w:shd w:val="clear" w:color="auto" w:fill="FFFFFF" w:themeFill="background1"/>
            <w:hideMark/>
          </w:tcPr>
          <w:p w14:paraId="5149B83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63" w:type="dxa"/>
            <w:shd w:val="clear" w:color="auto" w:fill="FFFFFF" w:themeFill="background1"/>
            <w:hideMark/>
          </w:tcPr>
          <w:p w14:paraId="142DF8C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956" w:type="dxa"/>
            <w:shd w:val="clear" w:color="auto" w:fill="FFFFFF" w:themeFill="background1"/>
            <w:hideMark/>
          </w:tcPr>
          <w:p w14:paraId="42AD53A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r>
      <w:tr w:rsidR="00FB70CD" w:rsidRPr="00226F9D" w14:paraId="6407E6A3" w14:textId="77777777" w:rsidTr="70A5C696">
        <w:trPr>
          <w:trHeight w:val="460"/>
        </w:trPr>
        <w:tc>
          <w:tcPr>
            <w:tcW w:w="2263" w:type="dxa"/>
            <w:hideMark/>
          </w:tcPr>
          <w:p w14:paraId="6693C7AF" w14:textId="263FBB5E" w:rsidR="00DE3075" w:rsidRPr="00226F9D" w:rsidRDefault="00FB70CD" w:rsidP="00DE3075">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1.3.3. </w:t>
            </w:r>
            <w:r w:rsidR="00DE3075" w:rsidRPr="00226F9D">
              <w:rPr>
                <w:rFonts w:ascii="Times New Roman" w:eastAsia="Times New Roman" w:hAnsi="Times New Roman" w:cs="Times New Roman"/>
                <w:color w:val="000000"/>
                <w:kern w:val="0"/>
                <w:sz w:val="16"/>
                <w:szCs w:val="16"/>
                <w:lang w:eastAsia="en-GB"/>
                <w14:ligatures w14:val="none"/>
              </w:rPr>
              <w:t>Финансијска подршка успостављању заједничких локалних омбудсмана који обухватају територију више ЈЛС по основу споразума о међуопштинској сарадњи</w:t>
            </w:r>
          </w:p>
        </w:tc>
        <w:tc>
          <w:tcPr>
            <w:tcW w:w="1560" w:type="dxa"/>
            <w:hideMark/>
          </w:tcPr>
          <w:p w14:paraId="4E605FE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624C579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 Удружење омбудсмана Србије</w:t>
            </w:r>
          </w:p>
        </w:tc>
        <w:tc>
          <w:tcPr>
            <w:tcW w:w="2693" w:type="dxa"/>
            <w:gridSpan w:val="2"/>
            <w:hideMark/>
          </w:tcPr>
          <w:p w14:paraId="25C935E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IV квартал 2026. - IV квартал 2030. </w:t>
            </w:r>
          </w:p>
        </w:tc>
        <w:tc>
          <w:tcPr>
            <w:tcW w:w="2127" w:type="dxa"/>
            <w:hideMark/>
          </w:tcPr>
          <w:p w14:paraId="332627B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Донаторска подршка* - средства нису обезбеђена</w:t>
            </w:r>
          </w:p>
        </w:tc>
        <w:tc>
          <w:tcPr>
            <w:tcW w:w="1275" w:type="dxa"/>
            <w:hideMark/>
          </w:tcPr>
          <w:p w14:paraId="59CEDC9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6FF26F4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3.510*</w:t>
            </w:r>
          </w:p>
        </w:tc>
        <w:tc>
          <w:tcPr>
            <w:tcW w:w="850" w:type="dxa"/>
            <w:noWrap/>
            <w:hideMark/>
          </w:tcPr>
          <w:p w14:paraId="42A363B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3.510*</w:t>
            </w:r>
          </w:p>
        </w:tc>
        <w:tc>
          <w:tcPr>
            <w:tcW w:w="851" w:type="dxa"/>
            <w:noWrap/>
            <w:hideMark/>
          </w:tcPr>
          <w:p w14:paraId="113424A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3.510*</w:t>
            </w:r>
          </w:p>
        </w:tc>
        <w:tc>
          <w:tcPr>
            <w:tcW w:w="863" w:type="dxa"/>
            <w:noWrap/>
            <w:hideMark/>
          </w:tcPr>
          <w:p w14:paraId="186E68E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3.510*</w:t>
            </w:r>
          </w:p>
        </w:tc>
        <w:tc>
          <w:tcPr>
            <w:tcW w:w="956" w:type="dxa"/>
            <w:noWrap/>
            <w:hideMark/>
          </w:tcPr>
          <w:p w14:paraId="5EBBC1D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3.510*</w:t>
            </w:r>
          </w:p>
        </w:tc>
      </w:tr>
      <w:tr w:rsidR="00FB70CD" w:rsidRPr="00226F9D" w14:paraId="028764F0" w14:textId="77777777" w:rsidTr="70A5C696">
        <w:trPr>
          <w:trHeight w:val="869"/>
        </w:trPr>
        <w:tc>
          <w:tcPr>
            <w:tcW w:w="2263" w:type="dxa"/>
            <w:vMerge w:val="restart"/>
            <w:shd w:val="clear" w:color="auto" w:fill="FFFFFF" w:themeFill="background1"/>
            <w:hideMark/>
          </w:tcPr>
          <w:p w14:paraId="1E27E863" w14:textId="54A3E157" w:rsidR="005E47A4" w:rsidRPr="00226F9D" w:rsidRDefault="00FB70CD" w:rsidP="005B0999">
            <w:pPr>
              <w:spacing w:after="0" w:line="240" w:lineRule="auto"/>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eastAsia="en-GB"/>
                <w14:ligatures w14:val="none"/>
              </w:rPr>
              <w:t>1.3.4. Спровођењ</w:t>
            </w:r>
            <w:r w:rsidR="00DE3075" w:rsidRPr="00226F9D">
              <w:rPr>
                <w:rFonts w:ascii="Times New Roman" w:eastAsia="Times New Roman" w:hAnsi="Times New Roman" w:cs="Times New Roman"/>
                <w:kern w:val="0"/>
                <w:sz w:val="16"/>
                <w:szCs w:val="16"/>
                <w:lang w:val="sr-Cyrl-RS" w:eastAsia="en-GB"/>
                <w14:ligatures w14:val="none"/>
              </w:rPr>
              <w:t>е</w:t>
            </w:r>
            <w:r w:rsidRPr="00226F9D">
              <w:rPr>
                <w:rFonts w:ascii="Times New Roman" w:eastAsia="Times New Roman" w:hAnsi="Times New Roman" w:cs="Times New Roman"/>
                <w:kern w:val="0"/>
                <w:sz w:val="16"/>
                <w:szCs w:val="16"/>
                <w:lang w:eastAsia="en-GB"/>
                <w14:ligatures w14:val="none"/>
              </w:rPr>
              <w:t xml:space="preserve"> програма обука из Секторског програма континуираног стручног усавршавања запослених у ЈЛС релеватних за примену приниципа доброг управљања и укључивања грађана и локалне заједнице у рад и доношење одлука органа ЛС (6 регионалних обука или 3 вебинара годишње) - извештавање посредством НАЈУ</w:t>
            </w:r>
          </w:p>
        </w:tc>
        <w:tc>
          <w:tcPr>
            <w:tcW w:w="1560" w:type="dxa"/>
            <w:vMerge w:val="restart"/>
            <w:hideMark/>
          </w:tcPr>
          <w:p w14:paraId="7C0AEA6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НАЈУ</w:t>
            </w:r>
          </w:p>
        </w:tc>
        <w:tc>
          <w:tcPr>
            <w:tcW w:w="1417" w:type="dxa"/>
            <w:vMerge w:val="restart"/>
            <w:hideMark/>
          </w:tcPr>
          <w:p w14:paraId="49CEE2A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СКГО</w:t>
            </w:r>
          </w:p>
        </w:tc>
        <w:tc>
          <w:tcPr>
            <w:tcW w:w="2693" w:type="dxa"/>
            <w:gridSpan w:val="2"/>
            <w:vMerge w:val="restart"/>
            <w:hideMark/>
          </w:tcPr>
          <w:p w14:paraId="20DA294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2030.</w:t>
            </w:r>
          </w:p>
        </w:tc>
        <w:tc>
          <w:tcPr>
            <w:tcW w:w="2127" w:type="dxa"/>
            <w:shd w:val="clear" w:color="auto" w:fill="FFFFFF" w:themeFill="background1"/>
            <w:hideMark/>
          </w:tcPr>
          <w:p w14:paraId="6C6DCE3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(СДЦ-СКГО – Партнерство за добру локалну самоуправу)</w:t>
            </w:r>
          </w:p>
        </w:tc>
        <w:tc>
          <w:tcPr>
            <w:tcW w:w="1275" w:type="dxa"/>
            <w:shd w:val="clear" w:color="auto" w:fill="FFFFFF" w:themeFill="background1"/>
            <w:hideMark/>
          </w:tcPr>
          <w:p w14:paraId="4B8C52B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614E2EB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1.100</w:t>
            </w:r>
          </w:p>
        </w:tc>
        <w:tc>
          <w:tcPr>
            <w:tcW w:w="850" w:type="dxa"/>
            <w:hideMark/>
          </w:tcPr>
          <w:p w14:paraId="0F63F6F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0905D6D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4010CF8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5FF62F7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6CCF1B24" w14:textId="77777777" w:rsidTr="70A5C696">
        <w:trPr>
          <w:trHeight w:val="2078"/>
        </w:trPr>
        <w:tc>
          <w:tcPr>
            <w:tcW w:w="2263" w:type="dxa"/>
            <w:vMerge/>
            <w:hideMark/>
          </w:tcPr>
          <w:p w14:paraId="1F37FEF7"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60" w:type="dxa"/>
            <w:vMerge/>
            <w:hideMark/>
          </w:tcPr>
          <w:p w14:paraId="423D10EA"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3BBEC0E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vMerge/>
            <w:hideMark/>
          </w:tcPr>
          <w:p w14:paraId="1FFBBE08"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hideMark/>
          </w:tcPr>
          <w:p w14:paraId="17B5F76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hideMark/>
          </w:tcPr>
          <w:p w14:paraId="3AE0CA4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5CBC4DB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3EFF775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430*</w:t>
            </w:r>
          </w:p>
        </w:tc>
        <w:tc>
          <w:tcPr>
            <w:tcW w:w="851" w:type="dxa"/>
            <w:shd w:val="clear" w:color="auto" w:fill="FFFFFF" w:themeFill="background1"/>
            <w:hideMark/>
          </w:tcPr>
          <w:p w14:paraId="699163F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430*</w:t>
            </w:r>
          </w:p>
        </w:tc>
        <w:tc>
          <w:tcPr>
            <w:tcW w:w="863" w:type="dxa"/>
            <w:shd w:val="clear" w:color="auto" w:fill="FFFFFF" w:themeFill="background1"/>
            <w:hideMark/>
          </w:tcPr>
          <w:p w14:paraId="09B42EF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430*</w:t>
            </w:r>
          </w:p>
        </w:tc>
        <w:tc>
          <w:tcPr>
            <w:tcW w:w="956" w:type="dxa"/>
            <w:shd w:val="clear" w:color="auto" w:fill="FFFFFF" w:themeFill="background1"/>
            <w:hideMark/>
          </w:tcPr>
          <w:p w14:paraId="607B148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430*</w:t>
            </w:r>
          </w:p>
        </w:tc>
      </w:tr>
      <w:tr w:rsidR="005E47A4" w:rsidRPr="00226F9D" w14:paraId="19195B9F" w14:textId="77777777" w:rsidTr="70A5C696">
        <w:trPr>
          <w:trHeight w:val="225"/>
        </w:trPr>
        <w:tc>
          <w:tcPr>
            <w:tcW w:w="2263" w:type="dxa"/>
          </w:tcPr>
          <w:p w14:paraId="4F749DA0" w14:textId="211B8B9D" w:rsidR="005E47A4" w:rsidRPr="00226F9D" w:rsidRDefault="005E47A4" w:rsidP="005E47A4">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1.3.5 Анализа стања и нивоа развијености управљачке одговорности у системима ЈЛС са препорукама за унапређење кроз РЕЛОФ индекс</w:t>
            </w:r>
          </w:p>
        </w:tc>
        <w:tc>
          <w:tcPr>
            <w:tcW w:w="1560" w:type="dxa"/>
          </w:tcPr>
          <w:p w14:paraId="47CFE355" w14:textId="5DDBC529"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МДУЛС</w:t>
            </w:r>
          </w:p>
        </w:tc>
        <w:tc>
          <w:tcPr>
            <w:tcW w:w="1417" w:type="dxa"/>
          </w:tcPr>
          <w:p w14:paraId="0D51166A" w14:textId="2A8474F5"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2693" w:type="dxa"/>
            <w:gridSpan w:val="2"/>
          </w:tcPr>
          <w:p w14:paraId="7AD58E83" w14:textId="198BDCD9" w:rsidR="005E47A4" w:rsidRPr="00226F9D" w:rsidRDefault="5CA32219" w:rsidP="09271203">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themeColor="text1"/>
                <w:sz w:val="16"/>
                <w:szCs w:val="16"/>
                <w:lang w:eastAsia="en-GB"/>
              </w:rPr>
              <w:t>I квартал 202</w:t>
            </w:r>
            <w:r w:rsidRPr="00226F9D">
              <w:rPr>
                <w:rFonts w:ascii="Times New Roman" w:eastAsia="Times New Roman" w:hAnsi="Times New Roman" w:cs="Times New Roman"/>
                <w:color w:val="000000" w:themeColor="text1"/>
                <w:sz w:val="16"/>
                <w:szCs w:val="16"/>
                <w:lang w:val="sr-Cyrl-RS" w:eastAsia="en-GB"/>
              </w:rPr>
              <w:t>7</w:t>
            </w:r>
            <w:r w:rsidR="2B9CC845" w:rsidRPr="00226F9D">
              <w:rPr>
                <w:rFonts w:ascii="Times New Roman" w:eastAsia="Times New Roman" w:hAnsi="Times New Roman" w:cs="Times New Roman"/>
                <w:color w:val="000000" w:themeColor="text1"/>
                <w:sz w:val="16"/>
                <w:szCs w:val="16"/>
                <w:lang w:val="sr-Cyrl-RS" w:eastAsia="en-GB"/>
              </w:rPr>
              <w:t>-IV квартал 2027</w:t>
            </w:r>
          </w:p>
        </w:tc>
        <w:tc>
          <w:tcPr>
            <w:tcW w:w="2127" w:type="dxa"/>
          </w:tcPr>
          <w:p w14:paraId="6DC925A8" w14:textId="74FC828D" w:rsidR="005E47A4" w:rsidRPr="00226F9D" w:rsidRDefault="005E47A4" w:rsidP="005E47A4">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Подршка из донације (СЕКО - РЕЛОФ3)</w:t>
            </w:r>
          </w:p>
        </w:tc>
        <w:tc>
          <w:tcPr>
            <w:tcW w:w="1275" w:type="dxa"/>
          </w:tcPr>
          <w:p w14:paraId="58B697CA"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tc>
        <w:tc>
          <w:tcPr>
            <w:tcW w:w="851" w:type="dxa"/>
            <w:noWrap/>
          </w:tcPr>
          <w:p w14:paraId="6FEA00AA"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tc>
        <w:tc>
          <w:tcPr>
            <w:tcW w:w="850" w:type="dxa"/>
            <w:shd w:val="clear" w:color="auto" w:fill="FFFFFF" w:themeFill="background1"/>
          </w:tcPr>
          <w:p w14:paraId="7F286341" w14:textId="16295881"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1.000</w:t>
            </w:r>
          </w:p>
        </w:tc>
        <w:tc>
          <w:tcPr>
            <w:tcW w:w="851" w:type="dxa"/>
            <w:shd w:val="clear" w:color="auto" w:fill="FFFFFF" w:themeFill="background1"/>
          </w:tcPr>
          <w:p w14:paraId="4B74AB39"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63" w:type="dxa"/>
            <w:shd w:val="clear" w:color="auto" w:fill="FFFFFF" w:themeFill="background1"/>
          </w:tcPr>
          <w:p w14:paraId="55D9983A"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56" w:type="dxa"/>
            <w:shd w:val="clear" w:color="auto" w:fill="FFFFFF" w:themeFill="background1"/>
          </w:tcPr>
          <w:p w14:paraId="17B1BFD7"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r>
      <w:tr w:rsidR="005E47A4" w:rsidRPr="00226F9D" w14:paraId="7B3DF9DC" w14:textId="77777777" w:rsidTr="70A5C696">
        <w:trPr>
          <w:trHeight w:val="513"/>
        </w:trPr>
        <w:tc>
          <w:tcPr>
            <w:tcW w:w="2263" w:type="dxa"/>
            <w:vMerge w:val="restart"/>
          </w:tcPr>
          <w:p w14:paraId="185CF13C" w14:textId="77777777" w:rsidR="005E47A4" w:rsidRPr="00226F9D" w:rsidRDefault="005E47A4" w:rsidP="005E47A4">
            <w:pPr>
              <w:spacing w:after="0" w:line="240" w:lineRule="auto"/>
              <w:rPr>
                <w:rFonts w:ascii="Times New Roman" w:eastAsia="Times New Roman" w:hAnsi="Times New Roman" w:cs="Times New Roman"/>
                <w:kern w:val="0"/>
                <w:sz w:val="16"/>
                <w:szCs w:val="16"/>
                <w:lang w:eastAsia="en-GB"/>
                <w14:ligatures w14:val="none"/>
              </w:rPr>
            </w:pPr>
          </w:p>
          <w:p w14:paraId="113F5FBB" w14:textId="3167EA52" w:rsidR="005E47A4" w:rsidRPr="00226F9D" w:rsidRDefault="005E47A4" w:rsidP="005E47A4">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1.3.6 Спровођење пакета стручне подршке за увођење система управљања учинком ЈЛС</w:t>
            </w:r>
          </w:p>
        </w:tc>
        <w:tc>
          <w:tcPr>
            <w:tcW w:w="1560" w:type="dxa"/>
            <w:vMerge w:val="restart"/>
          </w:tcPr>
          <w:p w14:paraId="4CABE40E"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p w14:paraId="50107CC1" w14:textId="77777777" w:rsidR="00672628" w:rsidRPr="00226F9D" w:rsidRDefault="00672628" w:rsidP="005E47A4">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p w14:paraId="47484819" w14:textId="665E708B"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МДУЛС</w:t>
            </w:r>
          </w:p>
        </w:tc>
        <w:tc>
          <w:tcPr>
            <w:tcW w:w="1417" w:type="dxa"/>
          </w:tcPr>
          <w:p w14:paraId="3B02C5A4" w14:textId="22573FE8"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2693" w:type="dxa"/>
            <w:gridSpan w:val="2"/>
          </w:tcPr>
          <w:p w14:paraId="5317E742"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w:t>
            </w:r>
            <w:r w:rsidRPr="00226F9D">
              <w:rPr>
                <w:rFonts w:ascii="Times New Roman" w:eastAsia="Times New Roman" w:hAnsi="Times New Roman" w:cs="Times New Roman"/>
                <w:color w:val="000000"/>
                <w:kern w:val="0"/>
                <w:sz w:val="16"/>
                <w:szCs w:val="16"/>
                <w:lang w:val="sr-Cyrl-RS" w:eastAsia="en-GB"/>
                <w14:ligatures w14:val="none"/>
              </w:rPr>
              <w:t xml:space="preserve"> – </w:t>
            </w:r>
            <w:r w:rsidRPr="00226F9D">
              <w:rPr>
                <w:rFonts w:ascii="Times New Roman" w:eastAsia="Times New Roman" w:hAnsi="Times New Roman" w:cs="Times New Roman"/>
                <w:color w:val="000000"/>
                <w:kern w:val="0"/>
                <w:sz w:val="16"/>
                <w:szCs w:val="16"/>
                <w:lang w:eastAsia="en-GB"/>
                <w14:ligatures w14:val="none"/>
              </w:rPr>
              <w:t>II квартал 202</w:t>
            </w:r>
            <w:r w:rsidRPr="00226F9D">
              <w:rPr>
                <w:rFonts w:ascii="Times New Roman" w:eastAsia="Times New Roman" w:hAnsi="Times New Roman" w:cs="Times New Roman"/>
                <w:color w:val="000000"/>
                <w:kern w:val="0"/>
                <w:sz w:val="16"/>
                <w:szCs w:val="16"/>
                <w:lang w:val="sr-Cyrl-RS" w:eastAsia="en-GB"/>
                <w14:ligatures w14:val="none"/>
              </w:rPr>
              <w:t>7</w:t>
            </w:r>
          </w:p>
          <w:p w14:paraId="74650741"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2127" w:type="dxa"/>
          </w:tcPr>
          <w:p w14:paraId="570F9E8D" w14:textId="77777777" w:rsidR="005E47A4" w:rsidRPr="00226F9D" w:rsidRDefault="005E47A4" w:rsidP="005E47A4">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Подршка из</w:t>
            </w:r>
            <w:r w:rsidRPr="00226F9D">
              <w:rPr>
                <w:rFonts w:ascii="Times New Roman" w:eastAsia="Times New Roman" w:hAnsi="Times New Roman" w:cs="Times New Roman"/>
                <w:kern w:val="0"/>
                <w:sz w:val="16"/>
                <w:szCs w:val="16"/>
                <w:lang w:eastAsia="en-GB"/>
                <w14:ligatures w14:val="none"/>
              </w:rPr>
              <w:t xml:space="preserve"> </w:t>
            </w:r>
            <w:r w:rsidRPr="00226F9D">
              <w:rPr>
                <w:rFonts w:ascii="Times New Roman" w:eastAsia="Times New Roman" w:hAnsi="Times New Roman" w:cs="Times New Roman"/>
                <w:kern w:val="0"/>
                <w:sz w:val="16"/>
                <w:szCs w:val="16"/>
                <w:lang w:val="sr-Cyrl-RS" w:eastAsia="en-GB"/>
                <w14:ligatures w14:val="none"/>
              </w:rPr>
              <w:t>донације (СЕКО - РЕЛОФ3)</w:t>
            </w:r>
          </w:p>
          <w:p w14:paraId="0D425D52" w14:textId="77777777" w:rsidR="005E47A4" w:rsidRPr="00226F9D" w:rsidRDefault="005E47A4" w:rsidP="005E47A4">
            <w:pPr>
              <w:spacing w:after="0" w:line="240" w:lineRule="auto"/>
              <w:jc w:val="center"/>
              <w:rPr>
                <w:rFonts w:ascii="Times New Roman" w:eastAsia="Times New Roman" w:hAnsi="Times New Roman" w:cs="Times New Roman"/>
                <w:kern w:val="0"/>
                <w:sz w:val="16"/>
                <w:szCs w:val="16"/>
                <w:lang w:val="sr-Cyrl-RS" w:eastAsia="en-GB"/>
                <w14:ligatures w14:val="none"/>
              </w:rPr>
            </w:pPr>
          </w:p>
          <w:p w14:paraId="62D45148" w14:textId="77777777" w:rsidR="005E47A4" w:rsidRPr="00226F9D" w:rsidRDefault="005E47A4" w:rsidP="005E47A4">
            <w:pPr>
              <w:spacing w:after="0" w:line="240" w:lineRule="auto"/>
              <w:jc w:val="center"/>
              <w:rPr>
                <w:rFonts w:ascii="Times New Roman" w:eastAsia="Times New Roman" w:hAnsi="Times New Roman" w:cs="Times New Roman"/>
                <w:kern w:val="0"/>
                <w:sz w:val="16"/>
                <w:szCs w:val="16"/>
                <w:lang w:eastAsia="en-GB"/>
                <w14:ligatures w14:val="none"/>
              </w:rPr>
            </w:pPr>
          </w:p>
        </w:tc>
        <w:tc>
          <w:tcPr>
            <w:tcW w:w="1275" w:type="dxa"/>
          </w:tcPr>
          <w:p w14:paraId="063F1CFD"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51" w:type="dxa"/>
            <w:noWrap/>
          </w:tcPr>
          <w:p w14:paraId="3E47C39E" w14:textId="4602BAF3"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4.000</w:t>
            </w:r>
          </w:p>
        </w:tc>
        <w:tc>
          <w:tcPr>
            <w:tcW w:w="850" w:type="dxa"/>
            <w:shd w:val="clear" w:color="auto" w:fill="FFFFFF" w:themeFill="background1"/>
          </w:tcPr>
          <w:p w14:paraId="62285698" w14:textId="2F619D04" w:rsidR="005E47A4" w:rsidRPr="00226F9D" w:rsidRDefault="00966E49"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1.000</w:t>
            </w:r>
          </w:p>
        </w:tc>
        <w:tc>
          <w:tcPr>
            <w:tcW w:w="851" w:type="dxa"/>
            <w:shd w:val="clear" w:color="auto" w:fill="FFFFFF" w:themeFill="background1"/>
          </w:tcPr>
          <w:p w14:paraId="408EE906"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63" w:type="dxa"/>
            <w:shd w:val="clear" w:color="auto" w:fill="FFFFFF" w:themeFill="background1"/>
          </w:tcPr>
          <w:p w14:paraId="458E62EC"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56" w:type="dxa"/>
            <w:shd w:val="clear" w:color="auto" w:fill="FFFFFF" w:themeFill="background1"/>
          </w:tcPr>
          <w:p w14:paraId="0275C61D"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r>
      <w:tr w:rsidR="005E47A4" w:rsidRPr="00226F9D" w14:paraId="42B83604" w14:textId="77777777" w:rsidTr="70A5C696">
        <w:trPr>
          <w:trHeight w:val="513"/>
        </w:trPr>
        <w:tc>
          <w:tcPr>
            <w:tcW w:w="2263" w:type="dxa"/>
            <w:vMerge/>
          </w:tcPr>
          <w:p w14:paraId="18B3AC24" w14:textId="77777777" w:rsidR="005E47A4" w:rsidRPr="00226F9D" w:rsidRDefault="005E47A4" w:rsidP="005E47A4">
            <w:pPr>
              <w:spacing w:after="0" w:line="240" w:lineRule="auto"/>
              <w:rPr>
                <w:rFonts w:ascii="Times New Roman" w:eastAsia="Times New Roman" w:hAnsi="Times New Roman" w:cs="Times New Roman"/>
                <w:kern w:val="0"/>
                <w:sz w:val="16"/>
                <w:szCs w:val="16"/>
                <w:lang w:eastAsia="en-GB"/>
                <w14:ligatures w14:val="none"/>
              </w:rPr>
            </w:pPr>
          </w:p>
        </w:tc>
        <w:tc>
          <w:tcPr>
            <w:tcW w:w="1560" w:type="dxa"/>
            <w:vMerge/>
          </w:tcPr>
          <w:p w14:paraId="3FDF93CE"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1417" w:type="dxa"/>
          </w:tcPr>
          <w:p w14:paraId="7F361E8C" w14:textId="2C956606" w:rsidR="005E47A4" w:rsidRPr="00226F9D" w:rsidRDefault="005E47A4" w:rsidP="00061BCE">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tcPr>
          <w:p w14:paraId="5A3EE375" w14:textId="005BD260"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w:t>
            </w:r>
            <w:r w:rsidRPr="00226F9D">
              <w:rPr>
                <w:rFonts w:ascii="Times New Roman" w:eastAsia="Times New Roman" w:hAnsi="Times New Roman" w:cs="Times New Roman"/>
                <w:color w:val="000000"/>
                <w:kern w:val="0"/>
                <w:sz w:val="16"/>
                <w:szCs w:val="16"/>
                <w:lang w:val="sr-Cyrl-RS" w:eastAsia="en-GB"/>
                <w14:ligatures w14:val="none"/>
              </w:rPr>
              <w:t xml:space="preserve">8 - </w:t>
            </w:r>
            <w:r w:rsidRPr="00226F9D">
              <w:rPr>
                <w:rFonts w:ascii="Times New Roman" w:eastAsia="Times New Roman" w:hAnsi="Times New Roman" w:cs="Times New Roman"/>
                <w:color w:val="000000"/>
                <w:kern w:val="0"/>
                <w:sz w:val="16"/>
                <w:szCs w:val="16"/>
                <w:lang w:eastAsia="en-GB"/>
                <w14:ligatures w14:val="none"/>
              </w:rPr>
              <w:t>IV квартал 2030</w:t>
            </w:r>
          </w:p>
        </w:tc>
        <w:tc>
          <w:tcPr>
            <w:tcW w:w="2127" w:type="dxa"/>
          </w:tcPr>
          <w:p w14:paraId="39A8F06C" w14:textId="5DA25AA8" w:rsidR="005E47A4" w:rsidRPr="00226F9D" w:rsidRDefault="005E47A4" w:rsidP="005E47A4">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w:t>
            </w:r>
            <w:r w:rsidRPr="00226F9D">
              <w:rPr>
                <w:rFonts w:ascii="Times New Roman" w:eastAsia="Times New Roman" w:hAnsi="Times New Roman" w:cs="Times New Roman"/>
                <w:kern w:val="0"/>
                <w:sz w:val="16"/>
                <w:szCs w:val="16"/>
                <w:lang w:val="sr-Cyrl-RS" w:eastAsia="en-GB"/>
                <w14:ligatures w14:val="none"/>
              </w:rPr>
              <w:t>СЕКО-РЕЛОФ4</w:t>
            </w:r>
            <w:r w:rsidRPr="00226F9D">
              <w:rPr>
                <w:rFonts w:ascii="Times New Roman" w:eastAsia="Times New Roman" w:hAnsi="Times New Roman" w:cs="Times New Roman"/>
                <w:kern w:val="0"/>
                <w:sz w:val="16"/>
                <w:szCs w:val="16"/>
                <w:lang w:eastAsia="en-GB"/>
                <w14:ligatures w14:val="none"/>
              </w:rPr>
              <w:t>)</w:t>
            </w:r>
          </w:p>
        </w:tc>
        <w:tc>
          <w:tcPr>
            <w:tcW w:w="1275" w:type="dxa"/>
          </w:tcPr>
          <w:p w14:paraId="211C2ECF"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51" w:type="dxa"/>
            <w:noWrap/>
          </w:tcPr>
          <w:p w14:paraId="513C914B"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50" w:type="dxa"/>
            <w:shd w:val="clear" w:color="auto" w:fill="FFFFFF" w:themeFill="background1"/>
          </w:tcPr>
          <w:p w14:paraId="1B9EB8C6" w14:textId="1BAF8AB6"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val="sr-Latn-RS" w:eastAsia="en-GB"/>
                <w14:ligatures w14:val="none"/>
              </w:rPr>
            </w:pPr>
          </w:p>
        </w:tc>
        <w:tc>
          <w:tcPr>
            <w:tcW w:w="851" w:type="dxa"/>
            <w:shd w:val="clear" w:color="auto" w:fill="FFFFFF" w:themeFill="background1"/>
          </w:tcPr>
          <w:p w14:paraId="33234531" w14:textId="050CFC66"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val="sr-Cyrl-RS" w:eastAsia="en-GB"/>
              </w:rPr>
              <w:t>4.000</w:t>
            </w:r>
            <w:r w:rsidR="0748F313" w:rsidRPr="00226F9D">
              <w:rPr>
                <w:rFonts w:ascii="Times New Roman" w:eastAsia="Times New Roman" w:hAnsi="Times New Roman" w:cs="Times New Roman"/>
                <w:color w:val="000000" w:themeColor="text1"/>
                <w:sz w:val="16"/>
                <w:szCs w:val="16"/>
                <w:lang w:val="sr-Cyrl-RS" w:eastAsia="en-GB"/>
              </w:rPr>
              <w:t>*</w:t>
            </w:r>
          </w:p>
        </w:tc>
        <w:tc>
          <w:tcPr>
            <w:tcW w:w="863" w:type="dxa"/>
            <w:shd w:val="clear" w:color="auto" w:fill="FFFFFF" w:themeFill="background1"/>
          </w:tcPr>
          <w:p w14:paraId="6B224AA8" w14:textId="22FFF4F2"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val="sr-Cyrl-RS" w:eastAsia="en-GB"/>
              </w:rPr>
              <w:t>4.000</w:t>
            </w:r>
            <w:r w:rsidR="4B595625" w:rsidRPr="00226F9D">
              <w:rPr>
                <w:rFonts w:ascii="Times New Roman" w:eastAsia="Times New Roman" w:hAnsi="Times New Roman" w:cs="Times New Roman"/>
                <w:color w:val="000000" w:themeColor="text1"/>
                <w:sz w:val="16"/>
                <w:szCs w:val="16"/>
                <w:lang w:val="sr-Cyrl-RS" w:eastAsia="en-GB"/>
              </w:rPr>
              <w:t>*</w:t>
            </w:r>
          </w:p>
        </w:tc>
        <w:tc>
          <w:tcPr>
            <w:tcW w:w="956" w:type="dxa"/>
            <w:shd w:val="clear" w:color="auto" w:fill="FFFFFF" w:themeFill="background1"/>
          </w:tcPr>
          <w:p w14:paraId="1D96F16A" w14:textId="095F00FA"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val="sr-Cyrl-RS" w:eastAsia="en-GB"/>
              </w:rPr>
              <w:t>4.000</w:t>
            </w:r>
            <w:r w:rsidR="3F749ACD" w:rsidRPr="00226F9D">
              <w:rPr>
                <w:rFonts w:ascii="Times New Roman" w:eastAsia="Times New Roman" w:hAnsi="Times New Roman" w:cs="Times New Roman"/>
                <w:color w:val="000000" w:themeColor="text1"/>
                <w:sz w:val="16"/>
                <w:szCs w:val="16"/>
                <w:lang w:val="sr-Cyrl-RS" w:eastAsia="en-GB"/>
              </w:rPr>
              <w:t>*</w:t>
            </w:r>
          </w:p>
        </w:tc>
      </w:tr>
      <w:tr w:rsidR="005E47A4" w:rsidRPr="00226F9D" w14:paraId="07FB28BE" w14:textId="77777777" w:rsidTr="70A5C696">
        <w:trPr>
          <w:trHeight w:val="1184"/>
        </w:trPr>
        <w:tc>
          <w:tcPr>
            <w:tcW w:w="2263" w:type="dxa"/>
          </w:tcPr>
          <w:p w14:paraId="1035E234" w14:textId="1F570016" w:rsidR="005E47A4" w:rsidRPr="00226F9D" w:rsidRDefault="005E47A4" w:rsidP="005E47A4">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lastRenderedPageBreak/>
              <w:t> </w:t>
            </w:r>
            <w:r w:rsidRPr="00226F9D">
              <w:rPr>
                <w:rFonts w:ascii="Times New Roman" w:eastAsia="Times New Roman" w:hAnsi="Times New Roman" w:cs="Times New Roman"/>
                <w:color w:val="000000"/>
                <w:kern w:val="0"/>
                <w:sz w:val="16"/>
                <w:szCs w:val="16"/>
                <w:lang w:val="sr-Cyrl-RS" w:eastAsia="en-GB"/>
                <w14:ligatures w14:val="none"/>
              </w:rPr>
              <w:t xml:space="preserve">1.3.7 </w:t>
            </w:r>
            <w:r w:rsidRPr="00226F9D">
              <w:rPr>
                <w:rFonts w:ascii="Times New Roman" w:hAnsi="Times New Roman" w:cs="Times New Roman"/>
                <w:color w:val="000000"/>
                <w:sz w:val="16"/>
                <w:szCs w:val="16"/>
              </w:rPr>
              <w:t>Израда алата подршке ЈЛС за увођење система управљања учинком и извештавање о спровођењу плана учинка</w:t>
            </w:r>
            <w:r w:rsidRPr="00226F9D">
              <w:rPr>
                <w:rFonts w:ascii="Times New Roman" w:hAnsi="Times New Roman" w:cs="Times New Roman"/>
                <w:color w:val="000000"/>
                <w:sz w:val="16"/>
                <w:szCs w:val="16"/>
                <w:lang w:val="sr-Cyrl-RS"/>
              </w:rPr>
              <w:t xml:space="preserve"> уз менторинг подршку за коришћење алата</w:t>
            </w:r>
          </w:p>
        </w:tc>
        <w:tc>
          <w:tcPr>
            <w:tcW w:w="1560" w:type="dxa"/>
          </w:tcPr>
          <w:p w14:paraId="7E33906C" w14:textId="794855FF"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tcPr>
          <w:p w14:paraId="1B386D88" w14:textId="270B84B6"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2693" w:type="dxa"/>
            <w:gridSpan w:val="2"/>
          </w:tcPr>
          <w:p w14:paraId="5ECEBC44" w14:textId="2196CD72"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III </w:t>
            </w:r>
            <w:r w:rsidRPr="00226F9D">
              <w:rPr>
                <w:rFonts w:ascii="Times New Roman" w:eastAsia="Times New Roman" w:hAnsi="Times New Roman" w:cs="Times New Roman"/>
                <w:color w:val="000000"/>
                <w:kern w:val="0"/>
                <w:sz w:val="16"/>
                <w:szCs w:val="16"/>
                <w:lang w:val="sr-Cyrl-RS" w:eastAsia="en-GB"/>
                <w14:ligatures w14:val="none"/>
              </w:rPr>
              <w:t xml:space="preserve">квартал 2027 - </w:t>
            </w:r>
            <w:r w:rsidRPr="00226F9D">
              <w:rPr>
                <w:rFonts w:ascii="Times New Roman" w:eastAsia="Times New Roman" w:hAnsi="Times New Roman" w:cs="Times New Roman"/>
                <w:color w:val="000000"/>
                <w:kern w:val="0"/>
                <w:sz w:val="16"/>
                <w:szCs w:val="16"/>
                <w:lang w:eastAsia="en-GB"/>
                <w14:ligatures w14:val="none"/>
              </w:rPr>
              <w:t xml:space="preserve">IV </w:t>
            </w:r>
            <w:r w:rsidRPr="00226F9D">
              <w:rPr>
                <w:rFonts w:ascii="Times New Roman" w:eastAsia="Times New Roman" w:hAnsi="Times New Roman" w:cs="Times New Roman"/>
                <w:color w:val="000000"/>
                <w:kern w:val="0"/>
                <w:sz w:val="16"/>
                <w:szCs w:val="16"/>
                <w:lang w:val="sr-Cyrl-RS" w:eastAsia="en-GB"/>
                <w14:ligatures w14:val="none"/>
              </w:rPr>
              <w:t>квартал 2028</w:t>
            </w:r>
          </w:p>
        </w:tc>
        <w:tc>
          <w:tcPr>
            <w:tcW w:w="2127" w:type="dxa"/>
          </w:tcPr>
          <w:p w14:paraId="3C196FF2" w14:textId="3AED964F" w:rsidR="005E47A4" w:rsidRPr="00226F9D" w:rsidRDefault="005E47A4" w:rsidP="00672628">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w:t>
            </w:r>
            <w:r w:rsidRPr="00226F9D">
              <w:rPr>
                <w:rFonts w:ascii="Times New Roman" w:eastAsia="Times New Roman" w:hAnsi="Times New Roman" w:cs="Times New Roman"/>
                <w:kern w:val="0"/>
                <w:sz w:val="16"/>
                <w:szCs w:val="16"/>
                <w:lang w:val="sr-Cyrl-RS" w:eastAsia="en-GB"/>
                <w14:ligatures w14:val="none"/>
              </w:rPr>
              <w:t>ЕКО-РЕЛОФ4</w:t>
            </w:r>
            <w:r w:rsidRPr="00226F9D">
              <w:rPr>
                <w:rFonts w:ascii="Times New Roman" w:eastAsia="Times New Roman" w:hAnsi="Times New Roman" w:cs="Times New Roman"/>
                <w:kern w:val="0"/>
                <w:sz w:val="16"/>
                <w:szCs w:val="16"/>
                <w:lang w:eastAsia="en-GB"/>
                <w14:ligatures w14:val="none"/>
              </w:rPr>
              <w:t>)</w:t>
            </w:r>
          </w:p>
        </w:tc>
        <w:tc>
          <w:tcPr>
            <w:tcW w:w="1275" w:type="dxa"/>
          </w:tcPr>
          <w:p w14:paraId="36E85854"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51" w:type="dxa"/>
            <w:noWrap/>
          </w:tcPr>
          <w:p w14:paraId="0A9157F3"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50" w:type="dxa"/>
            <w:shd w:val="clear" w:color="auto" w:fill="FFFFFF" w:themeFill="background1"/>
          </w:tcPr>
          <w:p w14:paraId="04E7B90F" w14:textId="521C597C"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val="sr-Cyrl-RS" w:eastAsia="en-GB"/>
              </w:rPr>
              <w:t>2</w:t>
            </w:r>
            <w:r w:rsidR="11B6F203" w:rsidRPr="00226F9D">
              <w:rPr>
                <w:rFonts w:ascii="Times New Roman" w:eastAsia="Times New Roman" w:hAnsi="Times New Roman" w:cs="Times New Roman"/>
                <w:color w:val="000000" w:themeColor="text1"/>
                <w:sz w:val="16"/>
                <w:szCs w:val="16"/>
                <w:lang w:val="sr-Cyrl-RS" w:eastAsia="en-GB"/>
              </w:rPr>
              <w:t>.</w:t>
            </w:r>
            <w:r w:rsidRPr="00226F9D">
              <w:rPr>
                <w:rFonts w:ascii="Times New Roman" w:eastAsia="Times New Roman" w:hAnsi="Times New Roman" w:cs="Times New Roman"/>
                <w:color w:val="000000" w:themeColor="text1"/>
                <w:sz w:val="16"/>
                <w:szCs w:val="16"/>
                <w:lang w:val="sr-Cyrl-RS" w:eastAsia="en-GB"/>
              </w:rPr>
              <w:t>000</w:t>
            </w:r>
            <w:r w:rsidR="6B4579DF" w:rsidRPr="00226F9D">
              <w:rPr>
                <w:rFonts w:ascii="Times New Roman" w:eastAsia="Times New Roman" w:hAnsi="Times New Roman" w:cs="Times New Roman"/>
                <w:color w:val="000000" w:themeColor="text1"/>
                <w:sz w:val="16"/>
                <w:szCs w:val="16"/>
                <w:lang w:val="sr-Cyrl-RS" w:eastAsia="en-GB"/>
              </w:rPr>
              <w:t>*</w:t>
            </w:r>
          </w:p>
        </w:tc>
        <w:tc>
          <w:tcPr>
            <w:tcW w:w="851" w:type="dxa"/>
            <w:shd w:val="clear" w:color="auto" w:fill="FFFFFF" w:themeFill="background1"/>
          </w:tcPr>
          <w:p w14:paraId="48B31545" w14:textId="3CACE970"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val="sr-Cyrl-RS" w:eastAsia="en-GB"/>
              </w:rPr>
              <w:t>4</w:t>
            </w:r>
            <w:r w:rsidR="189CCB12" w:rsidRPr="00226F9D">
              <w:rPr>
                <w:rFonts w:ascii="Times New Roman" w:eastAsia="Times New Roman" w:hAnsi="Times New Roman" w:cs="Times New Roman"/>
                <w:color w:val="000000" w:themeColor="text1"/>
                <w:sz w:val="16"/>
                <w:szCs w:val="16"/>
                <w:lang w:val="sr-Cyrl-RS" w:eastAsia="en-GB"/>
              </w:rPr>
              <w:t>.</w:t>
            </w:r>
            <w:r w:rsidRPr="00226F9D">
              <w:rPr>
                <w:rFonts w:ascii="Times New Roman" w:eastAsia="Times New Roman" w:hAnsi="Times New Roman" w:cs="Times New Roman"/>
                <w:color w:val="000000" w:themeColor="text1"/>
                <w:sz w:val="16"/>
                <w:szCs w:val="16"/>
                <w:lang w:val="sr-Cyrl-RS" w:eastAsia="en-GB"/>
              </w:rPr>
              <w:t>000</w:t>
            </w:r>
            <w:r w:rsidR="25D6014C" w:rsidRPr="00226F9D">
              <w:rPr>
                <w:rFonts w:ascii="Times New Roman" w:eastAsia="Times New Roman" w:hAnsi="Times New Roman" w:cs="Times New Roman"/>
                <w:color w:val="000000" w:themeColor="text1"/>
                <w:sz w:val="16"/>
                <w:szCs w:val="16"/>
                <w:lang w:val="sr-Cyrl-RS" w:eastAsia="en-GB"/>
              </w:rPr>
              <w:t>*</w:t>
            </w:r>
          </w:p>
        </w:tc>
        <w:tc>
          <w:tcPr>
            <w:tcW w:w="863" w:type="dxa"/>
            <w:shd w:val="clear" w:color="auto" w:fill="FFFFFF" w:themeFill="background1"/>
          </w:tcPr>
          <w:p w14:paraId="1943C0F9"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56" w:type="dxa"/>
            <w:shd w:val="clear" w:color="auto" w:fill="FFFFFF" w:themeFill="background1"/>
          </w:tcPr>
          <w:p w14:paraId="574EE02E"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p>
        </w:tc>
      </w:tr>
      <w:tr w:rsidR="005E47A4" w:rsidRPr="00226F9D" w14:paraId="14D2150A" w14:textId="77777777" w:rsidTr="70A5C696">
        <w:trPr>
          <w:trHeight w:val="932"/>
        </w:trPr>
        <w:tc>
          <w:tcPr>
            <w:tcW w:w="2263" w:type="dxa"/>
            <w:hideMark/>
          </w:tcPr>
          <w:p w14:paraId="60511256" w14:textId="38691B72" w:rsidR="005E47A4" w:rsidRPr="00226F9D" w:rsidRDefault="005E47A4" w:rsidP="005E47A4">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1.3.</w:t>
            </w:r>
            <w:r w:rsidRPr="00226F9D">
              <w:rPr>
                <w:rFonts w:ascii="Times New Roman" w:eastAsia="Times New Roman" w:hAnsi="Times New Roman" w:cs="Times New Roman"/>
                <w:color w:val="000000"/>
                <w:kern w:val="0"/>
                <w:sz w:val="16"/>
                <w:szCs w:val="16"/>
                <w:lang w:val="sr-Cyrl-RS" w:eastAsia="en-GB"/>
                <w14:ligatures w14:val="none"/>
              </w:rPr>
              <w:t>8</w:t>
            </w:r>
            <w:r w:rsidRPr="00226F9D">
              <w:rPr>
                <w:rFonts w:ascii="Times New Roman" w:eastAsia="Times New Roman" w:hAnsi="Times New Roman" w:cs="Times New Roman"/>
                <w:color w:val="000000"/>
                <w:kern w:val="0"/>
                <w:sz w:val="16"/>
                <w:szCs w:val="16"/>
                <w:lang w:eastAsia="en-GB"/>
                <w14:ligatures w14:val="none"/>
              </w:rPr>
              <w:t xml:space="preserve">. Израда прве периодичне анализе вредновања учинка локалне самоуправе у области доброг управљања путем индексa доброг управљања СКГО (на узорку од 60 ЈЛС) </w:t>
            </w:r>
          </w:p>
        </w:tc>
        <w:tc>
          <w:tcPr>
            <w:tcW w:w="1560" w:type="dxa"/>
            <w:hideMark/>
          </w:tcPr>
          <w:p w14:paraId="21395A6A"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304E60F0"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hideMark/>
          </w:tcPr>
          <w:p w14:paraId="49E99527" w14:textId="77777777" w:rsidR="005E47A4" w:rsidRPr="00226F9D" w:rsidRDefault="005E47A4" w:rsidP="005E47A4">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 квартал 2028.- IV квартал 2028.</w:t>
            </w:r>
          </w:p>
        </w:tc>
        <w:tc>
          <w:tcPr>
            <w:tcW w:w="2127" w:type="dxa"/>
            <w:hideMark/>
          </w:tcPr>
          <w:p w14:paraId="210BDB54" w14:textId="77777777" w:rsidR="005E47A4" w:rsidRPr="00226F9D" w:rsidRDefault="005E47A4" w:rsidP="005E47A4">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hideMark/>
          </w:tcPr>
          <w:p w14:paraId="5EE9D70B"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4BEB9D4F"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28FEB126"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4DDEC34A"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3.600*</w:t>
            </w:r>
          </w:p>
        </w:tc>
        <w:tc>
          <w:tcPr>
            <w:tcW w:w="863" w:type="dxa"/>
            <w:shd w:val="clear" w:color="auto" w:fill="FFFFFF" w:themeFill="background1"/>
            <w:hideMark/>
          </w:tcPr>
          <w:p w14:paraId="75F6C878"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auto" w:fill="FFFFFF" w:themeFill="background1"/>
            <w:noWrap/>
            <w:hideMark/>
          </w:tcPr>
          <w:p w14:paraId="17759497"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5E47A4" w:rsidRPr="00226F9D" w14:paraId="19BE3516" w14:textId="77777777" w:rsidTr="70A5C696">
        <w:trPr>
          <w:trHeight w:val="1697"/>
        </w:trPr>
        <w:tc>
          <w:tcPr>
            <w:tcW w:w="2263" w:type="dxa"/>
            <w:hideMark/>
          </w:tcPr>
          <w:p w14:paraId="5A7DCC3D" w14:textId="334EA826" w:rsidR="005E47A4" w:rsidRPr="00226F9D" w:rsidRDefault="005E47A4" w:rsidP="005E47A4">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1.3.</w:t>
            </w:r>
            <w:r w:rsidRPr="00226F9D">
              <w:rPr>
                <w:rFonts w:ascii="Times New Roman" w:eastAsia="Times New Roman" w:hAnsi="Times New Roman" w:cs="Times New Roman"/>
                <w:color w:val="000000"/>
                <w:kern w:val="0"/>
                <w:sz w:val="16"/>
                <w:szCs w:val="16"/>
                <w:lang w:val="sr-Cyrl-RS" w:eastAsia="en-GB"/>
                <w14:ligatures w14:val="none"/>
              </w:rPr>
              <w:t>9</w:t>
            </w:r>
            <w:r w:rsidRPr="00226F9D">
              <w:rPr>
                <w:rFonts w:ascii="Times New Roman" w:eastAsia="Times New Roman" w:hAnsi="Times New Roman" w:cs="Times New Roman"/>
                <w:color w:val="000000"/>
                <w:kern w:val="0"/>
                <w:sz w:val="16"/>
                <w:szCs w:val="16"/>
                <w:lang w:eastAsia="en-GB"/>
                <w14:ligatures w14:val="none"/>
              </w:rPr>
              <w:t xml:space="preserve">. Израда друге периодичне анализе вредновања учинка локалне самоуправе у области доброг управљања путем индексa доброг управљања СКГО (на узорку од 60 ЈЛС) </w:t>
            </w:r>
          </w:p>
        </w:tc>
        <w:tc>
          <w:tcPr>
            <w:tcW w:w="1560" w:type="dxa"/>
            <w:hideMark/>
          </w:tcPr>
          <w:p w14:paraId="2711356D"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5A3B5456"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hideMark/>
          </w:tcPr>
          <w:p w14:paraId="311F5ADC" w14:textId="3B4D223A" w:rsidR="005E47A4" w:rsidRPr="00226F9D" w:rsidRDefault="005E47A4" w:rsidP="005E47A4">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 квартал 2030. - IV квартал 2030.</w:t>
            </w:r>
          </w:p>
        </w:tc>
        <w:tc>
          <w:tcPr>
            <w:tcW w:w="2127" w:type="dxa"/>
            <w:hideMark/>
          </w:tcPr>
          <w:p w14:paraId="1AED67D1" w14:textId="77777777" w:rsidR="005E47A4" w:rsidRPr="00226F9D" w:rsidRDefault="005E47A4" w:rsidP="005E47A4">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hideMark/>
          </w:tcPr>
          <w:p w14:paraId="20B471C1"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457CAEC3"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hideMark/>
          </w:tcPr>
          <w:p w14:paraId="5B494AC7"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25C68943"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4C8CA86E"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auto" w:fill="FFFFFF" w:themeFill="background1"/>
            <w:hideMark/>
          </w:tcPr>
          <w:p w14:paraId="4B265CAD" w14:textId="77777777" w:rsidR="005E47A4" w:rsidRPr="00226F9D" w:rsidRDefault="005E47A4" w:rsidP="005E47A4">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3.600*</w:t>
            </w:r>
          </w:p>
        </w:tc>
      </w:tr>
    </w:tbl>
    <w:p w14:paraId="01B38591" w14:textId="22D5789D" w:rsidR="00FB70CD" w:rsidRPr="00226F9D" w:rsidRDefault="00FB70CD" w:rsidP="005B0999">
      <w:pPr>
        <w:spacing w:after="0" w:line="240" w:lineRule="auto"/>
        <w:rPr>
          <w:rFonts w:ascii="Times New Roman" w:hAnsi="Times New Roman" w:cs="Times New Roman"/>
          <w:lang w:val="sr-Cyrl-RS"/>
        </w:rPr>
      </w:pPr>
    </w:p>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63"/>
        <w:gridCol w:w="1560"/>
        <w:gridCol w:w="1417"/>
        <w:gridCol w:w="2693"/>
        <w:gridCol w:w="2127"/>
        <w:gridCol w:w="1275"/>
        <w:gridCol w:w="851"/>
        <w:gridCol w:w="850"/>
        <w:gridCol w:w="851"/>
        <w:gridCol w:w="863"/>
        <w:gridCol w:w="956"/>
      </w:tblGrid>
      <w:tr w:rsidR="00FB70CD" w:rsidRPr="00226F9D" w14:paraId="492EF586" w14:textId="77777777" w:rsidTr="70A5C696">
        <w:trPr>
          <w:trHeight w:val="916"/>
        </w:trPr>
        <w:tc>
          <w:tcPr>
            <w:tcW w:w="2263" w:type="dxa"/>
            <w:vMerge w:val="restart"/>
            <w:shd w:val="clear" w:color="auto" w:fill="FFFFFF" w:themeFill="background1"/>
            <w:hideMark/>
          </w:tcPr>
          <w:p w14:paraId="5F17BF86" w14:textId="6B959B6F" w:rsidR="00FB70CD" w:rsidRPr="00226F9D" w:rsidRDefault="00FB70CD" w:rsidP="005B0999">
            <w:pPr>
              <w:spacing w:after="0" w:line="240" w:lineRule="auto"/>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1.3.</w:t>
            </w:r>
            <w:r w:rsidR="005E47A4" w:rsidRPr="00226F9D">
              <w:rPr>
                <w:rFonts w:ascii="Times New Roman" w:eastAsia="Times New Roman" w:hAnsi="Times New Roman" w:cs="Times New Roman"/>
                <w:kern w:val="0"/>
                <w:sz w:val="16"/>
                <w:szCs w:val="16"/>
                <w:lang w:val="sr-Cyrl-RS" w:eastAsia="en-GB"/>
                <w14:ligatures w14:val="none"/>
              </w:rPr>
              <w:t>10</w:t>
            </w:r>
            <w:r w:rsidRPr="00226F9D">
              <w:rPr>
                <w:rFonts w:ascii="Times New Roman" w:eastAsia="Times New Roman" w:hAnsi="Times New Roman" w:cs="Times New Roman"/>
                <w:kern w:val="0"/>
                <w:sz w:val="16"/>
                <w:szCs w:val="16"/>
                <w:lang w:val="sr-Cyrl-RS" w:eastAsia="en-GB"/>
                <w14:ligatures w14:val="none"/>
              </w:rPr>
              <w:t xml:space="preserve">. Јачање капацитета локалних функционера за примену Етичког кодекса функционера локалне самоуправе (е-обука) </w:t>
            </w:r>
          </w:p>
        </w:tc>
        <w:tc>
          <w:tcPr>
            <w:tcW w:w="1560" w:type="dxa"/>
            <w:vMerge w:val="restart"/>
            <w:hideMark/>
          </w:tcPr>
          <w:p w14:paraId="2D1B6C3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МДУЛС</w:t>
            </w:r>
          </w:p>
        </w:tc>
        <w:tc>
          <w:tcPr>
            <w:tcW w:w="1417" w:type="dxa"/>
            <w:vMerge w:val="restart"/>
            <w:hideMark/>
          </w:tcPr>
          <w:p w14:paraId="101295F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w:t>
            </w:r>
          </w:p>
        </w:tc>
        <w:tc>
          <w:tcPr>
            <w:tcW w:w="2693" w:type="dxa"/>
            <w:vMerge w:val="restart"/>
            <w:hideMark/>
          </w:tcPr>
          <w:p w14:paraId="340F78A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III квартал 2026. - IV квартал 2030.</w:t>
            </w:r>
          </w:p>
        </w:tc>
        <w:tc>
          <w:tcPr>
            <w:tcW w:w="2127" w:type="dxa"/>
            <w:shd w:val="clear" w:color="auto" w:fill="FFFFFF" w:themeFill="background1"/>
            <w:hideMark/>
          </w:tcPr>
          <w:p w14:paraId="50953FD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Подршка из донације (СДЦ-СКГО – Партнерство за добру локалну самоуправу)</w:t>
            </w:r>
          </w:p>
        </w:tc>
        <w:tc>
          <w:tcPr>
            <w:tcW w:w="1275" w:type="dxa"/>
            <w:shd w:val="clear" w:color="auto" w:fill="FFFFFF" w:themeFill="background1"/>
            <w:hideMark/>
          </w:tcPr>
          <w:p w14:paraId="08BE0CE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7E016A1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400</w:t>
            </w:r>
          </w:p>
        </w:tc>
        <w:tc>
          <w:tcPr>
            <w:tcW w:w="850" w:type="dxa"/>
            <w:hideMark/>
          </w:tcPr>
          <w:p w14:paraId="1750818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0684D05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303A307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436307C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1824A325" w14:textId="77777777" w:rsidTr="70A5C696">
        <w:trPr>
          <w:trHeight w:val="820"/>
        </w:trPr>
        <w:tc>
          <w:tcPr>
            <w:tcW w:w="2263" w:type="dxa"/>
            <w:vMerge/>
            <w:hideMark/>
          </w:tcPr>
          <w:p w14:paraId="298DFC68"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60" w:type="dxa"/>
            <w:vMerge/>
            <w:hideMark/>
          </w:tcPr>
          <w:p w14:paraId="4718FCBE"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17" w:type="dxa"/>
            <w:vMerge/>
            <w:hideMark/>
          </w:tcPr>
          <w:p w14:paraId="24A4F27F"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vMerge/>
            <w:hideMark/>
          </w:tcPr>
          <w:p w14:paraId="66F7B41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hideMark/>
          </w:tcPr>
          <w:p w14:paraId="47C410B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hideMark/>
          </w:tcPr>
          <w:p w14:paraId="47C3530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2B5596C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hideMark/>
          </w:tcPr>
          <w:p w14:paraId="0D870D1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110E044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400*</w:t>
            </w:r>
          </w:p>
        </w:tc>
        <w:tc>
          <w:tcPr>
            <w:tcW w:w="863" w:type="dxa"/>
            <w:shd w:val="clear" w:color="auto" w:fill="FFFFFF" w:themeFill="background1"/>
            <w:hideMark/>
          </w:tcPr>
          <w:p w14:paraId="61C7A26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auto" w:fill="FFFFFF" w:themeFill="background1"/>
            <w:hideMark/>
          </w:tcPr>
          <w:p w14:paraId="42AD947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400*</w:t>
            </w:r>
          </w:p>
        </w:tc>
      </w:tr>
      <w:tr w:rsidR="00FB70CD" w:rsidRPr="00226F9D" w14:paraId="228AFBC4" w14:textId="77777777" w:rsidTr="70A5C696">
        <w:trPr>
          <w:trHeight w:val="848"/>
        </w:trPr>
        <w:tc>
          <w:tcPr>
            <w:tcW w:w="2263" w:type="dxa"/>
            <w:vMerge w:val="restart"/>
            <w:hideMark/>
          </w:tcPr>
          <w:p w14:paraId="50939217" w14:textId="6578E529"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1.3.</w:t>
            </w:r>
            <w:r w:rsidR="005E47A4" w:rsidRPr="00226F9D">
              <w:rPr>
                <w:rFonts w:ascii="Times New Roman" w:eastAsia="Times New Roman" w:hAnsi="Times New Roman" w:cs="Times New Roman"/>
                <w:kern w:val="0"/>
                <w:sz w:val="16"/>
                <w:szCs w:val="16"/>
                <w:lang w:val="sr-Cyrl-RS" w:eastAsia="en-GB"/>
                <w14:ligatures w14:val="none"/>
              </w:rPr>
              <w:t>11</w:t>
            </w:r>
            <w:r w:rsidRPr="00226F9D">
              <w:rPr>
                <w:rFonts w:ascii="Times New Roman" w:eastAsia="Times New Roman" w:hAnsi="Times New Roman" w:cs="Times New Roman"/>
                <w:kern w:val="0"/>
                <w:sz w:val="16"/>
                <w:szCs w:val="16"/>
                <w:lang w:eastAsia="en-GB"/>
                <w14:ligatures w14:val="none"/>
              </w:rPr>
              <w:t xml:space="preserve">. Јачање капацитета локалних савета за праћење примене Етичког кодекса функционера локалне самоуправе (jедна обука сваке две године) </w:t>
            </w:r>
          </w:p>
        </w:tc>
        <w:tc>
          <w:tcPr>
            <w:tcW w:w="1560" w:type="dxa"/>
            <w:vMerge w:val="restart"/>
            <w:hideMark/>
          </w:tcPr>
          <w:p w14:paraId="4858596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МДУЛС</w:t>
            </w:r>
          </w:p>
        </w:tc>
        <w:tc>
          <w:tcPr>
            <w:tcW w:w="1417" w:type="dxa"/>
            <w:vMerge w:val="restart"/>
            <w:hideMark/>
          </w:tcPr>
          <w:p w14:paraId="006B284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w:t>
            </w:r>
          </w:p>
        </w:tc>
        <w:tc>
          <w:tcPr>
            <w:tcW w:w="2693" w:type="dxa"/>
            <w:hideMark/>
          </w:tcPr>
          <w:p w14:paraId="29F4ED6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IV квартал 2026.</w:t>
            </w:r>
          </w:p>
        </w:tc>
        <w:tc>
          <w:tcPr>
            <w:tcW w:w="2127" w:type="dxa"/>
            <w:shd w:val="clear" w:color="auto" w:fill="FFFFFF" w:themeFill="background1"/>
            <w:hideMark/>
          </w:tcPr>
          <w:p w14:paraId="3445734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Подршка из донације (СДЦ-СКГО – Партнерство за добру локалну самоуправу)</w:t>
            </w:r>
          </w:p>
        </w:tc>
        <w:tc>
          <w:tcPr>
            <w:tcW w:w="1275" w:type="dxa"/>
            <w:shd w:val="clear" w:color="auto" w:fill="FFFFFF" w:themeFill="background1"/>
            <w:hideMark/>
          </w:tcPr>
          <w:p w14:paraId="676503E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2952F26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700</w:t>
            </w:r>
          </w:p>
        </w:tc>
        <w:tc>
          <w:tcPr>
            <w:tcW w:w="850" w:type="dxa"/>
            <w:shd w:val="clear" w:color="auto" w:fill="FFFFFF" w:themeFill="background1"/>
            <w:hideMark/>
          </w:tcPr>
          <w:p w14:paraId="6E2AD80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7CAE404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shd w:val="clear" w:color="auto" w:fill="FFFFFF" w:themeFill="background1"/>
            <w:hideMark/>
          </w:tcPr>
          <w:p w14:paraId="43E41B5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auto" w:fill="FFFFFF" w:themeFill="background1"/>
            <w:hideMark/>
          </w:tcPr>
          <w:p w14:paraId="20F999B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05D182A5" w14:textId="77777777" w:rsidTr="70A5C696">
        <w:trPr>
          <w:trHeight w:val="752"/>
        </w:trPr>
        <w:tc>
          <w:tcPr>
            <w:tcW w:w="2263" w:type="dxa"/>
            <w:vMerge/>
            <w:hideMark/>
          </w:tcPr>
          <w:p w14:paraId="48E95276"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60" w:type="dxa"/>
            <w:vMerge/>
            <w:hideMark/>
          </w:tcPr>
          <w:p w14:paraId="3A0D64EA"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17" w:type="dxa"/>
            <w:vMerge/>
            <w:hideMark/>
          </w:tcPr>
          <w:p w14:paraId="2EE53C00"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hideMark/>
          </w:tcPr>
          <w:p w14:paraId="2B3BA16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2027. - IV квартал 2030.</w:t>
            </w:r>
          </w:p>
        </w:tc>
        <w:tc>
          <w:tcPr>
            <w:tcW w:w="2127" w:type="dxa"/>
            <w:hideMark/>
          </w:tcPr>
          <w:p w14:paraId="29AC626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hideMark/>
          </w:tcPr>
          <w:p w14:paraId="5548162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4985F4D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330E917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50EEF59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700*</w:t>
            </w:r>
          </w:p>
        </w:tc>
        <w:tc>
          <w:tcPr>
            <w:tcW w:w="863" w:type="dxa"/>
            <w:shd w:val="clear" w:color="auto" w:fill="FFFFFF" w:themeFill="background1"/>
            <w:hideMark/>
          </w:tcPr>
          <w:p w14:paraId="7A4FA12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auto" w:fill="FFFFFF" w:themeFill="background1"/>
            <w:hideMark/>
          </w:tcPr>
          <w:p w14:paraId="5BE5469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700*</w:t>
            </w:r>
          </w:p>
        </w:tc>
      </w:tr>
      <w:tr w:rsidR="00FB70CD" w:rsidRPr="00226F9D" w14:paraId="66475F96" w14:textId="77777777" w:rsidTr="70A5C696">
        <w:trPr>
          <w:trHeight w:val="474"/>
        </w:trPr>
        <w:tc>
          <w:tcPr>
            <w:tcW w:w="2263" w:type="dxa"/>
            <w:hideMark/>
          </w:tcPr>
          <w:p w14:paraId="518DB67A" w14:textId="69FC4F34"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1.3.</w:t>
            </w:r>
            <w:r w:rsidR="005E47A4" w:rsidRPr="00226F9D">
              <w:rPr>
                <w:rFonts w:ascii="Times New Roman" w:eastAsia="Times New Roman" w:hAnsi="Times New Roman" w:cs="Times New Roman"/>
                <w:color w:val="000000"/>
                <w:kern w:val="0"/>
                <w:sz w:val="16"/>
                <w:szCs w:val="16"/>
                <w:lang w:val="sr-Cyrl-RS" w:eastAsia="en-GB"/>
                <w14:ligatures w14:val="none"/>
              </w:rPr>
              <w:t>12</w:t>
            </w:r>
            <w:r w:rsidRPr="00226F9D">
              <w:rPr>
                <w:rFonts w:ascii="Times New Roman" w:eastAsia="Times New Roman" w:hAnsi="Times New Roman" w:cs="Times New Roman"/>
                <w:color w:val="000000"/>
                <w:kern w:val="0"/>
                <w:sz w:val="16"/>
                <w:szCs w:val="16"/>
                <w:lang w:eastAsia="en-GB"/>
                <w14:ligatures w14:val="none"/>
              </w:rPr>
              <w:t xml:space="preserve">. Подстицање квалитета омладинске политике на локалном нивоу кроз организовање јавног позива за добијање титуле Омладинске престонице Србије </w:t>
            </w:r>
          </w:p>
        </w:tc>
        <w:tc>
          <w:tcPr>
            <w:tcW w:w="1560" w:type="dxa"/>
            <w:noWrap/>
            <w:hideMark/>
          </w:tcPr>
          <w:p w14:paraId="449E4B8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МТО</w:t>
            </w:r>
          </w:p>
        </w:tc>
        <w:tc>
          <w:tcPr>
            <w:tcW w:w="1417" w:type="dxa"/>
            <w:noWrap/>
            <w:hideMark/>
          </w:tcPr>
          <w:p w14:paraId="07C522E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 НАКЗМ</w:t>
            </w:r>
          </w:p>
        </w:tc>
        <w:tc>
          <w:tcPr>
            <w:tcW w:w="2693" w:type="dxa"/>
            <w:hideMark/>
          </w:tcPr>
          <w:p w14:paraId="30D9117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 квартал 2026.- IV квартал 2027.</w:t>
            </w:r>
          </w:p>
        </w:tc>
        <w:tc>
          <w:tcPr>
            <w:tcW w:w="2127" w:type="dxa"/>
            <w:hideMark/>
          </w:tcPr>
          <w:p w14:paraId="127F233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w:t>
            </w:r>
          </w:p>
        </w:tc>
        <w:tc>
          <w:tcPr>
            <w:tcW w:w="1275" w:type="dxa"/>
            <w:hideMark/>
          </w:tcPr>
          <w:p w14:paraId="32770F42"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37-0004-463,484</w:t>
            </w:r>
          </w:p>
        </w:tc>
        <w:tc>
          <w:tcPr>
            <w:tcW w:w="851" w:type="dxa"/>
            <w:noWrap/>
            <w:hideMark/>
          </w:tcPr>
          <w:p w14:paraId="1C9130B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100.000</w:t>
            </w:r>
          </w:p>
        </w:tc>
        <w:tc>
          <w:tcPr>
            <w:tcW w:w="850" w:type="dxa"/>
            <w:noWrap/>
            <w:hideMark/>
          </w:tcPr>
          <w:p w14:paraId="0907B3B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100.000</w:t>
            </w:r>
          </w:p>
        </w:tc>
        <w:tc>
          <w:tcPr>
            <w:tcW w:w="851" w:type="dxa"/>
            <w:hideMark/>
          </w:tcPr>
          <w:p w14:paraId="0786C41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3" w:type="dxa"/>
            <w:hideMark/>
          </w:tcPr>
          <w:p w14:paraId="581D277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hideMark/>
          </w:tcPr>
          <w:p w14:paraId="718068F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FE36B81" w14:textId="77777777" w:rsidTr="00DE3075">
        <w:trPr>
          <w:trHeight w:val="1539"/>
        </w:trPr>
        <w:tc>
          <w:tcPr>
            <w:tcW w:w="2263" w:type="dxa"/>
            <w:shd w:val="clear" w:color="auto" w:fill="FFFFFF" w:themeFill="background1"/>
            <w:hideMark/>
          </w:tcPr>
          <w:p w14:paraId="6A833CBB" w14:textId="6B1E587A" w:rsidR="00FB70CD" w:rsidRPr="00226F9D" w:rsidRDefault="0BCC0FBE" w:rsidP="005B0999">
            <w:pPr>
              <w:spacing w:after="0" w:line="240" w:lineRule="auto"/>
              <w:rPr>
                <w:rFonts w:ascii="Times New Roman" w:eastAsia="Times New Roman" w:hAnsi="Times New Roman" w:cs="Times New Roman"/>
                <w:color w:val="000000" w:themeColor="text1"/>
                <w:sz w:val="16"/>
                <w:szCs w:val="16"/>
                <w:lang w:val="sr-Cyrl-RS" w:eastAsia="en-GB"/>
              </w:rPr>
            </w:pPr>
            <w:r w:rsidRPr="00226F9D">
              <w:rPr>
                <w:rFonts w:ascii="Times New Roman" w:eastAsia="Arial" w:hAnsi="Times New Roman" w:cs="Times New Roman"/>
                <w:color w:val="000000" w:themeColor="text1"/>
                <w:sz w:val="16"/>
                <w:szCs w:val="16"/>
              </w:rPr>
              <w:lastRenderedPageBreak/>
              <w:t>1.3.</w:t>
            </w:r>
            <w:r w:rsidR="004A0A5C" w:rsidRPr="00226F9D">
              <w:rPr>
                <w:rFonts w:ascii="Times New Roman" w:eastAsia="Arial" w:hAnsi="Times New Roman" w:cs="Times New Roman"/>
                <w:color w:val="000000" w:themeColor="text1"/>
                <w:sz w:val="16"/>
                <w:szCs w:val="16"/>
              </w:rPr>
              <w:t>1</w:t>
            </w:r>
            <w:r w:rsidR="004A0A5C" w:rsidRPr="00226F9D">
              <w:rPr>
                <w:rFonts w:ascii="Times New Roman" w:eastAsia="Arial" w:hAnsi="Times New Roman" w:cs="Times New Roman"/>
                <w:color w:val="000000" w:themeColor="text1"/>
                <w:sz w:val="16"/>
                <w:szCs w:val="16"/>
                <w:lang w:val="sr-Latn-RS"/>
              </w:rPr>
              <w:t>3</w:t>
            </w:r>
            <w:r w:rsidR="004A0A5C" w:rsidRPr="00226F9D">
              <w:rPr>
                <w:rFonts w:ascii="Times New Roman" w:eastAsia="Arial" w:hAnsi="Times New Roman" w:cs="Times New Roman"/>
                <w:color w:val="000000" w:themeColor="text1"/>
                <w:sz w:val="16"/>
                <w:szCs w:val="16"/>
              </w:rPr>
              <w:t>.</w:t>
            </w:r>
            <w:r w:rsidR="004A0A5C" w:rsidRPr="00226F9D">
              <w:rPr>
                <w:rFonts w:ascii="Times New Roman" w:eastAsia="Arial" w:hAnsi="Times New Roman" w:cs="Times New Roman"/>
                <w:color w:val="000000" w:themeColor="text1"/>
                <w:sz w:val="16"/>
                <w:szCs w:val="16"/>
                <w:lang w:val="sr-Cyrl-RS"/>
              </w:rPr>
              <w:t xml:space="preserve"> Повећање</w:t>
            </w:r>
            <w:r w:rsidRPr="00226F9D">
              <w:rPr>
                <w:rFonts w:ascii="Times New Roman" w:eastAsia="Arial" w:hAnsi="Times New Roman" w:cs="Times New Roman"/>
                <w:color w:val="000000" w:themeColor="text1"/>
                <w:sz w:val="16"/>
                <w:szCs w:val="16"/>
                <w:lang w:val="sr-Cyrl-RS"/>
              </w:rPr>
              <w:t xml:space="preserve"> партиципативности грађана у</w:t>
            </w:r>
            <w:r w:rsidRPr="00226F9D">
              <w:rPr>
                <w:rFonts w:ascii="Times New Roman" w:eastAsia="Arial" w:hAnsi="Times New Roman" w:cs="Times New Roman"/>
                <w:color w:val="000000" w:themeColor="text1"/>
                <w:sz w:val="16"/>
                <w:szCs w:val="16"/>
              </w:rPr>
              <w:t xml:space="preserve"> ЈЛС </w:t>
            </w:r>
            <w:r w:rsidRPr="00226F9D">
              <w:rPr>
                <w:rFonts w:ascii="Times New Roman" w:eastAsia="Arial" w:hAnsi="Times New Roman" w:cs="Times New Roman"/>
                <w:color w:val="000000" w:themeColor="text1"/>
                <w:sz w:val="16"/>
                <w:szCs w:val="16"/>
                <w:lang w:val="sr-Cyrl-RS"/>
              </w:rPr>
              <w:t xml:space="preserve">кроз </w:t>
            </w:r>
            <w:r w:rsidRPr="00226F9D">
              <w:rPr>
                <w:rFonts w:ascii="Times New Roman" w:eastAsia="Arial" w:hAnsi="Times New Roman" w:cs="Times New Roman"/>
                <w:color w:val="000000" w:themeColor="text1"/>
                <w:sz w:val="16"/>
                <w:szCs w:val="16"/>
              </w:rPr>
              <w:t>организациј</w:t>
            </w:r>
            <w:r w:rsidRPr="00226F9D">
              <w:rPr>
                <w:rFonts w:ascii="Times New Roman" w:eastAsia="Arial" w:hAnsi="Times New Roman" w:cs="Times New Roman"/>
                <w:color w:val="000000" w:themeColor="text1"/>
                <w:sz w:val="16"/>
                <w:szCs w:val="16"/>
                <w:lang w:val="sr-Cyrl-RS"/>
              </w:rPr>
              <w:t>у</w:t>
            </w:r>
            <w:r w:rsidRPr="00226F9D">
              <w:rPr>
                <w:rFonts w:ascii="Times New Roman" w:eastAsia="Arial" w:hAnsi="Times New Roman" w:cs="Times New Roman"/>
                <w:color w:val="000000" w:themeColor="text1"/>
                <w:sz w:val="16"/>
                <w:szCs w:val="16"/>
              </w:rPr>
              <w:t xml:space="preserve"> и реализац</w:t>
            </w:r>
            <w:r w:rsidRPr="00226F9D">
              <w:rPr>
                <w:rFonts w:ascii="Times New Roman" w:eastAsia="Arial" w:hAnsi="Times New Roman" w:cs="Times New Roman"/>
                <w:color w:val="000000" w:themeColor="text1"/>
                <w:sz w:val="16"/>
                <w:szCs w:val="16"/>
                <w:lang w:val="sr-Cyrl-RS"/>
              </w:rPr>
              <w:t xml:space="preserve">у </w:t>
            </w:r>
            <w:r w:rsidRPr="00226F9D">
              <w:rPr>
                <w:rFonts w:ascii="Times New Roman" w:eastAsia="Arial" w:hAnsi="Times New Roman" w:cs="Times New Roman"/>
                <w:color w:val="000000" w:themeColor="text1"/>
                <w:sz w:val="16"/>
                <w:szCs w:val="16"/>
              </w:rPr>
              <w:t>„хибридних“ јавних дебата и/или састанака</w:t>
            </w:r>
          </w:p>
        </w:tc>
        <w:tc>
          <w:tcPr>
            <w:tcW w:w="1560" w:type="dxa"/>
            <w:shd w:val="clear" w:color="auto" w:fill="FFFFFF" w:themeFill="background1"/>
            <w:noWrap/>
            <w:hideMark/>
          </w:tcPr>
          <w:p w14:paraId="47BDB15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auto" w:fill="FFFFFF" w:themeFill="background1"/>
            <w:noWrap/>
            <w:hideMark/>
          </w:tcPr>
          <w:p w14:paraId="5348530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ЈЛС, РСЈП, СКГО</w:t>
            </w:r>
          </w:p>
        </w:tc>
        <w:tc>
          <w:tcPr>
            <w:tcW w:w="2693" w:type="dxa"/>
            <w:shd w:val="clear" w:color="auto" w:fill="FFFFFF" w:themeFill="background1"/>
            <w:hideMark/>
          </w:tcPr>
          <w:p w14:paraId="18A6353F" w14:textId="6472B1E4" w:rsidR="00FB70CD" w:rsidRPr="00226F9D" w:rsidRDefault="00FB70CD" w:rsidP="005860A2">
            <w:pPr>
              <w:spacing w:after="0" w:line="240" w:lineRule="auto"/>
              <w:jc w:val="center"/>
              <w:rPr>
                <w:rFonts w:ascii="Times New Roman" w:eastAsia="Times New Roman" w:hAnsi="Times New Roman" w:cs="Times New Roman"/>
                <w:sz w:val="16"/>
                <w:szCs w:val="16"/>
                <w:lang w:eastAsia="en-GB"/>
              </w:rPr>
            </w:pPr>
            <w:r w:rsidRPr="00226F9D">
              <w:rPr>
                <w:rFonts w:ascii="Times New Roman" w:eastAsia="Times New Roman" w:hAnsi="Times New Roman" w:cs="Times New Roman"/>
                <w:kern w:val="0"/>
                <w:sz w:val="16"/>
                <w:szCs w:val="16"/>
                <w:lang w:eastAsia="en-GB"/>
                <w14:ligatures w14:val="none"/>
              </w:rPr>
              <w:t xml:space="preserve"> </w:t>
            </w:r>
            <w:r w:rsidR="46B0EFD6" w:rsidRPr="00226F9D">
              <w:rPr>
                <w:rFonts w:ascii="Times New Roman" w:eastAsia="Arial" w:hAnsi="Times New Roman" w:cs="Times New Roman"/>
                <w:sz w:val="16"/>
                <w:szCs w:val="16"/>
              </w:rPr>
              <w:t>III квартал 202</w:t>
            </w:r>
            <w:r w:rsidR="46B0EFD6" w:rsidRPr="00226F9D">
              <w:rPr>
                <w:rFonts w:ascii="Times New Roman" w:eastAsia="Arial" w:hAnsi="Times New Roman" w:cs="Times New Roman"/>
                <w:sz w:val="16"/>
                <w:szCs w:val="16"/>
                <w:lang w:val="sr-Cyrl-RS"/>
              </w:rPr>
              <w:t>7</w:t>
            </w:r>
            <w:r w:rsidR="46B0EFD6" w:rsidRPr="00226F9D">
              <w:rPr>
                <w:rFonts w:ascii="Times New Roman" w:eastAsia="Arial" w:hAnsi="Times New Roman" w:cs="Times New Roman"/>
                <w:sz w:val="16"/>
                <w:szCs w:val="16"/>
              </w:rPr>
              <w:t>. - IV квартал 20</w:t>
            </w:r>
            <w:r w:rsidR="46B0EFD6" w:rsidRPr="00226F9D">
              <w:rPr>
                <w:rFonts w:ascii="Times New Roman" w:eastAsia="Arial" w:hAnsi="Times New Roman" w:cs="Times New Roman"/>
                <w:sz w:val="16"/>
                <w:szCs w:val="16"/>
                <w:lang w:val="sr-Cyrl-RS"/>
              </w:rPr>
              <w:t>29</w:t>
            </w:r>
            <w:r w:rsidR="00EE2139" w:rsidRPr="00226F9D">
              <w:rPr>
                <w:rFonts w:ascii="Times New Roman" w:eastAsia="Arial" w:hAnsi="Times New Roman" w:cs="Times New Roman"/>
                <w:sz w:val="16"/>
                <w:szCs w:val="16"/>
                <w:lang w:val="sr-Cyrl-RS"/>
              </w:rPr>
              <w:t>.</w:t>
            </w:r>
          </w:p>
        </w:tc>
        <w:tc>
          <w:tcPr>
            <w:tcW w:w="2127" w:type="dxa"/>
            <w:shd w:val="clear" w:color="auto" w:fill="FFFFFF" w:themeFill="background1"/>
            <w:hideMark/>
          </w:tcPr>
          <w:p w14:paraId="79331C46" w14:textId="1F1F62C1" w:rsidR="00FB70CD" w:rsidRPr="00226F9D" w:rsidRDefault="2EE75C2B" w:rsidP="70A5C696">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sz w:val="16"/>
                <w:szCs w:val="16"/>
                <w:lang w:eastAsia="en-GB"/>
              </w:rPr>
              <w:t>Донаторска подршка* - средства нису обезбеђена</w:t>
            </w:r>
          </w:p>
          <w:p w14:paraId="3B557579" w14:textId="21D4155A"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1275" w:type="dxa"/>
            <w:shd w:val="clear" w:color="auto" w:fill="FFFFFF" w:themeFill="background1"/>
            <w:hideMark/>
          </w:tcPr>
          <w:p w14:paraId="588876A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shd w:val="clear" w:color="auto" w:fill="FFFFFF" w:themeFill="background1"/>
            <w:noWrap/>
            <w:hideMark/>
          </w:tcPr>
          <w:p w14:paraId="063CBA6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auto" w:fill="FFFFFF" w:themeFill="background1"/>
            <w:noWrap/>
            <w:hideMark/>
          </w:tcPr>
          <w:p w14:paraId="62C73A02" w14:textId="28254E28"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r w:rsidR="147CF24F" w:rsidRPr="00226F9D">
              <w:rPr>
                <w:rFonts w:ascii="Times New Roman" w:eastAsia="Times New Roman" w:hAnsi="Times New Roman" w:cs="Times New Roman"/>
                <w:sz w:val="16"/>
                <w:szCs w:val="16"/>
                <w:lang w:eastAsia="en-GB"/>
              </w:rPr>
              <w:t>1</w:t>
            </w:r>
            <w:r w:rsidR="5D2DB0CD" w:rsidRPr="00226F9D">
              <w:rPr>
                <w:rFonts w:ascii="Times New Roman" w:eastAsia="Times New Roman" w:hAnsi="Times New Roman" w:cs="Times New Roman"/>
                <w:sz w:val="16"/>
                <w:szCs w:val="16"/>
                <w:lang w:eastAsia="en-GB"/>
              </w:rPr>
              <w:t>.</w:t>
            </w:r>
            <w:r w:rsidR="147CF24F" w:rsidRPr="00226F9D">
              <w:rPr>
                <w:rFonts w:ascii="Times New Roman" w:eastAsia="Times New Roman" w:hAnsi="Times New Roman" w:cs="Times New Roman"/>
                <w:sz w:val="16"/>
                <w:szCs w:val="16"/>
                <w:lang w:eastAsia="en-GB"/>
              </w:rPr>
              <w:t>112</w:t>
            </w:r>
            <w:r w:rsidR="0BAF1197" w:rsidRPr="00226F9D">
              <w:rPr>
                <w:rFonts w:ascii="Times New Roman" w:eastAsia="Times New Roman" w:hAnsi="Times New Roman" w:cs="Times New Roman"/>
                <w:sz w:val="16"/>
                <w:szCs w:val="16"/>
                <w:lang w:eastAsia="en-GB"/>
              </w:rPr>
              <w:t>*</w:t>
            </w:r>
          </w:p>
        </w:tc>
        <w:tc>
          <w:tcPr>
            <w:tcW w:w="851" w:type="dxa"/>
            <w:hideMark/>
          </w:tcPr>
          <w:p w14:paraId="10095AF6" w14:textId="05B3AD5B" w:rsidR="00FB70CD" w:rsidRPr="00226F9D" w:rsidRDefault="68B0F45A"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eastAsia="en-GB"/>
              </w:rPr>
              <w:t>17</w:t>
            </w:r>
            <w:r w:rsidR="06C3762F" w:rsidRPr="00226F9D">
              <w:rPr>
                <w:rFonts w:ascii="Times New Roman" w:eastAsia="Times New Roman" w:hAnsi="Times New Roman" w:cs="Times New Roman"/>
                <w:color w:val="000000" w:themeColor="text1"/>
                <w:sz w:val="16"/>
                <w:szCs w:val="16"/>
                <w:lang w:eastAsia="en-GB"/>
              </w:rPr>
              <w:t>.</w:t>
            </w:r>
            <w:r w:rsidRPr="00226F9D">
              <w:rPr>
                <w:rFonts w:ascii="Times New Roman" w:eastAsia="Times New Roman" w:hAnsi="Times New Roman" w:cs="Times New Roman"/>
                <w:color w:val="000000" w:themeColor="text1"/>
                <w:sz w:val="16"/>
                <w:szCs w:val="16"/>
                <w:lang w:eastAsia="en-GB"/>
              </w:rPr>
              <w:t>208</w:t>
            </w:r>
            <w:r w:rsidR="00FB70CD" w:rsidRPr="00226F9D">
              <w:rPr>
                <w:rFonts w:ascii="Times New Roman" w:eastAsia="Times New Roman" w:hAnsi="Times New Roman" w:cs="Times New Roman"/>
                <w:color w:val="000000"/>
                <w:kern w:val="0"/>
                <w:sz w:val="16"/>
                <w:szCs w:val="16"/>
                <w:lang w:eastAsia="en-GB"/>
                <w14:ligatures w14:val="none"/>
              </w:rPr>
              <w:t> </w:t>
            </w:r>
            <w:r w:rsidR="6414C994" w:rsidRPr="00226F9D">
              <w:rPr>
                <w:rFonts w:ascii="Times New Roman" w:eastAsia="Times New Roman" w:hAnsi="Times New Roman" w:cs="Times New Roman"/>
                <w:color w:val="000000"/>
                <w:kern w:val="0"/>
                <w:sz w:val="16"/>
                <w:szCs w:val="16"/>
                <w:lang w:eastAsia="en-GB"/>
                <w14:ligatures w14:val="none"/>
              </w:rPr>
              <w:t>*</w:t>
            </w:r>
          </w:p>
        </w:tc>
        <w:tc>
          <w:tcPr>
            <w:tcW w:w="863" w:type="dxa"/>
            <w:hideMark/>
          </w:tcPr>
          <w:p w14:paraId="51F348FC" w14:textId="7ECE2CC5" w:rsidR="00FB70CD" w:rsidRPr="00226F9D" w:rsidRDefault="0050339F"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eastAsia="en-GB"/>
              </w:rPr>
              <w:t>17.208</w:t>
            </w:r>
            <w:r w:rsidRPr="00226F9D">
              <w:rPr>
                <w:rFonts w:ascii="Times New Roman" w:eastAsia="Times New Roman" w:hAnsi="Times New Roman" w:cs="Times New Roman"/>
                <w:color w:val="000000"/>
                <w:kern w:val="0"/>
                <w:sz w:val="16"/>
                <w:szCs w:val="16"/>
                <w:lang w:eastAsia="en-GB"/>
                <w14:ligatures w14:val="none"/>
              </w:rPr>
              <w:t> *</w:t>
            </w:r>
            <w:r w:rsidR="00FB70CD"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auto" w:fill="FFFFFF" w:themeFill="background1"/>
            <w:hideMark/>
          </w:tcPr>
          <w:p w14:paraId="7D43DF8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622BF3" w:rsidRPr="00226F9D" w14:paraId="625C9925" w14:textId="77777777" w:rsidTr="005860A2">
        <w:trPr>
          <w:trHeight w:val="720"/>
        </w:trPr>
        <w:tc>
          <w:tcPr>
            <w:tcW w:w="2263" w:type="dxa"/>
            <w:shd w:val="clear" w:color="auto" w:fill="FFFFFF" w:themeFill="background1"/>
            <w:hideMark/>
          </w:tcPr>
          <w:p w14:paraId="594F70D2" w14:textId="788F1528" w:rsidR="00FB70CD" w:rsidRPr="00226F9D" w:rsidRDefault="472A8423" w:rsidP="14ED9E3B">
            <w:pPr>
              <w:spacing w:after="0" w:line="240" w:lineRule="auto"/>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1.3.1</w:t>
            </w:r>
            <w:r w:rsidR="005114FD" w:rsidRPr="00226F9D">
              <w:rPr>
                <w:rFonts w:ascii="Times New Roman" w:eastAsia="Times New Roman" w:hAnsi="Times New Roman" w:cs="Times New Roman"/>
                <w:color w:val="000000" w:themeColor="text1"/>
                <w:sz w:val="16"/>
                <w:szCs w:val="16"/>
                <w:lang w:val="sr-Latn-RS" w:eastAsia="en-GB"/>
              </w:rPr>
              <w:t>4</w:t>
            </w:r>
            <w:r w:rsidRPr="00226F9D">
              <w:rPr>
                <w:rFonts w:ascii="Times New Roman" w:eastAsia="Times New Roman" w:hAnsi="Times New Roman" w:cs="Times New Roman"/>
                <w:color w:val="000000" w:themeColor="text1"/>
                <w:sz w:val="16"/>
                <w:szCs w:val="16"/>
                <w:lang w:eastAsia="en-GB"/>
              </w:rPr>
              <w:t xml:space="preserve"> </w:t>
            </w:r>
            <w:r w:rsidRPr="00226F9D">
              <w:rPr>
                <w:rFonts w:ascii="Times New Roman" w:eastAsia="Arial" w:hAnsi="Times New Roman" w:cs="Times New Roman"/>
                <w:color w:val="000000" w:themeColor="text1"/>
                <w:sz w:val="16"/>
                <w:szCs w:val="16"/>
                <w:lang w:val="sr-Cyrl-RS"/>
              </w:rPr>
              <w:t xml:space="preserve">Подршка за коришћење </w:t>
            </w:r>
            <w:r w:rsidRPr="00226F9D">
              <w:rPr>
                <w:rFonts w:ascii="Times New Roman" w:eastAsia="Arial" w:hAnsi="Times New Roman" w:cs="Times New Roman"/>
                <w:color w:val="000000" w:themeColor="text1"/>
                <w:sz w:val="16"/>
                <w:szCs w:val="16"/>
              </w:rPr>
              <w:t xml:space="preserve">електронске народне иницијативе </w:t>
            </w:r>
            <w:r w:rsidRPr="00226F9D">
              <w:rPr>
                <w:rFonts w:ascii="Times New Roman" w:eastAsia="Arial" w:hAnsi="Times New Roman" w:cs="Times New Roman"/>
                <w:color w:val="000000" w:themeColor="text1"/>
                <w:sz w:val="16"/>
                <w:szCs w:val="16"/>
                <w:lang w:val="sr-Cyrl-RS"/>
              </w:rPr>
              <w:t>као механизма за</w:t>
            </w:r>
            <w:r w:rsidRPr="00226F9D">
              <w:rPr>
                <w:rFonts w:ascii="Times New Roman" w:eastAsia="Arial" w:hAnsi="Times New Roman" w:cs="Times New Roman"/>
                <w:color w:val="000000" w:themeColor="text1"/>
                <w:sz w:val="16"/>
                <w:szCs w:val="16"/>
              </w:rPr>
              <w:t xml:space="preserve"> подстицања грађана на већи степен укључивања</w:t>
            </w:r>
            <w:r w:rsidRPr="00226F9D">
              <w:rPr>
                <w:rFonts w:ascii="Times New Roman" w:eastAsia="Arial" w:hAnsi="Times New Roman" w:cs="Times New Roman"/>
                <w:color w:val="000000" w:themeColor="text1"/>
                <w:sz w:val="16"/>
                <w:szCs w:val="16"/>
                <w:lang w:val="sr-Cyrl-RS"/>
              </w:rPr>
              <w:t xml:space="preserve"> у доношење одлука</w:t>
            </w:r>
          </w:p>
          <w:p w14:paraId="07B5B0DB" w14:textId="2291C54F" w:rsidR="00FB70CD" w:rsidRPr="00226F9D" w:rsidRDefault="00FB70CD" w:rsidP="168A239E">
            <w:pPr>
              <w:spacing w:after="0" w:line="240" w:lineRule="auto"/>
              <w:rPr>
                <w:rFonts w:ascii="Times New Roman" w:eastAsia="Times New Roman" w:hAnsi="Times New Roman" w:cs="Times New Roman"/>
                <w:color w:val="000000" w:themeColor="text1"/>
                <w:sz w:val="16"/>
                <w:szCs w:val="16"/>
                <w:lang w:eastAsia="en-GB"/>
              </w:rPr>
            </w:pPr>
          </w:p>
          <w:p w14:paraId="429FFA85" w14:textId="523ED408"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0" w:type="dxa"/>
            <w:shd w:val="clear" w:color="auto" w:fill="FFFFFF" w:themeFill="background1"/>
            <w:noWrap/>
            <w:hideMark/>
          </w:tcPr>
          <w:p w14:paraId="0E5AA52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auto" w:fill="FFFFFF" w:themeFill="background1"/>
            <w:noWrap/>
            <w:hideMark/>
          </w:tcPr>
          <w:p w14:paraId="467F4F3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 ЈЛС</w:t>
            </w:r>
          </w:p>
        </w:tc>
        <w:tc>
          <w:tcPr>
            <w:tcW w:w="2693" w:type="dxa"/>
            <w:shd w:val="clear" w:color="auto" w:fill="FFFFFF" w:themeFill="background1"/>
            <w:hideMark/>
          </w:tcPr>
          <w:p w14:paraId="1D0DEC36" w14:textId="39D512DF" w:rsidR="00FB70CD" w:rsidRPr="00226F9D" w:rsidRDefault="07CA0B7D" w:rsidP="005B0999">
            <w:pPr>
              <w:spacing w:after="0" w:line="240" w:lineRule="auto"/>
              <w:jc w:val="center"/>
              <w:rPr>
                <w:rFonts w:ascii="Times New Roman" w:eastAsia="Times New Roman" w:hAnsi="Times New Roman" w:cs="Times New Roman"/>
                <w:sz w:val="16"/>
                <w:szCs w:val="16"/>
                <w:lang w:eastAsia="en-GB"/>
              </w:rPr>
            </w:pPr>
            <w:r w:rsidRPr="00226F9D">
              <w:rPr>
                <w:rFonts w:ascii="Times New Roman" w:eastAsia="Times New Roman" w:hAnsi="Times New Roman" w:cs="Times New Roman"/>
                <w:sz w:val="16"/>
                <w:szCs w:val="16"/>
                <w:lang w:eastAsia="en-GB"/>
              </w:rPr>
              <w:t>I квартал 2027</w:t>
            </w:r>
            <w:r w:rsidR="00EE2139" w:rsidRPr="00226F9D">
              <w:rPr>
                <w:rFonts w:ascii="Times New Roman" w:eastAsia="Times New Roman" w:hAnsi="Times New Roman" w:cs="Times New Roman"/>
                <w:sz w:val="16"/>
                <w:szCs w:val="16"/>
                <w:lang w:val="sr-Cyrl-RS" w:eastAsia="en-GB"/>
              </w:rPr>
              <w:t>.</w:t>
            </w:r>
            <w:r w:rsidRPr="00226F9D">
              <w:rPr>
                <w:rFonts w:ascii="Times New Roman" w:eastAsia="Times New Roman" w:hAnsi="Times New Roman" w:cs="Times New Roman"/>
                <w:sz w:val="16"/>
                <w:szCs w:val="16"/>
                <w:lang w:eastAsia="en-GB"/>
              </w:rPr>
              <w:t xml:space="preserve"> - IV квартал 2028</w:t>
            </w:r>
            <w:r w:rsidR="00EE2139" w:rsidRPr="00226F9D">
              <w:rPr>
                <w:rFonts w:ascii="Times New Roman" w:eastAsia="Times New Roman" w:hAnsi="Times New Roman" w:cs="Times New Roman"/>
                <w:sz w:val="16"/>
                <w:szCs w:val="16"/>
                <w:lang w:val="sr-Cyrl-RS" w:eastAsia="en-GB"/>
              </w:rPr>
              <w:t>.</w:t>
            </w:r>
          </w:p>
        </w:tc>
        <w:tc>
          <w:tcPr>
            <w:tcW w:w="2127" w:type="dxa"/>
            <w:shd w:val="clear" w:color="auto" w:fill="FFFFFF" w:themeFill="background1"/>
            <w:hideMark/>
          </w:tcPr>
          <w:p w14:paraId="16290FA7" w14:textId="3E41D991" w:rsidR="00FB70CD" w:rsidRPr="00226F9D" w:rsidRDefault="0BC52C33" w:rsidP="76981279">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sz w:val="16"/>
                <w:szCs w:val="16"/>
                <w:lang w:eastAsia="en-GB"/>
              </w:rPr>
              <w:t>Донаторска подршка* - средства нису обезбеђена</w:t>
            </w:r>
          </w:p>
          <w:p w14:paraId="3A2B8C30" w14:textId="7E2614AF"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1275" w:type="dxa"/>
            <w:shd w:val="clear" w:color="auto" w:fill="FFFFFF" w:themeFill="background1"/>
            <w:hideMark/>
          </w:tcPr>
          <w:p w14:paraId="33ADEC9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shd w:val="clear" w:color="auto" w:fill="FFFFFF" w:themeFill="background1"/>
            <w:noWrap/>
            <w:hideMark/>
          </w:tcPr>
          <w:p w14:paraId="325A774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auto" w:fill="FFFFFF" w:themeFill="background1"/>
            <w:noWrap/>
            <w:hideMark/>
          </w:tcPr>
          <w:p w14:paraId="539EECDB" w14:textId="0106CE23"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r w:rsidR="31A96AB4" w:rsidRPr="00226F9D">
              <w:rPr>
                <w:rFonts w:ascii="Times New Roman" w:eastAsia="Times New Roman" w:hAnsi="Times New Roman" w:cs="Times New Roman"/>
                <w:kern w:val="0"/>
                <w:sz w:val="16"/>
                <w:szCs w:val="16"/>
                <w:lang w:eastAsia="en-GB"/>
                <w14:ligatures w14:val="none"/>
              </w:rPr>
              <w:t>351*</w:t>
            </w:r>
          </w:p>
        </w:tc>
        <w:tc>
          <w:tcPr>
            <w:tcW w:w="851" w:type="dxa"/>
            <w:shd w:val="clear" w:color="auto" w:fill="FFFFFF" w:themeFill="background1"/>
            <w:hideMark/>
          </w:tcPr>
          <w:p w14:paraId="12F17663" w14:textId="2A378505"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5A7352AA" w:rsidRPr="00226F9D">
              <w:rPr>
                <w:rFonts w:ascii="Times New Roman" w:eastAsia="Times New Roman" w:hAnsi="Times New Roman" w:cs="Times New Roman"/>
                <w:color w:val="000000"/>
                <w:kern w:val="0"/>
                <w:sz w:val="16"/>
                <w:szCs w:val="16"/>
                <w:lang w:eastAsia="en-GB"/>
                <w14:ligatures w14:val="none"/>
              </w:rPr>
              <w:t>1.171*</w:t>
            </w:r>
          </w:p>
        </w:tc>
        <w:tc>
          <w:tcPr>
            <w:tcW w:w="863" w:type="dxa"/>
            <w:shd w:val="clear" w:color="auto" w:fill="FFFFFF" w:themeFill="background1"/>
            <w:hideMark/>
          </w:tcPr>
          <w:p w14:paraId="54576BD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56" w:type="dxa"/>
            <w:shd w:val="clear" w:color="auto" w:fill="FFFFFF" w:themeFill="background1"/>
            <w:hideMark/>
          </w:tcPr>
          <w:p w14:paraId="38D1C41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739D35F8" w14:textId="77777777" w:rsidTr="70A5C696">
        <w:trPr>
          <w:trHeight w:val="955"/>
        </w:trPr>
        <w:tc>
          <w:tcPr>
            <w:tcW w:w="2263" w:type="dxa"/>
            <w:shd w:val="clear" w:color="auto" w:fill="FFFFFF" w:themeFill="background1"/>
            <w:hideMark/>
          </w:tcPr>
          <w:p w14:paraId="66C13963" w14:textId="0C395380" w:rsidR="00FB70CD" w:rsidRPr="00226F9D" w:rsidRDefault="32741BDB" w:rsidP="005860A2">
            <w:pPr>
              <w:spacing w:after="0" w:line="240" w:lineRule="auto"/>
              <w:rPr>
                <w:rFonts w:ascii="Times New Roman" w:eastAsia="Times New Roman" w:hAnsi="Times New Roman" w:cs="Times New Roman"/>
                <w:color w:val="000000" w:themeColor="text1"/>
                <w:sz w:val="16"/>
                <w:szCs w:val="16"/>
                <w:lang w:eastAsia="en-GB"/>
              </w:rPr>
            </w:pPr>
            <w:r w:rsidRPr="00226F9D">
              <w:rPr>
                <w:rFonts w:ascii="Times New Roman" w:eastAsia="Arial" w:hAnsi="Times New Roman" w:cs="Times New Roman"/>
                <w:color w:val="000000" w:themeColor="text1"/>
                <w:sz w:val="16"/>
                <w:szCs w:val="16"/>
                <w:lang w:val="sr-Cyrl-RS"/>
              </w:rPr>
              <w:t>1.3.1</w:t>
            </w:r>
            <w:r w:rsidR="005114FD" w:rsidRPr="00226F9D">
              <w:rPr>
                <w:rFonts w:ascii="Times New Roman" w:eastAsia="Arial" w:hAnsi="Times New Roman" w:cs="Times New Roman"/>
                <w:color w:val="000000" w:themeColor="text1"/>
                <w:sz w:val="16"/>
                <w:szCs w:val="16"/>
                <w:lang w:val="sr-Latn-RS"/>
              </w:rPr>
              <w:t>5</w:t>
            </w:r>
            <w:r w:rsidRPr="00226F9D">
              <w:rPr>
                <w:rFonts w:ascii="Times New Roman" w:eastAsia="Arial" w:hAnsi="Times New Roman" w:cs="Times New Roman"/>
                <w:color w:val="000000" w:themeColor="text1"/>
                <w:sz w:val="16"/>
                <w:szCs w:val="16"/>
                <w:lang w:val="sr-Cyrl-RS"/>
              </w:rPr>
              <w:t xml:space="preserve"> Јачање капацитета </w:t>
            </w:r>
            <w:r w:rsidRPr="00226F9D">
              <w:rPr>
                <w:rFonts w:ascii="Times New Roman" w:eastAsia="Arial" w:hAnsi="Times New Roman" w:cs="Times New Roman"/>
                <w:color w:val="000000" w:themeColor="text1"/>
                <w:sz w:val="16"/>
                <w:szCs w:val="16"/>
              </w:rPr>
              <w:t xml:space="preserve"> ЈЛС у циљу регулисањ</w:t>
            </w:r>
            <w:r w:rsidR="00F75599" w:rsidRPr="00226F9D">
              <w:rPr>
                <w:rFonts w:ascii="Times New Roman" w:eastAsia="Arial" w:hAnsi="Times New Roman" w:cs="Times New Roman"/>
                <w:color w:val="000000" w:themeColor="text1"/>
                <w:sz w:val="16"/>
                <w:szCs w:val="16"/>
              </w:rPr>
              <w:t>a</w:t>
            </w:r>
            <w:r w:rsidRPr="00226F9D">
              <w:rPr>
                <w:rFonts w:ascii="Times New Roman" w:eastAsia="Arial" w:hAnsi="Times New Roman" w:cs="Times New Roman"/>
                <w:color w:val="000000" w:themeColor="text1"/>
                <w:sz w:val="16"/>
                <w:szCs w:val="16"/>
              </w:rPr>
              <w:t xml:space="preserve"> унифор</w:t>
            </w:r>
            <w:r w:rsidR="00227A8E" w:rsidRPr="00226F9D">
              <w:rPr>
                <w:rFonts w:ascii="Times New Roman" w:eastAsia="Arial" w:hAnsi="Times New Roman" w:cs="Times New Roman"/>
                <w:color w:val="000000" w:themeColor="text1"/>
                <w:sz w:val="16"/>
                <w:szCs w:val="16"/>
                <w:lang w:val="sr-Cyrl-RS"/>
              </w:rPr>
              <w:t>м</w:t>
            </w:r>
            <w:r w:rsidRPr="00226F9D">
              <w:rPr>
                <w:rFonts w:ascii="Times New Roman" w:eastAsia="Arial" w:hAnsi="Times New Roman" w:cs="Times New Roman"/>
                <w:color w:val="000000" w:themeColor="text1"/>
                <w:sz w:val="16"/>
                <w:szCs w:val="16"/>
              </w:rPr>
              <w:t>ности у контексту Информатора о раду</w:t>
            </w:r>
          </w:p>
          <w:p w14:paraId="38F048B1" w14:textId="68BBA3F4" w:rsidR="00FB70CD" w:rsidRPr="00226F9D" w:rsidRDefault="00FB70CD" w:rsidP="4E289683">
            <w:pPr>
              <w:spacing w:after="0" w:line="240" w:lineRule="auto"/>
              <w:rPr>
                <w:rFonts w:ascii="Times New Roman" w:eastAsia="Times New Roman" w:hAnsi="Times New Roman" w:cs="Times New Roman"/>
                <w:color w:val="000000" w:themeColor="text1"/>
                <w:sz w:val="16"/>
                <w:szCs w:val="16"/>
                <w:lang w:eastAsia="en-GB"/>
              </w:rPr>
            </w:pPr>
          </w:p>
          <w:p w14:paraId="4A137964" w14:textId="30718FBF" w:rsidR="00FB70CD" w:rsidRPr="00226F9D" w:rsidRDefault="00FB70CD" w:rsidP="4E289683">
            <w:pPr>
              <w:spacing w:after="0" w:line="240" w:lineRule="auto"/>
              <w:rPr>
                <w:rFonts w:ascii="Times New Roman" w:eastAsia="Times New Roman" w:hAnsi="Times New Roman" w:cs="Times New Roman"/>
                <w:color w:val="000000" w:themeColor="text1"/>
                <w:sz w:val="16"/>
                <w:szCs w:val="16"/>
                <w:lang w:eastAsia="en-GB"/>
              </w:rPr>
            </w:pPr>
          </w:p>
          <w:p w14:paraId="67AF6ECC" w14:textId="44A94B17" w:rsidR="00FB70CD" w:rsidRPr="00226F9D" w:rsidRDefault="00FB70CD" w:rsidP="4E289683">
            <w:pPr>
              <w:spacing w:after="0" w:line="240" w:lineRule="auto"/>
              <w:rPr>
                <w:rFonts w:ascii="Times New Roman" w:eastAsia="Times New Roman" w:hAnsi="Times New Roman" w:cs="Times New Roman"/>
                <w:color w:val="000000" w:themeColor="text1"/>
                <w:sz w:val="16"/>
                <w:szCs w:val="16"/>
                <w:lang w:eastAsia="en-GB"/>
              </w:rPr>
            </w:pPr>
          </w:p>
          <w:p w14:paraId="156C04C6" w14:textId="56EB764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0" w:type="dxa"/>
            <w:shd w:val="clear" w:color="auto" w:fill="FFFFFF" w:themeFill="background1"/>
            <w:noWrap/>
            <w:hideMark/>
          </w:tcPr>
          <w:p w14:paraId="6BFFDBB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auto" w:fill="FFFFFF" w:themeFill="background1"/>
            <w:noWrap/>
            <w:hideMark/>
          </w:tcPr>
          <w:p w14:paraId="519D201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 ЈЛС</w:t>
            </w:r>
          </w:p>
        </w:tc>
        <w:tc>
          <w:tcPr>
            <w:tcW w:w="2693" w:type="dxa"/>
            <w:shd w:val="clear" w:color="auto" w:fill="FFFFFF" w:themeFill="background1"/>
            <w:hideMark/>
          </w:tcPr>
          <w:p w14:paraId="6F05DDD9" w14:textId="081D4004" w:rsidR="00FB70CD" w:rsidRPr="00226F9D" w:rsidRDefault="3E238FB7" w:rsidP="009C8F2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sz w:val="16"/>
                <w:szCs w:val="16"/>
                <w:lang w:eastAsia="en-GB"/>
              </w:rPr>
              <w:t>I квартал 2027</w:t>
            </w:r>
            <w:r w:rsidR="00EE2139" w:rsidRPr="00226F9D">
              <w:rPr>
                <w:rFonts w:ascii="Times New Roman" w:eastAsia="Times New Roman" w:hAnsi="Times New Roman" w:cs="Times New Roman"/>
                <w:sz w:val="16"/>
                <w:szCs w:val="16"/>
                <w:lang w:val="sr-Cyrl-RS" w:eastAsia="en-GB"/>
              </w:rPr>
              <w:t>.</w:t>
            </w:r>
            <w:r w:rsidRPr="00226F9D">
              <w:rPr>
                <w:rFonts w:ascii="Times New Roman" w:eastAsia="Times New Roman" w:hAnsi="Times New Roman" w:cs="Times New Roman"/>
                <w:sz w:val="16"/>
                <w:szCs w:val="16"/>
                <w:lang w:eastAsia="en-GB"/>
              </w:rPr>
              <w:t xml:space="preserve"> - IV квартал 2029</w:t>
            </w:r>
            <w:r w:rsidR="00EE2139" w:rsidRPr="00226F9D">
              <w:rPr>
                <w:rFonts w:ascii="Times New Roman" w:eastAsia="Times New Roman" w:hAnsi="Times New Roman" w:cs="Times New Roman"/>
                <w:sz w:val="16"/>
                <w:szCs w:val="16"/>
                <w:lang w:val="sr-Cyrl-RS" w:eastAsia="en-GB"/>
              </w:rPr>
              <w:t>.</w:t>
            </w:r>
          </w:p>
          <w:p w14:paraId="13E53B79" w14:textId="7282BC03"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2127" w:type="dxa"/>
            <w:shd w:val="clear" w:color="auto" w:fill="FFFFFF" w:themeFill="background1"/>
            <w:hideMark/>
          </w:tcPr>
          <w:p w14:paraId="388E7D04" w14:textId="652D8848" w:rsidR="00FB70CD" w:rsidRPr="00226F9D" w:rsidRDefault="15B3E046" w:rsidP="2FD9C519">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sz w:val="16"/>
                <w:szCs w:val="16"/>
                <w:lang w:eastAsia="en-GB"/>
              </w:rPr>
              <w:t>Донаторска подршка* - средства нису обезбеђена</w:t>
            </w:r>
          </w:p>
          <w:p w14:paraId="5C274302" w14:textId="5B9E5144"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1275" w:type="dxa"/>
            <w:shd w:val="clear" w:color="auto" w:fill="FFFFFF" w:themeFill="background1"/>
            <w:hideMark/>
          </w:tcPr>
          <w:p w14:paraId="69428A7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shd w:val="clear" w:color="auto" w:fill="FFFFFF" w:themeFill="background1"/>
            <w:noWrap/>
            <w:hideMark/>
          </w:tcPr>
          <w:p w14:paraId="38C65F1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auto" w:fill="FFFFFF" w:themeFill="background1"/>
            <w:noWrap/>
            <w:hideMark/>
          </w:tcPr>
          <w:p w14:paraId="2D3B55EB" w14:textId="1ED22027" w:rsidR="00FB70CD" w:rsidRPr="00226F9D" w:rsidRDefault="24423E20"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1.17</w:t>
            </w:r>
            <w:r w:rsidR="0050339F" w:rsidRPr="00226F9D">
              <w:rPr>
                <w:rFonts w:ascii="Times New Roman" w:eastAsia="Times New Roman" w:hAnsi="Times New Roman" w:cs="Times New Roman"/>
                <w:kern w:val="0"/>
                <w:sz w:val="16"/>
                <w:szCs w:val="16"/>
                <w:lang w:eastAsia="en-GB"/>
                <w14:ligatures w14:val="none"/>
              </w:rPr>
              <w:t>1</w:t>
            </w:r>
            <w:r w:rsidRPr="00226F9D">
              <w:rPr>
                <w:rFonts w:ascii="Times New Roman" w:eastAsia="Times New Roman" w:hAnsi="Times New Roman" w:cs="Times New Roman"/>
                <w:kern w:val="0"/>
                <w:sz w:val="16"/>
                <w:szCs w:val="16"/>
                <w:lang w:eastAsia="en-GB"/>
                <w14:ligatures w14:val="none"/>
              </w:rPr>
              <w:t xml:space="preserve"> *</w:t>
            </w:r>
          </w:p>
        </w:tc>
        <w:tc>
          <w:tcPr>
            <w:tcW w:w="851" w:type="dxa"/>
            <w:shd w:val="clear" w:color="auto" w:fill="FFFFFF" w:themeFill="background1"/>
            <w:hideMark/>
          </w:tcPr>
          <w:p w14:paraId="585BDA4F" w14:textId="1D2BE745" w:rsidR="00FB70CD" w:rsidRPr="00226F9D" w:rsidRDefault="036883C1"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4.097*</w:t>
            </w:r>
          </w:p>
        </w:tc>
        <w:tc>
          <w:tcPr>
            <w:tcW w:w="863" w:type="dxa"/>
            <w:shd w:val="clear" w:color="auto" w:fill="FFFFFF" w:themeFill="background1"/>
            <w:hideMark/>
          </w:tcPr>
          <w:p w14:paraId="56D2DC8B" w14:textId="7CF375B0" w:rsidR="00FB70CD" w:rsidRPr="00226F9D" w:rsidRDefault="0050339F"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eastAsia="en-GB"/>
              </w:rPr>
              <w:t>585</w:t>
            </w:r>
          </w:p>
        </w:tc>
        <w:tc>
          <w:tcPr>
            <w:tcW w:w="956" w:type="dxa"/>
            <w:shd w:val="clear" w:color="auto" w:fill="FFFFFF" w:themeFill="background1"/>
            <w:hideMark/>
          </w:tcPr>
          <w:p w14:paraId="7263A42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346D555" w14:textId="77777777" w:rsidTr="70A5C696">
        <w:trPr>
          <w:trHeight w:val="734"/>
        </w:trPr>
        <w:tc>
          <w:tcPr>
            <w:tcW w:w="15706" w:type="dxa"/>
            <w:gridSpan w:val="11"/>
            <w:hideMark/>
          </w:tcPr>
          <w:p w14:paraId="712C6825"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средства нису обезбеђена у тренутку израде АП</w:t>
            </w:r>
          </w:p>
          <w:p w14:paraId="6F156815" w14:textId="41547539"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потребна средства за спровођење активности 1.3.1. у 2029. и 2030. години биће опредељена на разделу Министарства државне управе и локалне самоуправе, у оквиру лимита одређеног од стране Министарства финансија, у складу са билансним могућностима буџета Републике Србије.  </w:t>
            </w:r>
          </w:p>
        </w:tc>
      </w:tr>
    </w:tbl>
    <w:p w14:paraId="6F72E056" w14:textId="77777777" w:rsidR="00FB70CD" w:rsidRPr="00226F9D" w:rsidRDefault="00FB70CD" w:rsidP="005B0999">
      <w:pPr>
        <w:spacing w:after="0" w:line="240" w:lineRule="auto"/>
        <w:rPr>
          <w:rFonts w:ascii="Times New Roman" w:hAnsi="Times New Roman" w:cs="Times New Roman"/>
        </w:rPr>
      </w:pPr>
    </w:p>
    <w:p w14:paraId="251547DE" w14:textId="77777777" w:rsidR="00FB70CD" w:rsidRPr="00226F9D" w:rsidRDefault="00FB70CD" w:rsidP="005B0999">
      <w:pPr>
        <w:spacing w:after="0" w:line="240" w:lineRule="auto"/>
        <w:rPr>
          <w:rFonts w:ascii="Times New Roman" w:hAnsi="Times New Roman" w:cs="Times New Roman"/>
        </w:rPr>
      </w:pPr>
      <w:r w:rsidRPr="00226F9D">
        <w:rPr>
          <w:rFonts w:ascii="Times New Roman" w:hAnsi="Times New Roman" w:cs="Times New Roman"/>
        </w:rPr>
        <w:br w:type="page"/>
      </w:r>
    </w:p>
    <w:tbl>
      <w:tblPr>
        <w:tblW w:w="15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5240"/>
        <w:gridCol w:w="1108"/>
        <w:gridCol w:w="1585"/>
        <w:gridCol w:w="2127"/>
        <w:gridCol w:w="1275"/>
        <w:gridCol w:w="851"/>
        <w:gridCol w:w="850"/>
        <w:gridCol w:w="851"/>
        <w:gridCol w:w="916"/>
        <w:gridCol w:w="948"/>
      </w:tblGrid>
      <w:tr w:rsidR="00FB70CD" w:rsidRPr="00226F9D" w14:paraId="1C9A12EF" w14:textId="77777777">
        <w:trPr>
          <w:trHeight w:val="57"/>
        </w:trPr>
        <w:tc>
          <w:tcPr>
            <w:tcW w:w="15751" w:type="dxa"/>
            <w:gridSpan w:val="10"/>
            <w:shd w:val="clear" w:color="000000" w:fill="C5E0B3"/>
            <w:vAlign w:val="center"/>
            <w:hideMark/>
          </w:tcPr>
          <w:p w14:paraId="3C72D67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lastRenderedPageBreak/>
              <w:t xml:space="preserve">Посебни циљ 2: Унапређење система финансирања локалне самоуправе </w:t>
            </w:r>
          </w:p>
        </w:tc>
      </w:tr>
      <w:tr w:rsidR="00FB70CD" w:rsidRPr="00226F9D" w14:paraId="5324DF8A" w14:textId="77777777">
        <w:trPr>
          <w:trHeight w:val="57"/>
        </w:trPr>
        <w:tc>
          <w:tcPr>
            <w:tcW w:w="15751" w:type="dxa"/>
            <w:gridSpan w:val="10"/>
            <w:shd w:val="clear" w:color="000000" w:fill="C5E0B3"/>
            <w:vAlign w:val="center"/>
            <w:hideMark/>
          </w:tcPr>
          <w:p w14:paraId="5DD518CA"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Институција одговорна за праћење и контролу реализације: МФИН</w:t>
            </w:r>
          </w:p>
        </w:tc>
      </w:tr>
      <w:tr w:rsidR="00FB70CD" w:rsidRPr="00226F9D" w14:paraId="12079BCF" w14:textId="77777777">
        <w:trPr>
          <w:trHeight w:val="340"/>
        </w:trPr>
        <w:tc>
          <w:tcPr>
            <w:tcW w:w="5240" w:type="dxa"/>
            <w:shd w:val="clear" w:color="000000" w:fill="D9D9D9"/>
            <w:vAlign w:val="center"/>
            <w:hideMark/>
          </w:tcPr>
          <w:p w14:paraId="48A0890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посебног циља (показатељ исхода)</w:t>
            </w:r>
          </w:p>
        </w:tc>
        <w:tc>
          <w:tcPr>
            <w:tcW w:w="1108" w:type="dxa"/>
            <w:shd w:val="clear" w:color="000000" w:fill="D9D9D9"/>
            <w:vAlign w:val="center"/>
            <w:hideMark/>
          </w:tcPr>
          <w:p w14:paraId="51B5877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85" w:type="dxa"/>
            <w:shd w:val="clear" w:color="000000" w:fill="D9D9D9"/>
            <w:vAlign w:val="center"/>
            <w:hideMark/>
          </w:tcPr>
          <w:p w14:paraId="3C1BBE3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D9D9D9"/>
            <w:vAlign w:val="center"/>
            <w:hideMark/>
          </w:tcPr>
          <w:p w14:paraId="0F5D553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Почетна вредност </w:t>
            </w:r>
          </w:p>
        </w:tc>
        <w:tc>
          <w:tcPr>
            <w:tcW w:w="1275" w:type="dxa"/>
            <w:shd w:val="clear" w:color="000000" w:fill="D9D9D9"/>
            <w:vAlign w:val="center"/>
            <w:hideMark/>
          </w:tcPr>
          <w:p w14:paraId="0A9A136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000000" w:fill="D9D9D9"/>
            <w:vAlign w:val="center"/>
            <w:hideMark/>
          </w:tcPr>
          <w:p w14:paraId="53E6ADF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000000" w:fill="D9D9D9"/>
            <w:vAlign w:val="center"/>
            <w:hideMark/>
          </w:tcPr>
          <w:p w14:paraId="53AC668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D9D9D9"/>
            <w:vAlign w:val="center"/>
            <w:hideMark/>
          </w:tcPr>
          <w:p w14:paraId="17E6DAD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916" w:type="dxa"/>
            <w:shd w:val="clear" w:color="000000" w:fill="D9D9D9"/>
            <w:vAlign w:val="center"/>
            <w:hideMark/>
          </w:tcPr>
          <w:p w14:paraId="0E65EC4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2029. години</w:t>
            </w:r>
          </w:p>
        </w:tc>
        <w:tc>
          <w:tcPr>
            <w:tcW w:w="948" w:type="dxa"/>
            <w:shd w:val="clear" w:color="000000" w:fill="D9D9D9"/>
            <w:vAlign w:val="center"/>
            <w:hideMark/>
          </w:tcPr>
          <w:p w14:paraId="772643E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2030. години</w:t>
            </w:r>
          </w:p>
        </w:tc>
      </w:tr>
      <w:tr w:rsidR="00FB70CD" w:rsidRPr="00226F9D" w14:paraId="3B9554A7" w14:textId="77777777">
        <w:trPr>
          <w:trHeight w:val="463"/>
        </w:trPr>
        <w:tc>
          <w:tcPr>
            <w:tcW w:w="5240" w:type="dxa"/>
            <w:shd w:val="clear" w:color="000000" w:fill="FFFFFF"/>
            <w:vAlign w:val="center"/>
            <w:hideMark/>
          </w:tcPr>
          <w:p w14:paraId="48F1122A" w14:textId="77777777" w:rsidR="00FB70CD" w:rsidRPr="00226F9D" w:rsidRDefault="00FB70CD" w:rsidP="005B0999">
            <w:pPr>
              <w:spacing w:after="0" w:line="240" w:lineRule="auto"/>
              <w:rPr>
                <w:rFonts w:ascii="Times New Roman" w:eastAsia="Times New Roman" w:hAnsi="Times New Roman" w:cs="Times New Roman"/>
                <w:i/>
                <w:iCs/>
                <w:color w:val="000000"/>
                <w:kern w:val="0"/>
                <w:sz w:val="16"/>
                <w:szCs w:val="16"/>
                <w:lang w:eastAsia="en-GB"/>
                <w14:ligatures w14:val="none"/>
              </w:rPr>
            </w:pPr>
            <w:r w:rsidRPr="00226F9D">
              <w:rPr>
                <w:rFonts w:ascii="Times New Roman" w:eastAsia="Times New Roman" w:hAnsi="Times New Roman" w:cs="Times New Roman"/>
                <w:i/>
                <w:iCs/>
                <w:color w:val="000000"/>
                <w:kern w:val="0"/>
                <w:sz w:val="16"/>
                <w:szCs w:val="16"/>
                <w:lang w:eastAsia="en-GB"/>
                <w14:ligatures w14:val="none"/>
              </w:rPr>
              <w:t>Удео текућих прихода градова и општина (са урачунатим трансферима од других нивоа власти) у укупним текућим приходима у Републици Србији</w:t>
            </w:r>
          </w:p>
        </w:tc>
        <w:tc>
          <w:tcPr>
            <w:tcW w:w="1108" w:type="dxa"/>
            <w:shd w:val="clear" w:color="000000" w:fill="FFFFFF"/>
            <w:vAlign w:val="center"/>
            <w:hideMark/>
          </w:tcPr>
          <w:p w14:paraId="6352B76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w:t>
            </w:r>
          </w:p>
        </w:tc>
        <w:tc>
          <w:tcPr>
            <w:tcW w:w="1585" w:type="dxa"/>
            <w:shd w:val="clear" w:color="000000" w:fill="FFFFFF"/>
            <w:vAlign w:val="center"/>
            <w:hideMark/>
          </w:tcPr>
          <w:p w14:paraId="775335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РЗС – Општине и региони, Месечни билтен јавних финансија Министарства финансија</w:t>
            </w:r>
          </w:p>
        </w:tc>
        <w:tc>
          <w:tcPr>
            <w:tcW w:w="2127" w:type="dxa"/>
            <w:shd w:val="clear" w:color="000000" w:fill="FFFFFF"/>
            <w:vAlign w:val="center"/>
            <w:hideMark/>
          </w:tcPr>
          <w:p w14:paraId="4E34665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13,0%</w:t>
            </w:r>
          </w:p>
        </w:tc>
        <w:tc>
          <w:tcPr>
            <w:tcW w:w="1275" w:type="dxa"/>
            <w:shd w:val="clear" w:color="000000" w:fill="FFFFFF"/>
            <w:vAlign w:val="center"/>
            <w:hideMark/>
          </w:tcPr>
          <w:p w14:paraId="4B47F59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2024</w:t>
            </w:r>
          </w:p>
        </w:tc>
        <w:tc>
          <w:tcPr>
            <w:tcW w:w="851" w:type="dxa"/>
            <w:shd w:val="clear" w:color="000000" w:fill="FFFFFF"/>
            <w:vAlign w:val="center"/>
            <w:hideMark/>
          </w:tcPr>
          <w:p w14:paraId="22A5B31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13,0%</w:t>
            </w:r>
          </w:p>
        </w:tc>
        <w:tc>
          <w:tcPr>
            <w:tcW w:w="850" w:type="dxa"/>
            <w:shd w:val="clear" w:color="000000" w:fill="FFFFFF"/>
            <w:vAlign w:val="center"/>
            <w:hideMark/>
          </w:tcPr>
          <w:p w14:paraId="49D36DC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13,0%</w:t>
            </w:r>
          </w:p>
        </w:tc>
        <w:tc>
          <w:tcPr>
            <w:tcW w:w="851" w:type="dxa"/>
            <w:shd w:val="clear" w:color="000000" w:fill="FFFFFF"/>
            <w:vAlign w:val="center"/>
            <w:hideMark/>
          </w:tcPr>
          <w:p w14:paraId="4F26C2D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14,3%</w:t>
            </w:r>
          </w:p>
        </w:tc>
        <w:tc>
          <w:tcPr>
            <w:tcW w:w="916" w:type="dxa"/>
            <w:shd w:val="clear" w:color="000000" w:fill="FFFFFF"/>
            <w:vAlign w:val="center"/>
            <w:hideMark/>
          </w:tcPr>
          <w:p w14:paraId="1D0D3BEC"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14,3%</w:t>
            </w:r>
          </w:p>
        </w:tc>
        <w:tc>
          <w:tcPr>
            <w:tcW w:w="948" w:type="dxa"/>
            <w:shd w:val="clear" w:color="000000" w:fill="FFFFFF"/>
            <w:vAlign w:val="center"/>
            <w:hideMark/>
          </w:tcPr>
          <w:p w14:paraId="1FC09EB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14,5%</w:t>
            </w:r>
          </w:p>
        </w:tc>
      </w:tr>
      <w:tr w:rsidR="00FB70CD" w:rsidRPr="00226F9D" w14:paraId="092CC201" w14:textId="77777777">
        <w:trPr>
          <w:trHeight w:val="1188"/>
        </w:trPr>
        <w:tc>
          <w:tcPr>
            <w:tcW w:w="5240" w:type="dxa"/>
            <w:shd w:val="clear" w:color="000000" w:fill="FFFFFF"/>
            <w:vAlign w:val="center"/>
            <w:hideMark/>
          </w:tcPr>
          <w:p w14:paraId="6ADD6EC5" w14:textId="77777777" w:rsidR="00FB70CD" w:rsidRPr="00226F9D" w:rsidRDefault="00FB70CD" w:rsidP="005B0999">
            <w:pPr>
              <w:spacing w:after="0" w:line="240" w:lineRule="auto"/>
              <w:rPr>
                <w:rFonts w:ascii="Times New Roman" w:eastAsia="Times New Roman" w:hAnsi="Times New Roman" w:cs="Times New Roman"/>
                <w:i/>
                <w:iCs/>
                <w:color w:val="000000"/>
                <w:kern w:val="0"/>
                <w:sz w:val="16"/>
                <w:szCs w:val="16"/>
                <w:lang w:eastAsia="en-GB"/>
                <w14:ligatures w14:val="none"/>
              </w:rPr>
            </w:pPr>
            <w:r w:rsidRPr="00226F9D">
              <w:rPr>
                <w:rFonts w:ascii="Times New Roman" w:eastAsia="Times New Roman" w:hAnsi="Times New Roman" w:cs="Times New Roman"/>
                <w:i/>
                <w:iCs/>
                <w:color w:val="000000"/>
                <w:kern w:val="0"/>
                <w:sz w:val="16"/>
                <w:szCs w:val="16"/>
                <w:lang w:eastAsia="en-GB"/>
                <w14:ligatures w14:val="none"/>
              </w:rPr>
              <w:t xml:space="preserve">Удео капиталних издатака у укупним издацима локалне самоуправе </w:t>
            </w:r>
          </w:p>
        </w:tc>
        <w:tc>
          <w:tcPr>
            <w:tcW w:w="1108" w:type="dxa"/>
            <w:vAlign w:val="center"/>
            <w:hideMark/>
          </w:tcPr>
          <w:p w14:paraId="4BEF6F2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85" w:type="dxa"/>
            <w:shd w:val="clear" w:color="000000" w:fill="FFFFFF"/>
            <w:vAlign w:val="center"/>
            <w:hideMark/>
          </w:tcPr>
          <w:p w14:paraId="3B891C0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ИСИБ АП и ЈЛС; Подаци из Месечног билтена јавних финансија, Подаци СПИРИ, Подаци Управе за трезор, Министарства финансија</w:t>
            </w:r>
          </w:p>
        </w:tc>
        <w:tc>
          <w:tcPr>
            <w:tcW w:w="2127" w:type="dxa"/>
            <w:shd w:val="clear" w:color="000000" w:fill="FFFFFF"/>
            <w:vAlign w:val="center"/>
            <w:hideMark/>
          </w:tcPr>
          <w:p w14:paraId="16058DCB" w14:textId="6021F488" w:rsidR="00FB70CD" w:rsidRPr="00226F9D" w:rsidRDefault="00AF39A3"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15,8%</w:t>
            </w:r>
          </w:p>
        </w:tc>
        <w:tc>
          <w:tcPr>
            <w:tcW w:w="1275" w:type="dxa"/>
            <w:shd w:val="clear" w:color="000000" w:fill="FFFFFF"/>
            <w:vAlign w:val="center"/>
            <w:hideMark/>
          </w:tcPr>
          <w:p w14:paraId="6E1D5645" w14:textId="11AEE3AB" w:rsidR="00FB70CD" w:rsidRPr="00226F9D" w:rsidRDefault="008D6859" w:rsidP="00AF39A3">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2</w:t>
            </w:r>
            <w:r w:rsidR="00AF39A3" w:rsidRPr="00226F9D">
              <w:rPr>
                <w:rFonts w:ascii="Times New Roman" w:eastAsia="Times New Roman" w:hAnsi="Times New Roman" w:cs="Times New Roman"/>
                <w:color w:val="000000"/>
                <w:kern w:val="0"/>
                <w:sz w:val="16"/>
                <w:szCs w:val="16"/>
                <w:lang w:val="sr-Cyrl-RS" w:eastAsia="en-GB"/>
                <w14:ligatures w14:val="none"/>
              </w:rPr>
              <w:t>025</w:t>
            </w:r>
          </w:p>
        </w:tc>
        <w:tc>
          <w:tcPr>
            <w:tcW w:w="851" w:type="dxa"/>
            <w:shd w:val="clear" w:color="000000" w:fill="FFFFFF"/>
            <w:vAlign w:val="center"/>
            <w:hideMark/>
          </w:tcPr>
          <w:p w14:paraId="768397B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18,3%</w:t>
            </w:r>
          </w:p>
        </w:tc>
        <w:tc>
          <w:tcPr>
            <w:tcW w:w="850" w:type="dxa"/>
            <w:shd w:val="clear" w:color="000000" w:fill="FFFFFF"/>
            <w:vAlign w:val="center"/>
            <w:hideMark/>
          </w:tcPr>
          <w:p w14:paraId="3161257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18,7%</w:t>
            </w:r>
          </w:p>
        </w:tc>
        <w:tc>
          <w:tcPr>
            <w:tcW w:w="851" w:type="dxa"/>
            <w:shd w:val="clear" w:color="000000" w:fill="FFFFFF"/>
            <w:vAlign w:val="center"/>
            <w:hideMark/>
          </w:tcPr>
          <w:p w14:paraId="76E7578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19,2%</w:t>
            </w:r>
          </w:p>
        </w:tc>
        <w:tc>
          <w:tcPr>
            <w:tcW w:w="916" w:type="dxa"/>
            <w:shd w:val="clear" w:color="000000" w:fill="FFFFFF"/>
            <w:vAlign w:val="center"/>
            <w:hideMark/>
          </w:tcPr>
          <w:p w14:paraId="2415448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19,7%</w:t>
            </w:r>
          </w:p>
        </w:tc>
        <w:tc>
          <w:tcPr>
            <w:tcW w:w="948" w:type="dxa"/>
            <w:shd w:val="clear" w:color="000000" w:fill="FFFFFF"/>
            <w:vAlign w:val="center"/>
            <w:hideMark/>
          </w:tcPr>
          <w:p w14:paraId="5EF21C1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w:t>
            </w:r>
          </w:p>
        </w:tc>
      </w:tr>
      <w:tr w:rsidR="00FB70CD" w:rsidRPr="00226F9D" w14:paraId="52B7446F" w14:textId="77777777">
        <w:trPr>
          <w:trHeight w:val="92"/>
        </w:trPr>
        <w:tc>
          <w:tcPr>
            <w:tcW w:w="15751" w:type="dxa"/>
            <w:gridSpan w:val="10"/>
            <w:shd w:val="clear" w:color="000000" w:fill="F7CAAC"/>
            <w:vAlign w:val="center"/>
            <w:hideMark/>
          </w:tcPr>
          <w:p w14:paraId="151B4874"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Мера 2.1: Унапређење фискалне одрживости ЛС и повећање фискалне аутономије ЛС</w:t>
            </w:r>
          </w:p>
        </w:tc>
      </w:tr>
      <w:tr w:rsidR="00FB70CD" w:rsidRPr="00226F9D" w14:paraId="521B37FA" w14:textId="77777777">
        <w:trPr>
          <w:trHeight w:val="24"/>
        </w:trPr>
        <w:tc>
          <w:tcPr>
            <w:tcW w:w="15751" w:type="dxa"/>
            <w:gridSpan w:val="10"/>
            <w:shd w:val="clear" w:color="000000" w:fill="F7CAAC"/>
            <w:vAlign w:val="center"/>
            <w:hideMark/>
          </w:tcPr>
          <w:p w14:paraId="5BC93C4D"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Институција одговорна за праћење и контролу реализације: МФИН, МИНПРИВ</w:t>
            </w:r>
          </w:p>
        </w:tc>
      </w:tr>
      <w:tr w:rsidR="00FB70CD" w:rsidRPr="00226F9D" w14:paraId="3DFDD0C4" w14:textId="77777777">
        <w:trPr>
          <w:trHeight w:val="24"/>
        </w:trPr>
        <w:tc>
          <w:tcPr>
            <w:tcW w:w="5240" w:type="dxa"/>
            <w:shd w:val="clear" w:color="000000" w:fill="F7CAAC"/>
            <w:vAlign w:val="center"/>
            <w:hideMark/>
          </w:tcPr>
          <w:p w14:paraId="793F6222"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Период спровођења: 2026-2030.</w:t>
            </w:r>
          </w:p>
        </w:tc>
        <w:tc>
          <w:tcPr>
            <w:tcW w:w="10511" w:type="dxa"/>
            <w:gridSpan w:val="9"/>
            <w:shd w:val="clear" w:color="000000" w:fill="F7CAAC"/>
            <w:vAlign w:val="center"/>
            <w:hideMark/>
          </w:tcPr>
          <w:p w14:paraId="0FA4BD46"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Тип мере: Регулаторна</w:t>
            </w:r>
          </w:p>
        </w:tc>
      </w:tr>
      <w:tr w:rsidR="00FB70CD" w:rsidRPr="00226F9D" w14:paraId="7A8E755E" w14:textId="77777777">
        <w:trPr>
          <w:trHeight w:val="24"/>
        </w:trPr>
        <w:tc>
          <w:tcPr>
            <w:tcW w:w="15751" w:type="dxa"/>
            <w:gridSpan w:val="10"/>
            <w:shd w:val="clear" w:color="000000" w:fill="F7CAAC"/>
            <w:vAlign w:val="center"/>
            <w:hideMark/>
          </w:tcPr>
          <w:p w14:paraId="4D3EBABB"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Прописи које је потребно изменити/усвојити за спровођење мере: </w:t>
            </w:r>
          </w:p>
        </w:tc>
      </w:tr>
      <w:tr w:rsidR="00FB70CD" w:rsidRPr="00226F9D" w14:paraId="4A9DD632" w14:textId="77777777">
        <w:trPr>
          <w:trHeight w:val="74"/>
        </w:trPr>
        <w:tc>
          <w:tcPr>
            <w:tcW w:w="5240" w:type="dxa"/>
            <w:shd w:val="clear" w:color="000000" w:fill="B4C6E7"/>
            <w:vAlign w:val="center"/>
            <w:hideMark/>
          </w:tcPr>
          <w:p w14:paraId="46398465"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мере (показатељ резултата)</w:t>
            </w:r>
          </w:p>
        </w:tc>
        <w:tc>
          <w:tcPr>
            <w:tcW w:w="1108" w:type="dxa"/>
            <w:shd w:val="clear" w:color="000000" w:fill="B4C6E7"/>
            <w:vAlign w:val="center"/>
          </w:tcPr>
          <w:p w14:paraId="2798EA1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85" w:type="dxa"/>
            <w:shd w:val="clear" w:color="000000" w:fill="B4C6E7"/>
            <w:vAlign w:val="center"/>
          </w:tcPr>
          <w:p w14:paraId="30592E3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B4C6E7"/>
            <w:vAlign w:val="center"/>
          </w:tcPr>
          <w:p w14:paraId="684E3D0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Почетна вредност </w:t>
            </w:r>
          </w:p>
        </w:tc>
        <w:tc>
          <w:tcPr>
            <w:tcW w:w="1275" w:type="dxa"/>
            <w:shd w:val="clear" w:color="000000" w:fill="B4C6E7"/>
            <w:vAlign w:val="center"/>
            <w:hideMark/>
          </w:tcPr>
          <w:p w14:paraId="1C893CD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000000" w:fill="B4C6E7"/>
            <w:vAlign w:val="center"/>
            <w:hideMark/>
          </w:tcPr>
          <w:p w14:paraId="57EF0BF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000000" w:fill="B4C6E7"/>
            <w:vAlign w:val="center"/>
            <w:hideMark/>
          </w:tcPr>
          <w:p w14:paraId="08AC08F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B4C6E7"/>
            <w:vAlign w:val="center"/>
            <w:hideMark/>
          </w:tcPr>
          <w:p w14:paraId="4AE0783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916" w:type="dxa"/>
            <w:shd w:val="clear" w:color="000000" w:fill="B4C6E7"/>
            <w:vAlign w:val="center"/>
            <w:hideMark/>
          </w:tcPr>
          <w:p w14:paraId="2071C92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2029. години</w:t>
            </w:r>
          </w:p>
        </w:tc>
        <w:tc>
          <w:tcPr>
            <w:tcW w:w="948" w:type="dxa"/>
            <w:shd w:val="clear" w:color="000000" w:fill="B4C6E7"/>
            <w:vAlign w:val="center"/>
            <w:hideMark/>
          </w:tcPr>
          <w:p w14:paraId="483F975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2030. години</w:t>
            </w:r>
          </w:p>
        </w:tc>
      </w:tr>
      <w:tr w:rsidR="00FB70CD" w:rsidRPr="00226F9D" w14:paraId="3F89E44F" w14:textId="77777777">
        <w:trPr>
          <w:trHeight w:val="98"/>
        </w:trPr>
        <w:tc>
          <w:tcPr>
            <w:tcW w:w="5240" w:type="dxa"/>
            <w:shd w:val="clear" w:color="000000" w:fill="FFFFFF"/>
            <w:vAlign w:val="center"/>
            <w:hideMark/>
          </w:tcPr>
          <w:p w14:paraId="242F241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Хоризонтални баланс финансија ЈЛС (однос прихода по становнику ЈЛС после уједначавања)   </w:t>
            </w:r>
          </w:p>
        </w:tc>
        <w:tc>
          <w:tcPr>
            <w:tcW w:w="1108" w:type="dxa"/>
            <w:vAlign w:val="center"/>
          </w:tcPr>
          <w:p w14:paraId="3F885DB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Број</w:t>
            </w:r>
          </w:p>
        </w:tc>
        <w:tc>
          <w:tcPr>
            <w:tcW w:w="1585" w:type="dxa"/>
            <w:shd w:val="clear" w:color="000000" w:fill="FFFFFF"/>
            <w:vAlign w:val="center"/>
          </w:tcPr>
          <w:p w14:paraId="6D80541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СИГМА индикатор, СПИРИ, Аналитички сервис ЈЛС и РЗС – општине и региони</w:t>
            </w:r>
          </w:p>
        </w:tc>
        <w:tc>
          <w:tcPr>
            <w:tcW w:w="2127" w:type="dxa"/>
            <w:shd w:val="clear" w:color="000000" w:fill="FFFFFF"/>
            <w:vAlign w:val="center"/>
          </w:tcPr>
          <w:p w14:paraId="6F2757B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2,07</w:t>
            </w:r>
          </w:p>
        </w:tc>
        <w:tc>
          <w:tcPr>
            <w:tcW w:w="1275" w:type="dxa"/>
            <w:shd w:val="clear" w:color="000000" w:fill="FFFFFF"/>
            <w:noWrap/>
            <w:vAlign w:val="center"/>
            <w:hideMark/>
          </w:tcPr>
          <w:p w14:paraId="535DD5E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2023</w:t>
            </w:r>
          </w:p>
        </w:tc>
        <w:tc>
          <w:tcPr>
            <w:tcW w:w="851" w:type="dxa"/>
            <w:shd w:val="clear" w:color="000000" w:fill="FFFFFF"/>
            <w:noWrap/>
            <w:vAlign w:val="center"/>
            <w:hideMark/>
          </w:tcPr>
          <w:p w14:paraId="51E3326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2,07</w:t>
            </w:r>
          </w:p>
        </w:tc>
        <w:tc>
          <w:tcPr>
            <w:tcW w:w="850" w:type="dxa"/>
            <w:shd w:val="clear" w:color="000000" w:fill="FFFFFF"/>
            <w:vAlign w:val="center"/>
            <w:hideMark/>
          </w:tcPr>
          <w:p w14:paraId="1411FB4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2,07</w:t>
            </w:r>
          </w:p>
        </w:tc>
        <w:tc>
          <w:tcPr>
            <w:tcW w:w="851" w:type="dxa"/>
            <w:shd w:val="clear" w:color="000000" w:fill="FFFFFF"/>
            <w:vAlign w:val="center"/>
            <w:hideMark/>
          </w:tcPr>
          <w:p w14:paraId="10E0B1E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1,8</w:t>
            </w:r>
          </w:p>
        </w:tc>
        <w:tc>
          <w:tcPr>
            <w:tcW w:w="916" w:type="dxa"/>
            <w:shd w:val="clear" w:color="000000" w:fill="FFFFFF"/>
            <w:vAlign w:val="center"/>
            <w:hideMark/>
          </w:tcPr>
          <w:p w14:paraId="1716854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1,8</w:t>
            </w:r>
          </w:p>
        </w:tc>
        <w:tc>
          <w:tcPr>
            <w:tcW w:w="948" w:type="dxa"/>
            <w:shd w:val="clear" w:color="000000" w:fill="FFFFFF"/>
            <w:vAlign w:val="center"/>
            <w:hideMark/>
          </w:tcPr>
          <w:p w14:paraId="5602ABE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1,8</w:t>
            </w:r>
          </w:p>
        </w:tc>
      </w:tr>
      <w:tr w:rsidR="00FB70CD" w:rsidRPr="00226F9D" w14:paraId="5DD066C3" w14:textId="77777777">
        <w:trPr>
          <w:trHeight w:val="238"/>
        </w:trPr>
        <w:tc>
          <w:tcPr>
            <w:tcW w:w="5240" w:type="dxa"/>
            <w:shd w:val="clear" w:color="000000" w:fill="FFFFFF"/>
            <w:vAlign w:val="center"/>
            <w:hideMark/>
          </w:tcPr>
          <w:p w14:paraId="28087C4C"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Удео општих буџетских прихода ЛС у укупним буџетским приходима ЛС </w:t>
            </w:r>
          </w:p>
        </w:tc>
        <w:tc>
          <w:tcPr>
            <w:tcW w:w="1108" w:type="dxa"/>
            <w:shd w:val="clear" w:color="000000" w:fill="FFFFFF"/>
            <w:vAlign w:val="center"/>
          </w:tcPr>
          <w:p w14:paraId="6895420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85" w:type="dxa"/>
            <w:shd w:val="clear" w:color="000000" w:fill="FFFFFF"/>
            <w:vAlign w:val="center"/>
          </w:tcPr>
          <w:p w14:paraId="4112FF4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СПИРИ, Аналитички сервис ЈЛС и РЗС – општине и региони</w:t>
            </w:r>
          </w:p>
        </w:tc>
        <w:tc>
          <w:tcPr>
            <w:tcW w:w="2127" w:type="dxa"/>
            <w:shd w:val="clear" w:color="000000" w:fill="FFFFFF"/>
            <w:vAlign w:val="center"/>
          </w:tcPr>
          <w:p w14:paraId="10D72BF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92%</w:t>
            </w:r>
          </w:p>
        </w:tc>
        <w:tc>
          <w:tcPr>
            <w:tcW w:w="1275" w:type="dxa"/>
            <w:shd w:val="clear" w:color="000000" w:fill="FFFFFF"/>
            <w:noWrap/>
            <w:vAlign w:val="center"/>
            <w:hideMark/>
          </w:tcPr>
          <w:p w14:paraId="29BF7EC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2024</w:t>
            </w:r>
          </w:p>
        </w:tc>
        <w:tc>
          <w:tcPr>
            <w:tcW w:w="851" w:type="dxa"/>
            <w:shd w:val="clear" w:color="000000" w:fill="FFFFFF"/>
            <w:noWrap/>
            <w:vAlign w:val="center"/>
            <w:hideMark/>
          </w:tcPr>
          <w:p w14:paraId="326F410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92%</w:t>
            </w:r>
          </w:p>
        </w:tc>
        <w:tc>
          <w:tcPr>
            <w:tcW w:w="850" w:type="dxa"/>
            <w:noWrap/>
            <w:vAlign w:val="center"/>
            <w:hideMark/>
          </w:tcPr>
          <w:p w14:paraId="711F88B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92%</w:t>
            </w:r>
          </w:p>
        </w:tc>
        <w:tc>
          <w:tcPr>
            <w:tcW w:w="851" w:type="dxa"/>
            <w:shd w:val="clear" w:color="000000" w:fill="FFFFFF"/>
            <w:noWrap/>
            <w:vAlign w:val="center"/>
            <w:hideMark/>
          </w:tcPr>
          <w:p w14:paraId="61CD552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93%</w:t>
            </w:r>
          </w:p>
        </w:tc>
        <w:tc>
          <w:tcPr>
            <w:tcW w:w="916" w:type="dxa"/>
            <w:shd w:val="clear" w:color="000000" w:fill="FFFFFF"/>
            <w:noWrap/>
            <w:vAlign w:val="center"/>
            <w:hideMark/>
          </w:tcPr>
          <w:p w14:paraId="1D49D17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93%</w:t>
            </w:r>
          </w:p>
        </w:tc>
        <w:tc>
          <w:tcPr>
            <w:tcW w:w="948" w:type="dxa"/>
            <w:shd w:val="clear" w:color="000000" w:fill="FFFFFF"/>
            <w:vAlign w:val="center"/>
            <w:hideMark/>
          </w:tcPr>
          <w:p w14:paraId="33F51FC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94%</w:t>
            </w:r>
          </w:p>
        </w:tc>
      </w:tr>
      <w:tr w:rsidR="00FB70CD" w:rsidRPr="00226F9D" w14:paraId="4DE313E2" w14:textId="77777777">
        <w:trPr>
          <w:trHeight w:val="20"/>
        </w:trPr>
        <w:tc>
          <w:tcPr>
            <w:tcW w:w="5240" w:type="dxa"/>
            <w:vMerge w:val="restart"/>
            <w:shd w:val="clear" w:color="000000" w:fill="A9D08E"/>
            <w:noWrap/>
            <w:vAlign w:val="center"/>
            <w:hideMark/>
          </w:tcPr>
          <w:p w14:paraId="1F032866"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Извор финансирања мере</w:t>
            </w:r>
          </w:p>
        </w:tc>
        <w:tc>
          <w:tcPr>
            <w:tcW w:w="6095" w:type="dxa"/>
            <w:gridSpan w:val="4"/>
            <w:vMerge w:val="restart"/>
            <w:shd w:val="clear" w:color="000000" w:fill="A9D08E"/>
            <w:noWrap/>
            <w:vAlign w:val="center"/>
            <w:hideMark/>
          </w:tcPr>
          <w:p w14:paraId="57319790" w14:textId="77777777" w:rsidR="00FB70CD" w:rsidRPr="00226F9D" w:rsidRDefault="00D155C4"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hyperlink r:id="rId25" w:anchor="_ftn2" w:history="1">
              <w:r w:rsidR="00FB70CD" w:rsidRPr="00226F9D">
                <w:rPr>
                  <w:rFonts w:ascii="Times New Roman" w:eastAsia="Times New Roman" w:hAnsi="Times New Roman" w:cs="Times New Roman"/>
                  <w:b/>
                  <w:color w:val="000000"/>
                  <w:kern w:val="0"/>
                  <w:sz w:val="16"/>
                  <w:szCs w:val="16"/>
                  <w:lang w:eastAsia="en-GB"/>
                  <w14:ligatures w14:val="none"/>
                </w:rPr>
                <w:t>Веза са програмским буџетом</w:t>
              </w:r>
            </w:hyperlink>
          </w:p>
        </w:tc>
        <w:tc>
          <w:tcPr>
            <w:tcW w:w="4416" w:type="dxa"/>
            <w:gridSpan w:val="5"/>
            <w:shd w:val="clear" w:color="000000" w:fill="A8D08D"/>
            <w:vAlign w:val="center"/>
            <w:hideMark/>
          </w:tcPr>
          <w:p w14:paraId="2490463B"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Укупна процењена финансијска средства у 000 дин</w:t>
            </w:r>
          </w:p>
        </w:tc>
      </w:tr>
      <w:tr w:rsidR="00FB70CD" w:rsidRPr="00226F9D" w14:paraId="6E720E2D" w14:textId="77777777">
        <w:trPr>
          <w:trHeight w:val="20"/>
        </w:trPr>
        <w:tc>
          <w:tcPr>
            <w:tcW w:w="5240" w:type="dxa"/>
            <w:vMerge/>
            <w:vAlign w:val="center"/>
            <w:hideMark/>
          </w:tcPr>
          <w:p w14:paraId="1B7EA5C3" w14:textId="77777777" w:rsidR="00FB70CD" w:rsidRPr="00226F9D" w:rsidRDefault="00FB70CD" w:rsidP="005B0999">
            <w:pPr>
              <w:spacing w:after="0" w:line="240" w:lineRule="auto"/>
              <w:rPr>
                <w:rFonts w:ascii="Times New Roman" w:eastAsia="Times New Roman" w:hAnsi="Times New Roman" w:cs="Times New Roman"/>
                <w:b/>
                <w:color w:val="000000"/>
                <w:kern w:val="0"/>
                <w:sz w:val="16"/>
                <w:szCs w:val="16"/>
                <w:lang w:eastAsia="en-GB"/>
                <w14:ligatures w14:val="none"/>
              </w:rPr>
            </w:pPr>
          </w:p>
        </w:tc>
        <w:tc>
          <w:tcPr>
            <w:tcW w:w="6095" w:type="dxa"/>
            <w:gridSpan w:val="4"/>
            <w:vMerge/>
            <w:vAlign w:val="center"/>
            <w:hideMark/>
          </w:tcPr>
          <w:p w14:paraId="64A9E974" w14:textId="77777777" w:rsidR="00FB70CD" w:rsidRPr="00226F9D" w:rsidRDefault="00FB70CD" w:rsidP="005B0999">
            <w:pPr>
              <w:spacing w:after="0" w:line="240" w:lineRule="auto"/>
              <w:rPr>
                <w:rFonts w:ascii="Times New Roman" w:eastAsia="Times New Roman" w:hAnsi="Times New Roman" w:cs="Times New Roman"/>
                <w:b/>
                <w:color w:val="000000"/>
                <w:kern w:val="0"/>
                <w:sz w:val="16"/>
                <w:szCs w:val="16"/>
                <w:lang w:eastAsia="en-GB"/>
                <w14:ligatures w14:val="none"/>
              </w:rPr>
            </w:pPr>
          </w:p>
        </w:tc>
        <w:tc>
          <w:tcPr>
            <w:tcW w:w="851" w:type="dxa"/>
            <w:shd w:val="clear" w:color="000000" w:fill="A8D08D"/>
            <w:vAlign w:val="center"/>
            <w:hideMark/>
          </w:tcPr>
          <w:p w14:paraId="656DE925"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2026</w:t>
            </w:r>
          </w:p>
        </w:tc>
        <w:tc>
          <w:tcPr>
            <w:tcW w:w="850" w:type="dxa"/>
            <w:shd w:val="clear" w:color="000000" w:fill="A8D08D"/>
            <w:vAlign w:val="center"/>
            <w:hideMark/>
          </w:tcPr>
          <w:p w14:paraId="449620C2"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2027</w:t>
            </w:r>
          </w:p>
        </w:tc>
        <w:tc>
          <w:tcPr>
            <w:tcW w:w="851" w:type="dxa"/>
            <w:shd w:val="clear" w:color="000000" w:fill="A8D08D"/>
            <w:vAlign w:val="center"/>
            <w:hideMark/>
          </w:tcPr>
          <w:p w14:paraId="4E739708"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2028</w:t>
            </w:r>
          </w:p>
        </w:tc>
        <w:tc>
          <w:tcPr>
            <w:tcW w:w="916" w:type="dxa"/>
            <w:shd w:val="clear" w:color="000000" w:fill="A8D08D"/>
            <w:vAlign w:val="center"/>
            <w:hideMark/>
          </w:tcPr>
          <w:p w14:paraId="4375DE9B"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2029</w:t>
            </w:r>
          </w:p>
        </w:tc>
        <w:tc>
          <w:tcPr>
            <w:tcW w:w="948" w:type="dxa"/>
            <w:shd w:val="clear" w:color="000000" w:fill="A8D08D"/>
            <w:vAlign w:val="center"/>
            <w:hideMark/>
          </w:tcPr>
          <w:p w14:paraId="1BE9ABD7" w14:textId="77777777"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eastAsia="en-GB"/>
                <w14:ligatures w14:val="none"/>
              </w:rPr>
            </w:pPr>
            <w:r w:rsidRPr="00226F9D">
              <w:rPr>
                <w:rFonts w:ascii="Times New Roman" w:eastAsia="Times New Roman" w:hAnsi="Times New Roman" w:cs="Times New Roman"/>
                <w:b/>
                <w:color w:val="000000"/>
                <w:kern w:val="0"/>
                <w:sz w:val="16"/>
                <w:szCs w:val="16"/>
                <w:lang w:eastAsia="en-GB"/>
                <w14:ligatures w14:val="none"/>
              </w:rPr>
              <w:t>2030</w:t>
            </w:r>
          </w:p>
        </w:tc>
      </w:tr>
      <w:tr w:rsidR="00FB70CD" w:rsidRPr="00226F9D" w14:paraId="68A106B7" w14:textId="77777777">
        <w:trPr>
          <w:trHeight w:val="340"/>
        </w:trPr>
        <w:tc>
          <w:tcPr>
            <w:tcW w:w="5240" w:type="dxa"/>
            <w:shd w:val="clear" w:color="000000" w:fill="FFFFFF"/>
            <w:vAlign w:val="center"/>
            <w:hideMark/>
          </w:tcPr>
          <w:p w14:paraId="2896C19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000000" w:fill="FFFFFF"/>
            <w:vAlign w:val="center"/>
            <w:hideMark/>
          </w:tcPr>
          <w:p w14:paraId="3A8DB79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69C9E23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1.570</w:t>
            </w:r>
          </w:p>
        </w:tc>
        <w:tc>
          <w:tcPr>
            <w:tcW w:w="850" w:type="dxa"/>
            <w:shd w:val="clear" w:color="000000" w:fill="FFFFFF"/>
            <w:vAlign w:val="center"/>
            <w:hideMark/>
          </w:tcPr>
          <w:p w14:paraId="00F9470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c>
          <w:tcPr>
            <w:tcW w:w="851" w:type="dxa"/>
            <w:shd w:val="clear" w:color="000000" w:fill="FFFFFF"/>
            <w:vAlign w:val="center"/>
            <w:hideMark/>
          </w:tcPr>
          <w:p w14:paraId="7627B87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c>
          <w:tcPr>
            <w:tcW w:w="916" w:type="dxa"/>
            <w:shd w:val="clear" w:color="000000" w:fill="FFFFFF"/>
            <w:vAlign w:val="center"/>
            <w:hideMark/>
          </w:tcPr>
          <w:p w14:paraId="6CDC283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c>
          <w:tcPr>
            <w:tcW w:w="948" w:type="dxa"/>
            <w:shd w:val="clear" w:color="000000" w:fill="FFFFFF"/>
            <w:vAlign w:val="center"/>
            <w:hideMark/>
          </w:tcPr>
          <w:p w14:paraId="54FF7E6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r>
    </w:tbl>
    <w:p w14:paraId="048B7765" w14:textId="77777777" w:rsidR="00FB70CD" w:rsidRPr="00226F9D" w:rsidRDefault="00FB70CD" w:rsidP="005B0999">
      <w:pPr>
        <w:spacing w:after="0" w:line="240" w:lineRule="auto"/>
        <w:rPr>
          <w:rFonts w:ascii="Times New Roman" w:hAnsi="Times New Roman" w:cs="Times New Roman"/>
        </w:rPr>
      </w:pPr>
    </w:p>
    <w:p w14:paraId="75701A28" w14:textId="77777777" w:rsidR="00FB70CD" w:rsidRPr="00226F9D" w:rsidRDefault="00FB70CD" w:rsidP="005B0999">
      <w:pPr>
        <w:spacing w:after="0" w:line="240" w:lineRule="auto"/>
        <w:rPr>
          <w:rFonts w:ascii="Times New Roman" w:hAnsi="Times New Roman" w:cs="Times New Roman"/>
        </w:rPr>
      </w:pPr>
    </w:p>
    <w:p w14:paraId="68A860C6" w14:textId="51993A35" w:rsidR="00FB70CD" w:rsidRDefault="00FB70CD" w:rsidP="005B0999">
      <w:pPr>
        <w:spacing w:after="0" w:line="240" w:lineRule="auto"/>
        <w:rPr>
          <w:rFonts w:ascii="Times New Roman" w:hAnsi="Times New Roman" w:cs="Times New Roman"/>
        </w:rPr>
      </w:pPr>
    </w:p>
    <w:p w14:paraId="7E5AD320" w14:textId="77777777" w:rsidR="00226F9D" w:rsidRPr="00226F9D" w:rsidRDefault="00226F9D" w:rsidP="005B0999">
      <w:pPr>
        <w:spacing w:after="0" w:line="240" w:lineRule="auto"/>
        <w:rPr>
          <w:rFonts w:ascii="Times New Roman" w:hAnsi="Times New Roman" w:cs="Times New Roman"/>
        </w:rPr>
      </w:pPr>
    </w:p>
    <w:tbl>
      <w:tblPr>
        <w:tblW w:w="15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01"/>
        <w:gridCol w:w="1515"/>
        <w:gridCol w:w="1415"/>
        <w:gridCol w:w="1106"/>
        <w:gridCol w:w="1583"/>
        <w:gridCol w:w="2124"/>
        <w:gridCol w:w="1273"/>
        <w:gridCol w:w="851"/>
        <w:gridCol w:w="849"/>
        <w:gridCol w:w="850"/>
        <w:gridCol w:w="870"/>
        <w:gridCol w:w="45"/>
        <w:gridCol w:w="947"/>
        <w:gridCol w:w="22"/>
      </w:tblGrid>
      <w:tr w:rsidR="00FB70CD" w:rsidRPr="00226F9D" w14:paraId="0F2917B9" w14:textId="77777777">
        <w:trPr>
          <w:gridAfter w:val="1"/>
          <w:wAfter w:w="22" w:type="dxa"/>
          <w:trHeight w:val="24"/>
        </w:trPr>
        <w:tc>
          <w:tcPr>
            <w:tcW w:w="2306" w:type="dxa"/>
            <w:shd w:val="clear" w:color="000000" w:fill="FFF2CC"/>
            <w:vAlign w:val="center"/>
            <w:hideMark/>
          </w:tcPr>
          <w:p w14:paraId="1E95698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lastRenderedPageBreak/>
              <w:t>Назив активности:</w:t>
            </w:r>
          </w:p>
        </w:tc>
        <w:tc>
          <w:tcPr>
            <w:tcW w:w="1517" w:type="dxa"/>
            <w:shd w:val="clear" w:color="000000" w:fill="FFF2CC"/>
            <w:vAlign w:val="center"/>
            <w:hideMark/>
          </w:tcPr>
          <w:p w14:paraId="64FDC1C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000000" w:fill="FFF2CC"/>
            <w:vAlign w:val="center"/>
            <w:hideMark/>
          </w:tcPr>
          <w:p w14:paraId="75FF941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Oргани и партнери у спровођењу активности</w:t>
            </w:r>
          </w:p>
        </w:tc>
        <w:tc>
          <w:tcPr>
            <w:tcW w:w="2693" w:type="dxa"/>
            <w:gridSpan w:val="2"/>
            <w:shd w:val="clear" w:color="000000" w:fill="FFF2CC"/>
            <w:vAlign w:val="center"/>
            <w:hideMark/>
          </w:tcPr>
          <w:p w14:paraId="68E0CA9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000000" w:fill="FFF2CC"/>
            <w:vAlign w:val="center"/>
            <w:hideMark/>
          </w:tcPr>
          <w:p w14:paraId="12C8B7F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000000" w:fill="FFF2CC"/>
            <w:vAlign w:val="center"/>
            <w:hideMark/>
          </w:tcPr>
          <w:p w14:paraId="3946E9B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416" w:type="dxa"/>
            <w:gridSpan w:val="6"/>
            <w:shd w:val="clear" w:color="000000" w:fill="FFF2CC"/>
            <w:vAlign w:val="center"/>
            <w:hideMark/>
          </w:tcPr>
          <w:p w14:paraId="7080903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по изворима у 000 дин</w:t>
            </w:r>
          </w:p>
        </w:tc>
      </w:tr>
      <w:tr w:rsidR="00FB70CD" w:rsidRPr="00226F9D" w14:paraId="58BBFA57" w14:textId="77777777">
        <w:trPr>
          <w:gridAfter w:val="1"/>
          <w:wAfter w:w="22" w:type="dxa"/>
          <w:trHeight w:val="320"/>
        </w:trPr>
        <w:tc>
          <w:tcPr>
            <w:tcW w:w="2306" w:type="dxa"/>
            <w:shd w:val="clear" w:color="000000" w:fill="FFF2CC"/>
            <w:vAlign w:val="center"/>
            <w:hideMark/>
          </w:tcPr>
          <w:p w14:paraId="367FDF3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517" w:type="dxa"/>
            <w:shd w:val="clear" w:color="000000" w:fill="FFF2CC"/>
            <w:vAlign w:val="center"/>
            <w:hideMark/>
          </w:tcPr>
          <w:p w14:paraId="62A2EDA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417" w:type="dxa"/>
            <w:shd w:val="clear" w:color="000000" w:fill="FFF2CC"/>
            <w:vAlign w:val="center"/>
            <w:hideMark/>
          </w:tcPr>
          <w:p w14:paraId="1F8369F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693" w:type="dxa"/>
            <w:gridSpan w:val="2"/>
            <w:shd w:val="clear" w:color="000000" w:fill="FFF2CC"/>
            <w:vAlign w:val="center"/>
            <w:hideMark/>
          </w:tcPr>
          <w:p w14:paraId="0F8439B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127" w:type="dxa"/>
            <w:shd w:val="clear" w:color="000000" w:fill="FFF2CC"/>
            <w:vAlign w:val="center"/>
            <w:hideMark/>
          </w:tcPr>
          <w:p w14:paraId="5EA5E76F" w14:textId="77777777" w:rsidR="00FB70CD" w:rsidRPr="00226F9D" w:rsidRDefault="00FB70CD" w:rsidP="005B0999">
            <w:pPr>
              <w:spacing w:after="0" w:line="240" w:lineRule="auto"/>
              <w:jc w:val="center"/>
              <w:rPr>
                <w:rFonts w:ascii="Times New Roman" w:eastAsia="Times New Roman" w:hAnsi="Times New Roman" w:cs="Times New Roman"/>
                <w:color w:val="0563C1"/>
                <w:kern w:val="0"/>
                <w:sz w:val="16"/>
                <w:szCs w:val="16"/>
                <w:u w:val="single"/>
                <w:lang w:eastAsia="en-GB"/>
                <w14:ligatures w14:val="none"/>
              </w:rPr>
            </w:pPr>
            <w:r w:rsidRPr="00226F9D">
              <w:rPr>
                <w:rFonts w:ascii="Times New Roman" w:eastAsia="Times New Roman" w:hAnsi="Times New Roman" w:cs="Times New Roman"/>
                <w:color w:val="0563C1"/>
                <w:kern w:val="0"/>
                <w:sz w:val="16"/>
                <w:szCs w:val="16"/>
                <w:u w:val="single"/>
                <w:lang w:eastAsia="en-GB"/>
                <w14:ligatures w14:val="none"/>
              </w:rPr>
              <w:t> </w:t>
            </w:r>
          </w:p>
        </w:tc>
        <w:tc>
          <w:tcPr>
            <w:tcW w:w="1275" w:type="dxa"/>
            <w:shd w:val="clear" w:color="000000" w:fill="FFF2CC"/>
            <w:vAlign w:val="center"/>
            <w:hideMark/>
          </w:tcPr>
          <w:p w14:paraId="1DAC66A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2CC"/>
            <w:vAlign w:val="center"/>
            <w:hideMark/>
          </w:tcPr>
          <w:p w14:paraId="79EA68D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FFF2CC"/>
            <w:vAlign w:val="center"/>
            <w:hideMark/>
          </w:tcPr>
          <w:p w14:paraId="30C4A99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FFF2CC"/>
            <w:vAlign w:val="center"/>
            <w:hideMark/>
          </w:tcPr>
          <w:p w14:paraId="03ABDE0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916" w:type="dxa"/>
            <w:gridSpan w:val="2"/>
            <w:shd w:val="clear" w:color="000000" w:fill="FFF2CC"/>
            <w:vAlign w:val="center"/>
            <w:hideMark/>
          </w:tcPr>
          <w:p w14:paraId="73708A6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8" w:type="dxa"/>
            <w:shd w:val="clear" w:color="000000" w:fill="FFF2CC"/>
            <w:vAlign w:val="center"/>
            <w:hideMark/>
          </w:tcPr>
          <w:p w14:paraId="3F7A7A8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21B5BF64" w14:textId="77777777">
        <w:trPr>
          <w:gridAfter w:val="1"/>
          <w:wAfter w:w="22" w:type="dxa"/>
          <w:trHeight w:val="1350"/>
        </w:trPr>
        <w:tc>
          <w:tcPr>
            <w:tcW w:w="2306" w:type="dxa"/>
            <w:vAlign w:val="center"/>
            <w:hideMark/>
          </w:tcPr>
          <w:p w14:paraId="3E7FBF43" w14:textId="373AE1BE"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2.1.1.</w:t>
            </w:r>
            <w:r w:rsidR="001837BE" w:rsidRPr="00226F9D">
              <w:rPr>
                <w:rFonts w:ascii="Times New Roman" w:eastAsia="Times New Roman" w:hAnsi="Times New Roman" w:cs="Times New Roman"/>
                <w:color w:val="000000"/>
                <w:kern w:val="0"/>
                <w:sz w:val="16"/>
                <w:szCs w:val="16"/>
                <w:lang w:val="sr-Cyrl-RS" w:eastAsia="en-GB"/>
                <w14:ligatures w14:val="none"/>
              </w:rPr>
              <w:t xml:space="preserve"> </w:t>
            </w:r>
            <w:r w:rsidRPr="00226F9D">
              <w:rPr>
                <w:rFonts w:ascii="Times New Roman" w:eastAsia="Times New Roman" w:hAnsi="Times New Roman" w:cs="Times New Roman"/>
                <w:color w:val="000000"/>
                <w:kern w:val="0"/>
                <w:sz w:val="16"/>
                <w:szCs w:val="16"/>
                <w:lang w:eastAsia="en-GB"/>
                <w14:ligatures w14:val="none"/>
              </w:rPr>
              <w:t>Организовање рада Комисије за финансирање локалне самоуправе у складу са њеним делокругом из Закона о финансирању ЛС (најмање 2 састанка годишње)</w:t>
            </w:r>
          </w:p>
        </w:tc>
        <w:tc>
          <w:tcPr>
            <w:tcW w:w="1517" w:type="dxa"/>
            <w:vAlign w:val="center"/>
            <w:hideMark/>
          </w:tcPr>
          <w:p w14:paraId="45D9372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w:t>
            </w:r>
          </w:p>
        </w:tc>
        <w:tc>
          <w:tcPr>
            <w:tcW w:w="1417" w:type="dxa"/>
            <w:shd w:val="clear" w:color="000000" w:fill="FFFFFF"/>
            <w:vAlign w:val="center"/>
            <w:hideMark/>
          </w:tcPr>
          <w:p w14:paraId="39255D0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СКГО</w:t>
            </w:r>
          </w:p>
        </w:tc>
        <w:tc>
          <w:tcPr>
            <w:tcW w:w="2693" w:type="dxa"/>
            <w:gridSpan w:val="2"/>
            <w:vAlign w:val="center"/>
            <w:hideMark/>
          </w:tcPr>
          <w:p w14:paraId="696FE16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 IV квартал 2030. </w:t>
            </w:r>
          </w:p>
        </w:tc>
        <w:tc>
          <w:tcPr>
            <w:tcW w:w="2127" w:type="dxa"/>
            <w:shd w:val="clear" w:color="000000" w:fill="FFFFFF"/>
            <w:vAlign w:val="center"/>
            <w:hideMark/>
          </w:tcPr>
          <w:p w14:paraId="0426841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000000" w:fill="FFFFFF"/>
            <w:vAlign w:val="center"/>
            <w:hideMark/>
          </w:tcPr>
          <w:p w14:paraId="54A6E44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16-16.0 - 2301-0013,411</w:t>
            </w:r>
          </w:p>
        </w:tc>
        <w:tc>
          <w:tcPr>
            <w:tcW w:w="851" w:type="dxa"/>
            <w:shd w:val="clear" w:color="000000" w:fill="FFFFFF"/>
            <w:vAlign w:val="center"/>
            <w:hideMark/>
          </w:tcPr>
          <w:p w14:paraId="2190B49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476DBAA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579FA8A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16" w:type="dxa"/>
            <w:gridSpan w:val="2"/>
            <w:shd w:val="clear" w:color="000000" w:fill="FFFFFF"/>
            <w:vAlign w:val="center"/>
            <w:hideMark/>
          </w:tcPr>
          <w:p w14:paraId="23153F9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8" w:type="dxa"/>
            <w:shd w:val="clear" w:color="000000" w:fill="FFFFFF"/>
            <w:vAlign w:val="center"/>
            <w:hideMark/>
          </w:tcPr>
          <w:p w14:paraId="0136786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77DFF82A" w14:textId="77777777">
        <w:trPr>
          <w:gridAfter w:val="1"/>
          <w:wAfter w:w="22" w:type="dxa"/>
          <w:trHeight w:val="2625"/>
        </w:trPr>
        <w:tc>
          <w:tcPr>
            <w:tcW w:w="2306" w:type="dxa"/>
            <w:vAlign w:val="center"/>
            <w:hideMark/>
          </w:tcPr>
          <w:p w14:paraId="547C2D1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2.1.2. Израда/Ажурирање анализе система финансирања локалне самоуправе (примене и ефеката системског правног оквира; структуре и довољности прихода/примања;  структуре расхода/издатака ЈЛС; планирања и остваривања прихода и примања и извршења расхода и издатака; усклађености ЈЛС са упутствима МФИН) и разматрање налаза на Комисији за финансирање ЛС</w:t>
            </w:r>
          </w:p>
        </w:tc>
        <w:tc>
          <w:tcPr>
            <w:tcW w:w="1517" w:type="dxa"/>
            <w:vAlign w:val="center"/>
            <w:hideMark/>
          </w:tcPr>
          <w:p w14:paraId="3ADB389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w:t>
            </w:r>
          </w:p>
        </w:tc>
        <w:tc>
          <w:tcPr>
            <w:tcW w:w="1417" w:type="dxa"/>
            <w:vAlign w:val="center"/>
            <w:hideMark/>
          </w:tcPr>
          <w:p w14:paraId="0717D26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СКГО, Комисија за финансирање ЛС</w:t>
            </w:r>
          </w:p>
        </w:tc>
        <w:tc>
          <w:tcPr>
            <w:tcW w:w="2693" w:type="dxa"/>
            <w:gridSpan w:val="2"/>
            <w:vAlign w:val="center"/>
            <w:hideMark/>
          </w:tcPr>
          <w:p w14:paraId="37F06EF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II квартал 2026.</w:t>
            </w:r>
          </w:p>
        </w:tc>
        <w:tc>
          <w:tcPr>
            <w:tcW w:w="2127" w:type="dxa"/>
            <w:shd w:val="clear" w:color="000000" w:fill="FFFFFF"/>
            <w:vAlign w:val="center"/>
            <w:hideMark/>
          </w:tcPr>
          <w:p w14:paraId="1DDD217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000000" w:fill="FFFFFF"/>
            <w:vAlign w:val="center"/>
            <w:hideMark/>
          </w:tcPr>
          <w:p w14:paraId="4759AD1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16 -16.0 - 2301-0013,411</w:t>
            </w:r>
          </w:p>
        </w:tc>
        <w:tc>
          <w:tcPr>
            <w:tcW w:w="851" w:type="dxa"/>
            <w:shd w:val="clear" w:color="000000" w:fill="FFFFFF"/>
            <w:vAlign w:val="center"/>
            <w:hideMark/>
          </w:tcPr>
          <w:p w14:paraId="56533E6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528DBB7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225E0AC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16" w:type="dxa"/>
            <w:gridSpan w:val="2"/>
            <w:shd w:val="clear" w:color="000000" w:fill="FFFFFF"/>
            <w:vAlign w:val="center"/>
            <w:hideMark/>
          </w:tcPr>
          <w:p w14:paraId="0CD0CE9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8" w:type="dxa"/>
            <w:shd w:val="clear" w:color="000000" w:fill="FFFFFF"/>
            <w:vAlign w:val="center"/>
            <w:hideMark/>
          </w:tcPr>
          <w:p w14:paraId="4191225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60039003" w14:textId="77777777">
        <w:trPr>
          <w:gridAfter w:val="1"/>
          <w:wAfter w:w="22" w:type="dxa"/>
          <w:trHeight w:val="329"/>
        </w:trPr>
        <w:tc>
          <w:tcPr>
            <w:tcW w:w="2306" w:type="dxa"/>
            <w:vAlign w:val="center"/>
            <w:hideMark/>
          </w:tcPr>
          <w:p w14:paraId="66404DC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2.1.3. Израда компаративне анализе система за финансијско уједначавање прихода локалне самоуправе  </w:t>
            </w:r>
          </w:p>
        </w:tc>
        <w:tc>
          <w:tcPr>
            <w:tcW w:w="1517" w:type="dxa"/>
            <w:vAlign w:val="center"/>
            <w:hideMark/>
          </w:tcPr>
          <w:p w14:paraId="4BF5BCE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w:t>
            </w:r>
          </w:p>
        </w:tc>
        <w:tc>
          <w:tcPr>
            <w:tcW w:w="1417" w:type="dxa"/>
            <w:vAlign w:val="center"/>
            <w:hideMark/>
          </w:tcPr>
          <w:p w14:paraId="2D5D381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СКГО, Комисија за финансирање ЛС</w:t>
            </w:r>
          </w:p>
        </w:tc>
        <w:tc>
          <w:tcPr>
            <w:tcW w:w="2693" w:type="dxa"/>
            <w:gridSpan w:val="2"/>
            <w:vAlign w:val="center"/>
            <w:hideMark/>
          </w:tcPr>
          <w:p w14:paraId="6C3ED24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III квартал 2026.</w:t>
            </w:r>
          </w:p>
        </w:tc>
        <w:tc>
          <w:tcPr>
            <w:tcW w:w="2127" w:type="dxa"/>
            <w:vAlign w:val="center"/>
            <w:hideMark/>
          </w:tcPr>
          <w:p w14:paraId="4116DA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(СДЦ-СКГО-Партнерство за добру локалну самоуправу)</w:t>
            </w:r>
          </w:p>
        </w:tc>
        <w:tc>
          <w:tcPr>
            <w:tcW w:w="1275" w:type="dxa"/>
            <w:vAlign w:val="center"/>
            <w:hideMark/>
          </w:tcPr>
          <w:p w14:paraId="24C5294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3ACDB22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850</w:t>
            </w:r>
          </w:p>
        </w:tc>
        <w:tc>
          <w:tcPr>
            <w:tcW w:w="850" w:type="dxa"/>
            <w:shd w:val="clear" w:color="000000" w:fill="FFFFFF"/>
            <w:vAlign w:val="center"/>
            <w:hideMark/>
          </w:tcPr>
          <w:p w14:paraId="0037895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vAlign w:val="center"/>
            <w:hideMark/>
          </w:tcPr>
          <w:p w14:paraId="6D9B760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16" w:type="dxa"/>
            <w:gridSpan w:val="2"/>
            <w:vAlign w:val="center"/>
            <w:hideMark/>
          </w:tcPr>
          <w:p w14:paraId="000D1FE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8" w:type="dxa"/>
            <w:vAlign w:val="center"/>
            <w:hideMark/>
          </w:tcPr>
          <w:p w14:paraId="128DABC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FE6A2A0" w14:textId="77777777">
        <w:trPr>
          <w:gridAfter w:val="1"/>
          <w:wAfter w:w="22" w:type="dxa"/>
          <w:trHeight w:val="233"/>
        </w:trPr>
        <w:tc>
          <w:tcPr>
            <w:tcW w:w="2306" w:type="dxa"/>
            <w:shd w:val="clear" w:color="000000" w:fill="FFFFFF"/>
            <w:vAlign w:val="center"/>
            <w:hideMark/>
          </w:tcPr>
          <w:p w14:paraId="03B8BCB9"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2.1.4. Унапређење система финансирања локалне самоуправе у складу са налазима анализа система финансирања </w:t>
            </w:r>
          </w:p>
        </w:tc>
        <w:tc>
          <w:tcPr>
            <w:tcW w:w="1517" w:type="dxa"/>
            <w:vAlign w:val="center"/>
            <w:hideMark/>
          </w:tcPr>
          <w:p w14:paraId="612CA93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МФИН</w:t>
            </w:r>
          </w:p>
        </w:tc>
        <w:tc>
          <w:tcPr>
            <w:tcW w:w="1417" w:type="dxa"/>
            <w:vAlign w:val="center"/>
            <w:hideMark/>
          </w:tcPr>
          <w:p w14:paraId="0965BDE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МДУЛС, СКГО, Комисија за финансирање ЛС</w:t>
            </w:r>
          </w:p>
        </w:tc>
        <w:tc>
          <w:tcPr>
            <w:tcW w:w="2693" w:type="dxa"/>
            <w:gridSpan w:val="2"/>
            <w:shd w:val="clear" w:color="000000" w:fill="FFFFFF"/>
            <w:vAlign w:val="center"/>
            <w:hideMark/>
          </w:tcPr>
          <w:p w14:paraId="1F328BCD"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III квартал 2027. - IV квартал 2027.</w:t>
            </w:r>
          </w:p>
        </w:tc>
        <w:tc>
          <w:tcPr>
            <w:tcW w:w="2127" w:type="dxa"/>
            <w:shd w:val="clear" w:color="000000" w:fill="FFFFFF"/>
            <w:vAlign w:val="center"/>
            <w:hideMark/>
          </w:tcPr>
          <w:p w14:paraId="712A053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000000" w:fill="FFFFFF"/>
            <w:vAlign w:val="center"/>
            <w:hideMark/>
          </w:tcPr>
          <w:p w14:paraId="7418308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16 -16.0 - 2301-0013,411</w:t>
            </w:r>
          </w:p>
        </w:tc>
        <w:tc>
          <w:tcPr>
            <w:tcW w:w="851" w:type="dxa"/>
            <w:shd w:val="clear" w:color="000000" w:fill="FFFFFF"/>
            <w:vAlign w:val="center"/>
            <w:hideMark/>
          </w:tcPr>
          <w:p w14:paraId="5F0B9C5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5B7A817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vAlign w:val="center"/>
            <w:hideMark/>
          </w:tcPr>
          <w:p w14:paraId="05C5785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16" w:type="dxa"/>
            <w:gridSpan w:val="2"/>
            <w:vAlign w:val="center"/>
            <w:hideMark/>
          </w:tcPr>
          <w:p w14:paraId="03A7623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8" w:type="dxa"/>
            <w:vAlign w:val="center"/>
            <w:hideMark/>
          </w:tcPr>
          <w:p w14:paraId="477007C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71E5DED5" w14:textId="77777777">
        <w:trPr>
          <w:gridAfter w:val="1"/>
          <w:wAfter w:w="22" w:type="dxa"/>
          <w:trHeight w:val="1770"/>
        </w:trPr>
        <w:tc>
          <w:tcPr>
            <w:tcW w:w="2306" w:type="dxa"/>
            <w:tcBorders>
              <w:bottom w:val="single" w:sz="4" w:space="0" w:color="auto"/>
            </w:tcBorders>
            <w:shd w:val="clear" w:color="000000" w:fill="FFFFFF"/>
            <w:vAlign w:val="center"/>
            <w:hideMark/>
          </w:tcPr>
          <w:p w14:paraId="3DF9A559"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2.1.5. Израда анализе постојећег правног оквира и потенцијалног система индикатора за израчунавање степена развијености ЈЛС (израда једног или више модела методологије за мерење са листом индикатора и симулација мерења развијености ЈЛС)</w:t>
            </w:r>
          </w:p>
        </w:tc>
        <w:tc>
          <w:tcPr>
            <w:tcW w:w="1517" w:type="dxa"/>
            <w:tcBorders>
              <w:bottom w:val="single" w:sz="4" w:space="0" w:color="auto"/>
            </w:tcBorders>
            <w:vAlign w:val="center"/>
            <w:hideMark/>
          </w:tcPr>
          <w:p w14:paraId="2D491D4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МИНПРИВ</w:t>
            </w:r>
          </w:p>
        </w:tc>
        <w:tc>
          <w:tcPr>
            <w:tcW w:w="1417" w:type="dxa"/>
            <w:tcBorders>
              <w:bottom w:val="single" w:sz="4" w:space="0" w:color="auto"/>
            </w:tcBorders>
            <w:vAlign w:val="center"/>
            <w:hideMark/>
          </w:tcPr>
          <w:p w14:paraId="68F4ED61" w14:textId="58A5D50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МДУЛС, МФИН, РСЈП, СКГО, Комисија за финансирање ЛС</w:t>
            </w:r>
          </w:p>
        </w:tc>
        <w:tc>
          <w:tcPr>
            <w:tcW w:w="2693" w:type="dxa"/>
            <w:gridSpan w:val="2"/>
            <w:tcBorders>
              <w:bottom w:val="single" w:sz="4" w:space="0" w:color="auto"/>
            </w:tcBorders>
            <w:vAlign w:val="center"/>
            <w:hideMark/>
          </w:tcPr>
          <w:p w14:paraId="1743921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III квартал 2026.</w:t>
            </w:r>
          </w:p>
        </w:tc>
        <w:tc>
          <w:tcPr>
            <w:tcW w:w="2127" w:type="dxa"/>
            <w:tcBorders>
              <w:bottom w:val="single" w:sz="4" w:space="0" w:color="auto"/>
            </w:tcBorders>
            <w:shd w:val="clear" w:color="000000" w:fill="FFFFFF"/>
            <w:vAlign w:val="center"/>
            <w:hideMark/>
          </w:tcPr>
          <w:p w14:paraId="1648F6E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Подршка из донације: (СДЦ-СКГО-Партнерство за добру локалну самоуправу)</w:t>
            </w:r>
          </w:p>
        </w:tc>
        <w:tc>
          <w:tcPr>
            <w:tcW w:w="1275" w:type="dxa"/>
            <w:tcBorders>
              <w:bottom w:val="single" w:sz="4" w:space="0" w:color="auto"/>
            </w:tcBorders>
            <w:shd w:val="clear" w:color="000000" w:fill="FFFFFF"/>
            <w:vAlign w:val="center"/>
            <w:hideMark/>
          </w:tcPr>
          <w:p w14:paraId="0835587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tcBorders>
              <w:bottom w:val="single" w:sz="4" w:space="0" w:color="auto"/>
            </w:tcBorders>
            <w:shd w:val="clear" w:color="000000" w:fill="FFFFFF"/>
            <w:vAlign w:val="center"/>
            <w:hideMark/>
          </w:tcPr>
          <w:p w14:paraId="018E639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720</w:t>
            </w:r>
          </w:p>
        </w:tc>
        <w:tc>
          <w:tcPr>
            <w:tcW w:w="850" w:type="dxa"/>
            <w:tcBorders>
              <w:bottom w:val="single" w:sz="4" w:space="0" w:color="auto"/>
            </w:tcBorders>
            <w:shd w:val="clear" w:color="000000" w:fill="FFFFFF"/>
            <w:vAlign w:val="center"/>
            <w:hideMark/>
          </w:tcPr>
          <w:p w14:paraId="4E8FFD8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tcBorders>
              <w:bottom w:val="single" w:sz="4" w:space="0" w:color="auto"/>
            </w:tcBorders>
            <w:vAlign w:val="center"/>
            <w:hideMark/>
          </w:tcPr>
          <w:p w14:paraId="04FD5A0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16" w:type="dxa"/>
            <w:gridSpan w:val="2"/>
            <w:tcBorders>
              <w:bottom w:val="single" w:sz="4" w:space="0" w:color="auto"/>
            </w:tcBorders>
            <w:vAlign w:val="center"/>
            <w:hideMark/>
          </w:tcPr>
          <w:p w14:paraId="06731F1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8" w:type="dxa"/>
            <w:tcBorders>
              <w:bottom w:val="single" w:sz="4" w:space="0" w:color="auto"/>
            </w:tcBorders>
            <w:vAlign w:val="center"/>
            <w:hideMark/>
          </w:tcPr>
          <w:p w14:paraId="097BEAA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7549097D" w14:textId="77777777">
        <w:trPr>
          <w:gridAfter w:val="1"/>
          <w:wAfter w:w="22" w:type="dxa"/>
          <w:trHeight w:val="1950"/>
        </w:trPr>
        <w:tc>
          <w:tcPr>
            <w:tcW w:w="2306" w:type="dxa"/>
            <w:tcBorders>
              <w:top w:val="single" w:sz="4" w:space="0" w:color="auto"/>
              <w:left w:val="single" w:sz="4" w:space="0" w:color="auto"/>
              <w:bottom w:val="single" w:sz="4" w:space="0" w:color="auto"/>
              <w:right w:val="single" w:sz="4" w:space="0" w:color="auto"/>
            </w:tcBorders>
            <w:vAlign w:val="center"/>
            <w:hideMark/>
          </w:tcPr>
          <w:p w14:paraId="1AA28D3D"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lastRenderedPageBreak/>
              <w:t>2.1.6. Израда предлога Уредбе о утврђивању Методологије о израчунавању степена развијености ЈЛС и Уредбе о разврставању ЈЛС према степену развијености за период 2027-2030. и упућивање Влади ради утврђивања Предлога подзаконских аката и усвајање на Влади</w:t>
            </w:r>
          </w:p>
        </w:tc>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111A6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МИНПРИВ</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2DBE13" w14:textId="442C9771"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МФИН, РСЈП, СКГО, Комисија за финансирање ЛС</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5E1B9A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IV квартал 2026. - I квартал 2027.</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9BA12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1D6B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21-1508-0002, 411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01809B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3AAC3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EEA7C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16" w:type="dxa"/>
            <w:gridSpan w:val="2"/>
            <w:tcBorders>
              <w:top w:val="single" w:sz="4" w:space="0" w:color="auto"/>
              <w:left w:val="single" w:sz="4" w:space="0" w:color="auto"/>
              <w:bottom w:val="single" w:sz="4" w:space="0" w:color="auto"/>
              <w:right w:val="single" w:sz="4" w:space="0" w:color="auto"/>
            </w:tcBorders>
            <w:vAlign w:val="center"/>
            <w:hideMark/>
          </w:tcPr>
          <w:p w14:paraId="4CA774A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8" w:type="dxa"/>
            <w:tcBorders>
              <w:top w:val="single" w:sz="4" w:space="0" w:color="auto"/>
              <w:left w:val="single" w:sz="4" w:space="0" w:color="auto"/>
              <w:bottom w:val="single" w:sz="4" w:space="0" w:color="auto"/>
              <w:right w:val="single" w:sz="4" w:space="0" w:color="auto"/>
            </w:tcBorders>
            <w:vAlign w:val="center"/>
            <w:hideMark/>
          </w:tcPr>
          <w:p w14:paraId="4F33121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61CC96D7" w14:textId="77777777">
        <w:trPr>
          <w:trHeight w:val="24"/>
        </w:trPr>
        <w:tc>
          <w:tcPr>
            <w:tcW w:w="15773" w:type="dxa"/>
            <w:gridSpan w:val="14"/>
            <w:shd w:val="clear" w:color="000000" w:fill="F7CAAC"/>
            <w:vAlign w:val="center"/>
            <w:hideMark/>
          </w:tcPr>
          <w:p w14:paraId="0DFDEF28"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Мера 2.2: Подршка ЈЛС за унапређење процеса планирања и транспарентности буџета</w:t>
            </w:r>
          </w:p>
        </w:tc>
      </w:tr>
      <w:tr w:rsidR="00FB70CD" w:rsidRPr="00226F9D" w14:paraId="698FE76B" w14:textId="77777777">
        <w:trPr>
          <w:trHeight w:val="24"/>
        </w:trPr>
        <w:tc>
          <w:tcPr>
            <w:tcW w:w="15773" w:type="dxa"/>
            <w:gridSpan w:val="14"/>
            <w:shd w:val="clear" w:color="000000" w:fill="F7CAAC"/>
            <w:vAlign w:val="center"/>
            <w:hideMark/>
          </w:tcPr>
          <w:p w14:paraId="00C3909F"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Институција одговорна за праћење и контролу реализације: МФИН</w:t>
            </w:r>
          </w:p>
        </w:tc>
      </w:tr>
      <w:tr w:rsidR="00FB70CD" w:rsidRPr="00226F9D" w14:paraId="53868FCD" w14:textId="77777777">
        <w:trPr>
          <w:trHeight w:val="24"/>
        </w:trPr>
        <w:tc>
          <w:tcPr>
            <w:tcW w:w="5240" w:type="dxa"/>
            <w:gridSpan w:val="3"/>
            <w:shd w:val="clear" w:color="000000" w:fill="F7CAAC"/>
            <w:vAlign w:val="center"/>
            <w:hideMark/>
          </w:tcPr>
          <w:p w14:paraId="50ADF4E6"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Период спровођења: </w:t>
            </w:r>
            <w:r w:rsidRPr="00226F9D">
              <w:rPr>
                <w:rFonts w:ascii="Times New Roman" w:eastAsia="Times New Roman" w:hAnsi="Times New Roman" w:cs="Times New Roman"/>
                <w:color w:val="000000"/>
                <w:kern w:val="0"/>
                <w:sz w:val="16"/>
                <w:szCs w:val="16"/>
                <w:lang w:eastAsia="en-GB"/>
                <w14:ligatures w14:val="none"/>
              </w:rPr>
              <w:t>2026</w:t>
            </w:r>
            <w:r w:rsidRPr="00226F9D">
              <w:rPr>
                <w:rFonts w:ascii="Times New Roman" w:eastAsia="Times New Roman" w:hAnsi="Times New Roman" w:cs="Times New Roman"/>
                <w:color w:val="222222"/>
                <w:kern w:val="0"/>
                <w:sz w:val="16"/>
                <w:szCs w:val="16"/>
                <w:lang w:eastAsia="en-GB"/>
                <w14:ligatures w14:val="none"/>
              </w:rPr>
              <w:t>-2030.</w:t>
            </w:r>
          </w:p>
        </w:tc>
        <w:tc>
          <w:tcPr>
            <w:tcW w:w="10533" w:type="dxa"/>
            <w:gridSpan w:val="11"/>
            <w:shd w:val="clear" w:color="000000" w:fill="F7CAAC"/>
            <w:vAlign w:val="center"/>
            <w:hideMark/>
          </w:tcPr>
          <w:p w14:paraId="3C98F89E"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Тип мере: Институционално управљачко организациона</w:t>
            </w:r>
          </w:p>
        </w:tc>
      </w:tr>
      <w:tr w:rsidR="00FB70CD" w:rsidRPr="00226F9D" w14:paraId="10F1674C" w14:textId="77777777">
        <w:trPr>
          <w:trHeight w:val="24"/>
        </w:trPr>
        <w:tc>
          <w:tcPr>
            <w:tcW w:w="15773" w:type="dxa"/>
            <w:gridSpan w:val="14"/>
            <w:shd w:val="clear" w:color="000000" w:fill="F7CAAC"/>
            <w:vAlign w:val="center"/>
            <w:hideMark/>
          </w:tcPr>
          <w:p w14:paraId="6C479379"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Прописи које је потребно изменити/усвојити за спровођење мере: </w:t>
            </w:r>
          </w:p>
        </w:tc>
      </w:tr>
      <w:tr w:rsidR="00FB70CD" w:rsidRPr="00226F9D" w14:paraId="2ECC3715" w14:textId="77777777">
        <w:trPr>
          <w:trHeight w:val="675"/>
        </w:trPr>
        <w:tc>
          <w:tcPr>
            <w:tcW w:w="5240" w:type="dxa"/>
            <w:gridSpan w:val="3"/>
            <w:shd w:val="clear" w:color="000000" w:fill="B4C6E7"/>
            <w:vAlign w:val="center"/>
            <w:hideMark/>
          </w:tcPr>
          <w:p w14:paraId="18147619"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мере (показатељ резултата)</w:t>
            </w:r>
          </w:p>
        </w:tc>
        <w:tc>
          <w:tcPr>
            <w:tcW w:w="1108" w:type="dxa"/>
            <w:shd w:val="clear" w:color="000000" w:fill="B4C6E7"/>
            <w:vAlign w:val="center"/>
          </w:tcPr>
          <w:p w14:paraId="64036C5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85" w:type="dxa"/>
            <w:shd w:val="clear" w:color="000000" w:fill="B4C6E7"/>
            <w:vAlign w:val="center"/>
          </w:tcPr>
          <w:p w14:paraId="7260BFA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B4C6E7"/>
            <w:vAlign w:val="center"/>
          </w:tcPr>
          <w:p w14:paraId="04A4D59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Почетна вредност </w:t>
            </w:r>
          </w:p>
        </w:tc>
        <w:tc>
          <w:tcPr>
            <w:tcW w:w="1275" w:type="dxa"/>
            <w:shd w:val="clear" w:color="000000" w:fill="B4C6E7"/>
            <w:vAlign w:val="center"/>
            <w:hideMark/>
          </w:tcPr>
          <w:p w14:paraId="42A2C19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2" w:type="dxa"/>
            <w:shd w:val="clear" w:color="000000" w:fill="B4C6E7"/>
            <w:vAlign w:val="center"/>
            <w:hideMark/>
          </w:tcPr>
          <w:p w14:paraId="78EABA5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000000" w:fill="B4C6E7"/>
            <w:vAlign w:val="center"/>
            <w:hideMark/>
          </w:tcPr>
          <w:p w14:paraId="5FFB83A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B4C6E7"/>
            <w:vAlign w:val="center"/>
            <w:hideMark/>
          </w:tcPr>
          <w:p w14:paraId="4EF78F9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71" w:type="dxa"/>
            <w:shd w:val="clear" w:color="000000" w:fill="B4C6E7"/>
            <w:vAlign w:val="center"/>
            <w:hideMark/>
          </w:tcPr>
          <w:p w14:paraId="0A4C647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2029. години</w:t>
            </w:r>
          </w:p>
        </w:tc>
        <w:tc>
          <w:tcPr>
            <w:tcW w:w="1014" w:type="dxa"/>
            <w:gridSpan w:val="3"/>
            <w:shd w:val="clear" w:color="000000" w:fill="B4C6E7"/>
            <w:vAlign w:val="center"/>
            <w:hideMark/>
          </w:tcPr>
          <w:p w14:paraId="2FB7873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2030. години</w:t>
            </w:r>
          </w:p>
        </w:tc>
      </w:tr>
      <w:tr w:rsidR="00FB70CD" w:rsidRPr="00226F9D" w14:paraId="3807E745" w14:textId="77777777">
        <w:trPr>
          <w:trHeight w:val="24"/>
        </w:trPr>
        <w:tc>
          <w:tcPr>
            <w:tcW w:w="5240" w:type="dxa"/>
            <w:gridSpan w:val="3"/>
            <w:vAlign w:val="center"/>
            <w:hideMark/>
          </w:tcPr>
          <w:p w14:paraId="6B69E72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Проценат ЛС чије Одлуке о буџету су (у потпуности) усклађене са смерницама из годишњег Упутства за израду Одлуке о буџету локалних власти   </w:t>
            </w:r>
          </w:p>
        </w:tc>
        <w:tc>
          <w:tcPr>
            <w:tcW w:w="1108" w:type="dxa"/>
            <w:shd w:val="clear" w:color="000000" w:fill="FFFFFF"/>
            <w:vAlign w:val="center"/>
          </w:tcPr>
          <w:p w14:paraId="58D500A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85" w:type="dxa"/>
            <w:shd w:val="clear" w:color="000000" w:fill="FFFFFF"/>
            <w:vAlign w:val="center"/>
          </w:tcPr>
          <w:p w14:paraId="7E86154C"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Буџети ЈЛС</w:t>
            </w:r>
          </w:p>
        </w:tc>
        <w:tc>
          <w:tcPr>
            <w:tcW w:w="2127" w:type="dxa"/>
            <w:shd w:val="clear" w:color="000000" w:fill="FFFFFF"/>
            <w:vAlign w:val="center"/>
          </w:tcPr>
          <w:p w14:paraId="78EC0BA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60</w:t>
            </w:r>
          </w:p>
        </w:tc>
        <w:tc>
          <w:tcPr>
            <w:tcW w:w="1275" w:type="dxa"/>
            <w:shd w:val="clear" w:color="000000" w:fill="FFFFFF"/>
            <w:vAlign w:val="center"/>
            <w:hideMark/>
          </w:tcPr>
          <w:p w14:paraId="1287057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2024</w:t>
            </w:r>
          </w:p>
        </w:tc>
        <w:tc>
          <w:tcPr>
            <w:tcW w:w="852" w:type="dxa"/>
            <w:shd w:val="clear" w:color="000000" w:fill="FFFFFF"/>
            <w:vAlign w:val="center"/>
            <w:hideMark/>
          </w:tcPr>
          <w:p w14:paraId="60E9884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70%</w:t>
            </w:r>
          </w:p>
        </w:tc>
        <w:tc>
          <w:tcPr>
            <w:tcW w:w="850" w:type="dxa"/>
            <w:shd w:val="clear" w:color="000000" w:fill="FFFFFF"/>
            <w:vAlign w:val="center"/>
            <w:hideMark/>
          </w:tcPr>
          <w:p w14:paraId="7A1F35F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78%</w:t>
            </w:r>
          </w:p>
        </w:tc>
        <w:tc>
          <w:tcPr>
            <w:tcW w:w="851" w:type="dxa"/>
            <w:shd w:val="clear" w:color="000000" w:fill="FFFFFF"/>
            <w:vAlign w:val="center"/>
            <w:hideMark/>
          </w:tcPr>
          <w:p w14:paraId="1A66E4F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85%</w:t>
            </w:r>
          </w:p>
        </w:tc>
        <w:tc>
          <w:tcPr>
            <w:tcW w:w="871" w:type="dxa"/>
            <w:shd w:val="clear" w:color="000000" w:fill="FFFFFF"/>
            <w:vAlign w:val="center"/>
            <w:hideMark/>
          </w:tcPr>
          <w:p w14:paraId="786B425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90%</w:t>
            </w:r>
          </w:p>
        </w:tc>
        <w:tc>
          <w:tcPr>
            <w:tcW w:w="1014" w:type="dxa"/>
            <w:gridSpan w:val="3"/>
            <w:shd w:val="clear" w:color="000000" w:fill="FFFFFF"/>
            <w:vAlign w:val="center"/>
            <w:hideMark/>
          </w:tcPr>
          <w:p w14:paraId="45DC85D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93%</w:t>
            </w:r>
          </w:p>
        </w:tc>
      </w:tr>
      <w:tr w:rsidR="00FB70CD" w:rsidRPr="00226F9D" w14:paraId="07716CA1" w14:textId="77777777">
        <w:trPr>
          <w:trHeight w:val="63"/>
        </w:trPr>
        <w:tc>
          <w:tcPr>
            <w:tcW w:w="5240" w:type="dxa"/>
            <w:gridSpan w:val="3"/>
            <w:shd w:val="clear" w:color="000000" w:fill="FFFFFF"/>
            <w:vAlign w:val="center"/>
            <w:hideMark/>
          </w:tcPr>
          <w:p w14:paraId="22400B33"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Проценат ЛС за које су јавно доступни актуелни подаци о стању и кретањима локалних јавних финансија (кроз електронски портал за приказивање и праћење стања локалних буџета)</w:t>
            </w:r>
          </w:p>
        </w:tc>
        <w:tc>
          <w:tcPr>
            <w:tcW w:w="1108" w:type="dxa"/>
            <w:shd w:val="clear" w:color="000000" w:fill="FFFFFF"/>
            <w:vAlign w:val="center"/>
          </w:tcPr>
          <w:p w14:paraId="0DFA61C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85" w:type="dxa"/>
            <w:shd w:val="clear" w:color="000000" w:fill="FFFFFF"/>
            <w:vAlign w:val="center"/>
          </w:tcPr>
          <w:p w14:paraId="5986806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Интернет страна МФИН (или друга одговарајућа интернет презентација)</w:t>
            </w:r>
          </w:p>
        </w:tc>
        <w:tc>
          <w:tcPr>
            <w:tcW w:w="2127" w:type="dxa"/>
            <w:shd w:val="clear" w:color="000000" w:fill="FFFFFF"/>
            <w:vAlign w:val="center"/>
          </w:tcPr>
          <w:p w14:paraId="17F929E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shd w:val="clear" w:color="000000" w:fill="FFFFFF"/>
            <w:vAlign w:val="center"/>
            <w:hideMark/>
          </w:tcPr>
          <w:p w14:paraId="4CC9D3D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2" w:type="dxa"/>
            <w:shd w:val="clear" w:color="000000" w:fill="FFFFFF"/>
            <w:noWrap/>
            <w:vAlign w:val="center"/>
            <w:hideMark/>
          </w:tcPr>
          <w:p w14:paraId="75CFE2A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850" w:type="dxa"/>
            <w:shd w:val="clear" w:color="000000" w:fill="FFFFFF"/>
            <w:noWrap/>
            <w:vAlign w:val="center"/>
            <w:hideMark/>
          </w:tcPr>
          <w:p w14:paraId="4336DF7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100%</w:t>
            </w:r>
          </w:p>
        </w:tc>
        <w:tc>
          <w:tcPr>
            <w:tcW w:w="851" w:type="dxa"/>
            <w:shd w:val="clear" w:color="000000" w:fill="FFFFFF"/>
            <w:noWrap/>
            <w:vAlign w:val="center"/>
            <w:hideMark/>
          </w:tcPr>
          <w:p w14:paraId="2B276D9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100%</w:t>
            </w:r>
          </w:p>
        </w:tc>
        <w:tc>
          <w:tcPr>
            <w:tcW w:w="871" w:type="dxa"/>
            <w:noWrap/>
            <w:vAlign w:val="center"/>
            <w:hideMark/>
          </w:tcPr>
          <w:p w14:paraId="22A3E46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100%</w:t>
            </w:r>
          </w:p>
        </w:tc>
        <w:tc>
          <w:tcPr>
            <w:tcW w:w="1014" w:type="dxa"/>
            <w:gridSpan w:val="3"/>
            <w:noWrap/>
            <w:vAlign w:val="center"/>
            <w:hideMark/>
          </w:tcPr>
          <w:p w14:paraId="047E96F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100%</w:t>
            </w:r>
          </w:p>
        </w:tc>
      </w:tr>
      <w:tr w:rsidR="00FB70CD" w:rsidRPr="00226F9D" w14:paraId="2BF6891E" w14:textId="77777777">
        <w:trPr>
          <w:trHeight w:val="24"/>
        </w:trPr>
        <w:tc>
          <w:tcPr>
            <w:tcW w:w="5240" w:type="dxa"/>
            <w:gridSpan w:val="3"/>
            <w:shd w:val="clear" w:color="000000" w:fill="FFFFFF"/>
            <w:vAlign w:val="center"/>
            <w:hideMark/>
          </w:tcPr>
          <w:p w14:paraId="2560FE2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Транспарентност јединица локалне самоуправе у области буџета </w:t>
            </w:r>
          </w:p>
        </w:tc>
        <w:tc>
          <w:tcPr>
            <w:tcW w:w="1108" w:type="dxa"/>
            <w:shd w:val="clear" w:color="000000" w:fill="FFFFFF"/>
            <w:vAlign w:val="center"/>
          </w:tcPr>
          <w:p w14:paraId="1502272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85" w:type="dxa"/>
            <w:shd w:val="clear" w:color="000000" w:fill="FFFFFF"/>
            <w:vAlign w:val="center"/>
          </w:tcPr>
          <w:p w14:paraId="0EA5FED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Индекс транспарентности локалне самоуправе (ЛТИ)</w:t>
            </w:r>
          </w:p>
        </w:tc>
        <w:tc>
          <w:tcPr>
            <w:tcW w:w="2127" w:type="dxa"/>
            <w:shd w:val="clear" w:color="000000" w:fill="FFFFFF"/>
            <w:vAlign w:val="center"/>
          </w:tcPr>
          <w:p w14:paraId="112DF32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63,50%</w:t>
            </w:r>
          </w:p>
        </w:tc>
        <w:tc>
          <w:tcPr>
            <w:tcW w:w="1275" w:type="dxa"/>
            <w:shd w:val="clear" w:color="000000" w:fill="FFFFFF"/>
            <w:vAlign w:val="center"/>
            <w:hideMark/>
          </w:tcPr>
          <w:p w14:paraId="2AD67E8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2025</w:t>
            </w:r>
          </w:p>
        </w:tc>
        <w:tc>
          <w:tcPr>
            <w:tcW w:w="852" w:type="dxa"/>
            <w:shd w:val="clear" w:color="000000" w:fill="FFFFFF"/>
            <w:noWrap/>
            <w:vAlign w:val="center"/>
            <w:hideMark/>
          </w:tcPr>
          <w:p w14:paraId="01C0ECF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000000" w:fill="FFFFFF"/>
            <w:noWrap/>
            <w:vAlign w:val="center"/>
            <w:hideMark/>
          </w:tcPr>
          <w:p w14:paraId="614EA29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51" w:type="dxa"/>
            <w:shd w:val="clear" w:color="000000" w:fill="FFFFFF"/>
            <w:vAlign w:val="center"/>
            <w:hideMark/>
          </w:tcPr>
          <w:p w14:paraId="20C0F1F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67%</w:t>
            </w:r>
          </w:p>
        </w:tc>
        <w:tc>
          <w:tcPr>
            <w:tcW w:w="871" w:type="dxa"/>
            <w:shd w:val="clear" w:color="000000" w:fill="FFFFFF"/>
            <w:noWrap/>
            <w:vAlign w:val="center"/>
            <w:hideMark/>
          </w:tcPr>
          <w:p w14:paraId="250FA9E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014" w:type="dxa"/>
            <w:gridSpan w:val="3"/>
            <w:shd w:val="clear" w:color="000000" w:fill="FFFFFF"/>
            <w:vAlign w:val="center"/>
            <w:hideMark/>
          </w:tcPr>
          <w:p w14:paraId="64F5276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70%</w:t>
            </w:r>
          </w:p>
        </w:tc>
      </w:tr>
      <w:tr w:rsidR="00FB70CD" w:rsidRPr="00226F9D" w14:paraId="4A435305" w14:textId="77777777">
        <w:trPr>
          <w:trHeight w:val="20"/>
        </w:trPr>
        <w:tc>
          <w:tcPr>
            <w:tcW w:w="5240" w:type="dxa"/>
            <w:gridSpan w:val="3"/>
            <w:vMerge w:val="restart"/>
            <w:shd w:val="clear" w:color="000000" w:fill="A9D08E"/>
            <w:noWrap/>
            <w:vAlign w:val="center"/>
            <w:hideMark/>
          </w:tcPr>
          <w:p w14:paraId="2BF71BC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5" w:type="dxa"/>
            <w:gridSpan w:val="4"/>
            <w:vMerge w:val="restart"/>
            <w:shd w:val="clear" w:color="000000" w:fill="A9D08E"/>
            <w:noWrap/>
            <w:vAlign w:val="center"/>
            <w:hideMark/>
          </w:tcPr>
          <w:p w14:paraId="41F1F0B2" w14:textId="77777777" w:rsidR="00FB70CD" w:rsidRPr="00226F9D" w:rsidRDefault="00D155C4"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26"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438" w:type="dxa"/>
            <w:gridSpan w:val="7"/>
            <w:shd w:val="clear" w:color="000000" w:fill="A8D08D"/>
            <w:vAlign w:val="center"/>
            <w:hideMark/>
          </w:tcPr>
          <w:p w14:paraId="79ABAE1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у 000 дин</w:t>
            </w:r>
          </w:p>
        </w:tc>
      </w:tr>
      <w:tr w:rsidR="00FB70CD" w:rsidRPr="00226F9D" w14:paraId="4C74946B" w14:textId="77777777">
        <w:trPr>
          <w:trHeight w:val="20"/>
        </w:trPr>
        <w:tc>
          <w:tcPr>
            <w:tcW w:w="5240" w:type="dxa"/>
            <w:gridSpan w:val="3"/>
            <w:vMerge/>
            <w:vAlign w:val="center"/>
            <w:hideMark/>
          </w:tcPr>
          <w:p w14:paraId="13D4C168"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p>
        </w:tc>
        <w:tc>
          <w:tcPr>
            <w:tcW w:w="6095" w:type="dxa"/>
            <w:gridSpan w:val="4"/>
            <w:vMerge/>
            <w:vAlign w:val="center"/>
            <w:hideMark/>
          </w:tcPr>
          <w:p w14:paraId="640C7D68"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p>
        </w:tc>
        <w:tc>
          <w:tcPr>
            <w:tcW w:w="852" w:type="dxa"/>
            <w:shd w:val="clear" w:color="000000" w:fill="A8D08D"/>
            <w:vAlign w:val="center"/>
            <w:hideMark/>
          </w:tcPr>
          <w:p w14:paraId="4E33FBB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A8D08D"/>
            <w:vAlign w:val="center"/>
            <w:hideMark/>
          </w:tcPr>
          <w:p w14:paraId="3B4B60E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A8D08D"/>
            <w:vAlign w:val="center"/>
            <w:hideMark/>
          </w:tcPr>
          <w:p w14:paraId="55D1998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71" w:type="dxa"/>
            <w:shd w:val="clear" w:color="000000" w:fill="A8D08D"/>
            <w:vAlign w:val="center"/>
            <w:hideMark/>
          </w:tcPr>
          <w:p w14:paraId="64FC4D9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1014" w:type="dxa"/>
            <w:gridSpan w:val="3"/>
            <w:shd w:val="clear" w:color="000000" w:fill="A8D08D"/>
            <w:vAlign w:val="center"/>
            <w:hideMark/>
          </w:tcPr>
          <w:p w14:paraId="3E39DA3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2B902CF4" w14:textId="77777777">
        <w:trPr>
          <w:trHeight w:val="24"/>
        </w:trPr>
        <w:tc>
          <w:tcPr>
            <w:tcW w:w="5240" w:type="dxa"/>
            <w:gridSpan w:val="3"/>
            <w:shd w:val="clear" w:color="000000" w:fill="FFFFFF"/>
            <w:vAlign w:val="center"/>
            <w:hideMark/>
          </w:tcPr>
          <w:p w14:paraId="2F6EA80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000000" w:fill="FFFFFF"/>
            <w:vAlign w:val="center"/>
            <w:hideMark/>
          </w:tcPr>
          <w:p w14:paraId="4332237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2" w:type="dxa"/>
            <w:shd w:val="clear" w:color="000000" w:fill="FFFFFF"/>
            <w:vAlign w:val="center"/>
            <w:hideMark/>
          </w:tcPr>
          <w:p w14:paraId="758741C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2.420</w:t>
            </w:r>
          </w:p>
        </w:tc>
        <w:tc>
          <w:tcPr>
            <w:tcW w:w="850" w:type="dxa"/>
            <w:shd w:val="clear" w:color="000000" w:fill="FFFFFF"/>
            <w:noWrap/>
            <w:vAlign w:val="center"/>
            <w:hideMark/>
          </w:tcPr>
          <w:p w14:paraId="60F450C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2.520</w:t>
            </w:r>
          </w:p>
        </w:tc>
        <w:tc>
          <w:tcPr>
            <w:tcW w:w="851" w:type="dxa"/>
            <w:shd w:val="clear" w:color="000000" w:fill="FFFFFF"/>
            <w:noWrap/>
            <w:vAlign w:val="center"/>
            <w:hideMark/>
          </w:tcPr>
          <w:p w14:paraId="17CCC7E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4.220</w:t>
            </w:r>
          </w:p>
        </w:tc>
        <w:tc>
          <w:tcPr>
            <w:tcW w:w="871" w:type="dxa"/>
            <w:shd w:val="clear" w:color="000000" w:fill="FFFFFF"/>
            <w:noWrap/>
            <w:vAlign w:val="center"/>
            <w:hideMark/>
          </w:tcPr>
          <w:p w14:paraId="261EA7D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1.495</w:t>
            </w:r>
          </w:p>
        </w:tc>
        <w:tc>
          <w:tcPr>
            <w:tcW w:w="1014" w:type="dxa"/>
            <w:gridSpan w:val="3"/>
            <w:shd w:val="clear" w:color="000000" w:fill="FFFFFF"/>
            <w:noWrap/>
            <w:vAlign w:val="center"/>
            <w:hideMark/>
          </w:tcPr>
          <w:p w14:paraId="0118B2C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1.845</w:t>
            </w:r>
          </w:p>
        </w:tc>
      </w:tr>
    </w:tbl>
    <w:p w14:paraId="5519553F" w14:textId="77777777" w:rsidR="00FB70CD" w:rsidRPr="00226F9D" w:rsidRDefault="00FB70CD" w:rsidP="005B0999">
      <w:pPr>
        <w:spacing w:after="0" w:line="240" w:lineRule="auto"/>
        <w:rPr>
          <w:rFonts w:ascii="Times New Roman" w:hAnsi="Times New Roman" w:cs="Times New Roman"/>
        </w:rPr>
      </w:pPr>
    </w:p>
    <w:p w14:paraId="47E8379A" w14:textId="77777777" w:rsidR="00FB70CD" w:rsidRPr="00226F9D" w:rsidRDefault="00FB70CD" w:rsidP="005B0999">
      <w:pPr>
        <w:spacing w:after="0" w:line="240" w:lineRule="auto"/>
        <w:rPr>
          <w:rFonts w:ascii="Times New Roman" w:hAnsi="Times New Roman" w:cs="Times New Roman"/>
        </w:rPr>
      </w:pPr>
    </w:p>
    <w:p w14:paraId="32A9EBC8" w14:textId="77777777" w:rsidR="00FB70CD" w:rsidRPr="00226F9D" w:rsidRDefault="00FB70CD" w:rsidP="005B0999">
      <w:pPr>
        <w:spacing w:after="0" w:line="240" w:lineRule="auto"/>
        <w:rPr>
          <w:rFonts w:ascii="Times New Roman" w:hAnsi="Times New Roman" w:cs="Times New Roman"/>
        </w:rPr>
      </w:pPr>
    </w:p>
    <w:p w14:paraId="3BC73385" w14:textId="77777777" w:rsidR="00FB70CD" w:rsidRPr="00226F9D" w:rsidRDefault="00FB70CD" w:rsidP="005B0999">
      <w:pPr>
        <w:spacing w:after="0" w:line="240" w:lineRule="auto"/>
        <w:rPr>
          <w:rFonts w:ascii="Times New Roman" w:hAnsi="Times New Roman" w:cs="Times New Roman"/>
        </w:rPr>
      </w:pPr>
    </w:p>
    <w:p w14:paraId="64104351" w14:textId="77777777" w:rsidR="00FB70CD" w:rsidRPr="00226F9D" w:rsidRDefault="00FB70CD" w:rsidP="005B0999">
      <w:pPr>
        <w:spacing w:after="0" w:line="240" w:lineRule="auto"/>
        <w:rPr>
          <w:rFonts w:ascii="Times New Roman" w:hAnsi="Times New Roman" w:cs="Times New Roman"/>
        </w:rPr>
      </w:pPr>
    </w:p>
    <w:p w14:paraId="5EF357A3" w14:textId="77777777" w:rsidR="00FB70CD" w:rsidRPr="00226F9D" w:rsidRDefault="00FB70CD" w:rsidP="005B0999">
      <w:pPr>
        <w:spacing w:after="0" w:line="240" w:lineRule="auto"/>
        <w:rPr>
          <w:rFonts w:ascii="Times New Roman" w:hAnsi="Times New Roman" w:cs="Times New Roman"/>
        </w:rPr>
      </w:pPr>
    </w:p>
    <w:p w14:paraId="3875E08E" w14:textId="77777777" w:rsidR="00FB70CD" w:rsidRPr="00226F9D" w:rsidRDefault="00FB70CD" w:rsidP="005B0999">
      <w:pPr>
        <w:spacing w:after="0" w:line="240" w:lineRule="auto"/>
        <w:rPr>
          <w:rFonts w:ascii="Times New Roman" w:hAnsi="Times New Roman" w:cs="Times New Roman"/>
        </w:rPr>
      </w:pPr>
    </w:p>
    <w:p w14:paraId="1D348759" w14:textId="77777777" w:rsidR="00FB70CD" w:rsidRPr="00226F9D" w:rsidRDefault="00FB70CD" w:rsidP="005B0999">
      <w:pPr>
        <w:spacing w:after="0" w:line="240" w:lineRule="auto"/>
        <w:rPr>
          <w:rFonts w:ascii="Times New Roman" w:hAnsi="Times New Roman" w:cs="Times New Roman"/>
        </w:rPr>
      </w:pPr>
    </w:p>
    <w:p w14:paraId="03391A0F" w14:textId="77777777" w:rsidR="00FB70CD" w:rsidRPr="00226F9D" w:rsidRDefault="00FB70CD" w:rsidP="005B0999">
      <w:pPr>
        <w:spacing w:after="0" w:line="240" w:lineRule="auto"/>
        <w:rPr>
          <w:rFonts w:ascii="Times New Roman" w:hAnsi="Times New Roman" w:cs="Times New Roman"/>
        </w:rPr>
      </w:pPr>
    </w:p>
    <w:tbl>
      <w:tblPr>
        <w:tblW w:w="15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306"/>
        <w:gridCol w:w="1517"/>
        <w:gridCol w:w="1417"/>
        <w:gridCol w:w="2693"/>
        <w:gridCol w:w="2127"/>
        <w:gridCol w:w="1275"/>
        <w:gridCol w:w="852"/>
        <w:gridCol w:w="850"/>
        <w:gridCol w:w="851"/>
        <w:gridCol w:w="871"/>
        <w:gridCol w:w="1014"/>
      </w:tblGrid>
      <w:tr w:rsidR="008E6BC2" w:rsidRPr="00226F9D" w14:paraId="55C615A0" w14:textId="77777777">
        <w:trPr>
          <w:trHeight w:val="24"/>
        </w:trPr>
        <w:tc>
          <w:tcPr>
            <w:tcW w:w="2306" w:type="dxa"/>
            <w:shd w:val="clear" w:color="000000" w:fill="FFF2CC"/>
            <w:vAlign w:val="center"/>
            <w:hideMark/>
          </w:tcPr>
          <w:p w14:paraId="40A951D2"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lastRenderedPageBreak/>
              <w:t>Назив активности:</w:t>
            </w:r>
          </w:p>
        </w:tc>
        <w:tc>
          <w:tcPr>
            <w:tcW w:w="1517" w:type="dxa"/>
            <w:shd w:val="clear" w:color="000000" w:fill="FFF2CC"/>
            <w:vAlign w:val="center"/>
            <w:hideMark/>
          </w:tcPr>
          <w:p w14:paraId="3AB4AAC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000000" w:fill="FFF2CC"/>
            <w:vAlign w:val="center"/>
            <w:hideMark/>
          </w:tcPr>
          <w:p w14:paraId="400760D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Oргани и партнери у спровођењу активности</w:t>
            </w:r>
          </w:p>
        </w:tc>
        <w:tc>
          <w:tcPr>
            <w:tcW w:w="2693" w:type="dxa"/>
            <w:shd w:val="clear" w:color="000000" w:fill="FFF2CC"/>
            <w:vAlign w:val="center"/>
            <w:hideMark/>
          </w:tcPr>
          <w:p w14:paraId="761AF0D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000000" w:fill="FFF2CC"/>
            <w:vAlign w:val="center"/>
            <w:hideMark/>
          </w:tcPr>
          <w:p w14:paraId="0295848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000000" w:fill="FFF2CC"/>
            <w:vAlign w:val="center"/>
            <w:hideMark/>
          </w:tcPr>
          <w:p w14:paraId="3D09F99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438" w:type="dxa"/>
            <w:gridSpan w:val="5"/>
            <w:shd w:val="clear" w:color="000000" w:fill="FFF2CC"/>
            <w:vAlign w:val="center"/>
            <w:hideMark/>
          </w:tcPr>
          <w:p w14:paraId="42B9322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по изворима у 000 дин</w:t>
            </w:r>
          </w:p>
        </w:tc>
      </w:tr>
      <w:tr w:rsidR="003F4ABA" w:rsidRPr="00226F9D" w14:paraId="3C19B390" w14:textId="77777777">
        <w:trPr>
          <w:trHeight w:val="24"/>
        </w:trPr>
        <w:tc>
          <w:tcPr>
            <w:tcW w:w="2306" w:type="dxa"/>
            <w:shd w:val="clear" w:color="000000" w:fill="FFF2CC"/>
            <w:vAlign w:val="center"/>
            <w:hideMark/>
          </w:tcPr>
          <w:p w14:paraId="2B3886F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517" w:type="dxa"/>
            <w:shd w:val="clear" w:color="000000" w:fill="FFF2CC"/>
            <w:vAlign w:val="center"/>
            <w:hideMark/>
          </w:tcPr>
          <w:p w14:paraId="329DDA5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417" w:type="dxa"/>
            <w:shd w:val="clear" w:color="000000" w:fill="FFF2CC"/>
            <w:vAlign w:val="center"/>
            <w:hideMark/>
          </w:tcPr>
          <w:p w14:paraId="6CCF039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693" w:type="dxa"/>
            <w:shd w:val="clear" w:color="000000" w:fill="FFF2CC"/>
            <w:vAlign w:val="center"/>
            <w:hideMark/>
          </w:tcPr>
          <w:p w14:paraId="5CC8AD1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127" w:type="dxa"/>
            <w:shd w:val="clear" w:color="000000" w:fill="FFF2CC"/>
            <w:vAlign w:val="center"/>
            <w:hideMark/>
          </w:tcPr>
          <w:p w14:paraId="19A515E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275" w:type="dxa"/>
            <w:shd w:val="clear" w:color="000000" w:fill="FFF2CC"/>
            <w:vAlign w:val="center"/>
            <w:hideMark/>
          </w:tcPr>
          <w:p w14:paraId="6D465B3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2" w:type="dxa"/>
            <w:shd w:val="clear" w:color="000000" w:fill="FFF2CC"/>
            <w:vAlign w:val="center"/>
            <w:hideMark/>
          </w:tcPr>
          <w:p w14:paraId="3F26497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FFF2CC"/>
            <w:vAlign w:val="center"/>
            <w:hideMark/>
          </w:tcPr>
          <w:p w14:paraId="3ADC1C4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FFF2CC"/>
            <w:vAlign w:val="center"/>
            <w:hideMark/>
          </w:tcPr>
          <w:p w14:paraId="29360B1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71" w:type="dxa"/>
            <w:shd w:val="clear" w:color="000000" w:fill="FFF2CC"/>
            <w:vAlign w:val="center"/>
            <w:hideMark/>
          </w:tcPr>
          <w:p w14:paraId="1955354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1014" w:type="dxa"/>
            <w:shd w:val="clear" w:color="000000" w:fill="FFF2CC"/>
            <w:vAlign w:val="center"/>
            <w:hideMark/>
          </w:tcPr>
          <w:p w14:paraId="74E97AD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3F4ABA" w:rsidRPr="00226F9D" w14:paraId="7839629D" w14:textId="77777777">
        <w:trPr>
          <w:trHeight w:val="500"/>
        </w:trPr>
        <w:tc>
          <w:tcPr>
            <w:tcW w:w="2306" w:type="dxa"/>
            <w:vMerge w:val="restart"/>
            <w:shd w:val="clear" w:color="000000" w:fill="FFFFFF"/>
            <w:hideMark/>
          </w:tcPr>
          <w:p w14:paraId="410A7D18"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2.2.1. Наставак подршке ЛС на годишњем нивоу за квалитетније спровођење буџетских процеса (саветодавна подршкa, израда модела и смерница по потреби за примену прописа и осигуравање усаглашености са Упутствима МФИН – програмско и родно буџетирање, управљање капиталним пројектима и транспарентност буџета)</w:t>
            </w:r>
          </w:p>
        </w:tc>
        <w:tc>
          <w:tcPr>
            <w:tcW w:w="1517" w:type="dxa"/>
            <w:vMerge w:val="restart"/>
            <w:shd w:val="clear" w:color="000000" w:fill="FFFFFF"/>
            <w:vAlign w:val="center"/>
            <w:hideMark/>
          </w:tcPr>
          <w:p w14:paraId="4A6DDD2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МФИН</w:t>
            </w:r>
          </w:p>
        </w:tc>
        <w:tc>
          <w:tcPr>
            <w:tcW w:w="1417" w:type="dxa"/>
            <w:vMerge w:val="restart"/>
            <w:shd w:val="clear" w:color="000000" w:fill="FFFFFF"/>
            <w:vAlign w:val="center"/>
            <w:hideMark/>
          </w:tcPr>
          <w:p w14:paraId="73C92BE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 СКГО</w:t>
            </w:r>
          </w:p>
        </w:tc>
        <w:tc>
          <w:tcPr>
            <w:tcW w:w="2693" w:type="dxa"/>
            <w:vMerge w:val="restart"/>
            <w:vAlign w:val="center"/>
            <w:hideMark/>
          </w:tcPr>
          <w:p w14:paraId="07A632D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IV квартал 2030.</w:t>
            </w:r>
          </w:p>
        </w:tc>
        <w:tc>
          <w:tcPr>
            <w:tcW w:w="2127" w:type="dxa"/>
            <w:vAlign w:val="center"/>
            <w:hideMark/>
          </w:tcPr>
          <w:p w14:paraId="0DF9D1A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(СДЦ-СКГО-Партнерство за добру локалну самоуправу)</w:t>
            </w:r>
          </w:p>
        </w:tc>
        <w:tc>
          <w:tcPr>
            <w:tcW w:w="1275" w:type="dxa"/>
            <w:vAlign w:val="center"/>
            <w:hideMark/>
          </w:tcPr>
          <w:p w14:paraId="43ECC23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2" w:type="dxa"/>
            <w:shd w:val="clear" w:color="000000" w:fill="FFFFFF"/>
            <w:vAlign w:val="center"/>
            <w:hideMark/>
          </w:tcPr>
          <w:p w14:paraId="6CE2B96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600</w:t>
            </w:r>
          </w:p>
        </w:tc>
        <w:tc>
          <w:tcPr>
            <w:tcW w:w="850" w:type="dxa"/>
            <w:shd w:val="clear" w:color="000000" w:fill="FFFFFF"/>
            <w:vAlign w:val="center"/>
            <w:hideMark/>
          </w:tcPr>
          <w:p w14:paraId="50F06C7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vAlign w:val="center"/>
            <w:hideMark/>
          </w:tcPr>
          <w:p w14:paraId="327D808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vAlign w:val="center"/>
            <w:hideMark/>
          </w:tcPr>
          <w:p w14:paraId="13B85B1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vAlign w:val="center"/>
            <w:hideMark/>
          </w:tcPr>
          <w:p w14:paraId="228C377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F4ABA" w:rsidRPr="00226F9D" w14:paraId="6EBC8275" w14:textId="77777777">
        <w:trPr>
          <w:trHeight w:val="418"/>
        </w:trPr>
        <w:tc>
          <w:tcPr>
            <w:tcW w:w="2306" w:type="dxa"/>
            <w:vMerge/>
            <w:vAlign w:val="center"/>
            <w:hideMark/>
          </w:tcPr>
          <w:p w14:paraId="4C8927A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17" w:type="dxa"/>
            <w:vMerge/>
            <w:vAlign w:val="center"/>
            <w:hideMark/>
          </w:tcPr>
          <w:p w14:paraId="44C427C9"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17" w:type="dxa"/>
            <w:vMerge/>
            <w:vAlign w:val="center"/>
            <w:hideMark/>
          </w:tcPr>
          <w:p w14:paraId="3437213D"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vMerge/>
            <w:vAlign w:val="center"/>
            <w:hideMark/>
          </w:tcPr>
          <w:p w14:paraId="4202E51F"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shd w:val="clear" w:color="000000" w:fill="FFFFFF"/>
            <w:vAlign w:val="center"/>
            <w:hideMark/>
          </w:tcPr>
          <w:p w14:paraId="041CA67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000000" w:fill="FFFFFF"/>
            <w:vAlign w:val="center"/>
            <w:hideMark/>
          </w:tcPr>
          <w:p w14:paraId="5A29D7C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16 -16.0 - 2301-0013,411</w:t>
            </w:r>
          </w:p>
        </w:tc>
        <w:tc>
          <w:tcPr>
            <w:tcW w:w="852" w:type="dxa"/>
            <w:shd w:val="clear" w:color="000000" w:fill="FFFFFF"/>
            <w:vAlign w:val="center"/>
            <w:hideMark/>
          </w:tcPr>
          <w:p w14:paraId="1248A7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084A91F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vAlign w:val="center"/>
            <w:hideMark/>
          </w:tcPr>
          <w:p w14:paraId="2FCE035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vAlign w:val="center"/>
            <w:hideMark/>
          </w:tcPr>
          <w:p w14:paraId="0D625E2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vAlign w:val="center"/>
            <w:hideMark/>
          </w:tcPr>
          <w:p w14:paraId="11C286D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F4ABA" w:rsidRPr="00226F9D" w14:paraId="3B3C2000" w14:textId="77777777">
        <w:trPr>
          <w:trHeight w:val="725"/>
        </w:trPr>
        <w:tc>
          <w:tcPr>
            <w:tcW w:w="2306" w:type="dxa"/>
            <w:vMerge/>
            <w:vAlign w:val="center"/>
            <w:hideMark/>
          </w:tcPr>
          <w:p w14:paraId="50E5A8D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17" w:type="dxa"/>
            <w:vMerge/>
            <w:vAlign w:val="center"/>
            <w:hideMark/>
          </w:tcPr>
          <w:p w14:paraId="158BB80C"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17" w:type="dxa"/>
            <w:vMerge/>
            <w:vAlign w:val="center"/>
            <w:hideMark/>
          </w:tcPr>
          <w:p w14:paraId="2C2059B6"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vMerge/>
            <w:vAlign w:val="center"/>
            <w:hideMark/>
          </w:tcPr>
          <w:p w14:paraId="701E5B2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vAlign w:val="center"/>
            <w:hideMark/>
          </w:tcPr>
          <w:p w14:paraId="579CD92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vAlign w:val="center"/>
            <w:hideMark/>
          </w:tcPr>
          <w:p w14:paraId="3743F7D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2" w:type="dxa"/>
            <w:shd w:val="clear" w:color="000000" w:fill="FFFFFF"/>
            <w:vAlign w:val="center"/>
            <w:hideMark/>
          </w:tcPr>
          <w:p w14:paraId="458826A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133EF6C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51" w:type="dxa"/>
            <w:shd w:val="clear" w:color="000000" w:fill="FFFFFF"/>
            <w:vAlign w:val="center"/>
            <w:hideMark/>
          </w:tcPr>
          <w:p w14:paraId="718E400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71" w:type="dxa"/>
            <w:shd w:val="clear" w:color="000000" w:fill="FFFFFF"/>
            <w:vAlign w:val="center"/>
            <w:hideMark/>
          </w:tcPr>
          <w:p w14:paraId="793A4F0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1014" w:type="dxa"/>
            <w:shd w:val="clear" w:color="000000" w:fill="FFFFFF"/>
            <w:vAlign w:val="center"/>
            <w:hideMark/>
          </w:tcPr>
          <w:p w14:paraId="4CF7030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r>
      <w:tr w:rsidR="003F4ABA" w:rsidRPr="00226F9D" w14:paraId="5B7B3D84" w14:textId="77777777">
        <w:trPr>
          <w:trHeight w:val="81"/>
        </w:trPr>
        <w:tc>
          <w:tcPr>
            <w:tcW w:w="2306" w:type="dxa"/>
            <w:vMerge w:val="restart"/>
            <w:shd w:val="clear" w:color="000000" w:fill="FFFFFF"/>
            <w:hideMark/>
          </w:tcPr>
          <w:p w14:paraId="0CA46E8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2.2.2. Изградња капацитета ЛС за квалитетније спровођење буџетских процеса - годишњи буџетски семинари за ЛС (унапређење квалитета одлука о буџету и одлука о завршном рачуну ЛС у складу са Упутствима МФИН и налазима екстерне ревизије)</w:t>
            </w:r>
          </w:p>
        </w:tc>
        <w:tc>
          <w:tcPr>
            <w:tcW w:w="1517" w:type="dxa"/>
            <w:vMerge w:val="restart"/>
            <w:shd w:val="clear" w:color="000000" w:fill="FFFFFF"/>
            <w:vAlign w:val="center"/>
            <w:hideMark/>
          </w:tcPr>
          <w:p w14:paraId="1B30F24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МФИН</w:t>
            </w:r>
          </w:p>
        </w:tc>
        <w:tc>
          <w:tcPr>
            <w:tcW w:w="1417" w:type="dxa"/>
            <w:vMerge w:val="restart"/>
            <w:shd w:val="clear" w:color="000000" w:fill="FFFFFF"/>
            <w:vAlign w:val="center"/>
            <w:hideMark/>
          </w:tcPr>
          <w:p w14:paraId="3FCC7C3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w:t>
            </w:r>
          </w:p>
        </w:tc>
        <w:tc>
          <w:tcPr>
            <w:tcW w:w="2693" w:type="dxa"/>
            <w:vMerge w:val="restart"/>
            <w:vAlign w:val="center"/>
            <w:hideMark/>
          </w:tcPr>
          <w:p w14:paraId="22C5462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IV квартал 2030.</w:t>
            </w:r>
          </w:p>
        </w:tc>
        <w:tc>
          <w:tcPr>
            <w:tcW w:w="2127" w:type="dxa"/>
            <w:vAlign w:val="center"/>
            <w:hideMark/>
          </w:tcPr>
          <w:p w14:paraId="05223F8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(СДЦ-СКГО-Партнерство за добру локалну самоуправу)</w:t>
            </w:r>
          </w:p>
        </w:tc>
        <w:tc>
          <w:tcPr>
            <w:tcW w:w="1275" w:type="dxa"/>
            <w:vAlign w:val="center"/>
            <w:hideMark/>
          </w:tcPr>
          <w:p w14:paraId="0DEB2E2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2" w:type="dxa"/>
            <w:shd w:val="clear" w:color="000000" w:fill="FFFFFF"/>
            <w:vAlign w:val="center"/>
            <w:hideMark/>
          </w:tcPr>
          <w:p w14:paraId="125746E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1.100</w:t>
            </w:r>
          </w:p>
        </w:tc>
        <w:tc>
          <w:tcPr>
            <w:tcW w:w="850" w:type="dxa"/>
            <w:shd w:val="clear" w:color="000000" w:fill="FFFFFF"/>
            <w:vAlign w:val="center"/>
            <w:hideMark/>
          </w:tcPr>
          <w:p w14:paraId="394885A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2E3C412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shd w:val="clear" w:color="000000" w:fill="FFFFFF"/>
            <w:vAlign w:val="center"/>
            <w:hideMark/>
          </w:tcPr>
          <w:p w14:paraId="589CDED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shd w:val="clear" w:color="000000" w:fill="FFFFFF"/>
            <w:vAlign w:val="center"/>
            <w:hideMark/>
          </w:tcPr>
          <w:p w14:paraId="151ED91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F4ABA" w:rsidRPr="00226F9D" w14:paraId="38708159" w14:textId="77777777">
        <w:trPr>
          <w:trHeight w:val="65"/>
        </w:trPr>
        <w:tc>
          <w:tcPr>
            <w:tcW w:w="2306" w:type="dxa"/>
            <w:vMerge/>
            <w:vAlign w:val="center"/>
            <w:hideMark/>
          </w:tcPr>
          <w:p w14:paraId="21F3DBF4"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17" w:type="dxa"/>
            <w:vMerge/>
            <w:vAlign w:val="center"/>
            <w:hideMark/>
          </w:tcPr>
          <w:p w14:paraId="2349E1CE"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17" w:type="dxa"/>
            <w:vMerge/>
            <w:vAlign w:val="center"/>
            <w:hideMark/>
          </w:tcPr>
          <w:p w14:paraId="64685E38"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vMerge/>
            <w:vAlign w:val="center"/>
            <w:hideMark/>
          </w:tcPr>
          <w:p w14:paraId="12F38800"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shd w:val="clear" w:color="000000" w:fill="FFFFFF"/>
            <w:vAlign w:val="center"/>
            <w:hideMark/>
          </w:tcPr>
          <w:p w14:paraId="23B532E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000000" w:fill="FFFFFF"/>
            <w:vAlign w:val="center"/>
            <w:hideMark/>
          </w:tcPr>
          <w:p w14:paraId="796FA08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16 -16.0 - 2301-0013,411</w:t>
            </w:r>
          </w:p>
        </w:tc>
        <w:tc>
          <w:tcPr>
            <w:tcW w:w="852" w:type="dxa"/>
            <w:shd w:val="clear" w:color="000000" w:fill="FFFFFF"/>
            <w:vAlign w:val="center"/>
            <w:hideMark/>
          </w:tcPr>
          <w:p w14:paraId="4A6DA97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6C0A247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5C2525C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shd w:val="clear" w:color="000000" w:fill="FFFFFF"/>
            <w:vAlign w:val="center"/>
            <w:hideMark/>
          </w:tcPr>
          <w:p w14:paraId="1827CAA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shd w:val="clear" w:color="000000" w:fill="FFFFFF"/>
            <w:vAlign w:val="center"/>
            <w:hideMark/>
          </w:tcPr>
          <w:p w14:paraId="4996C78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F4ABA" w:rsidRPr="00226F9D" w14:paraId="71534341" w14:textId="77777777">
        <w:trPr>
          <w:trHeight w:val="386"/>
        </w:trPr>
        <w:tc>
          <w:tcPr>
            <w:tcW w:w="2306" w:type="dxa"/>
            <w:vMerge/>
            <w:vAlign w:val="center"/>
            <w:hideMark/>
          </w:tcPr>
          <w:p w14:paraId="4F1EF2DF"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17" w:type="dxa"/>
            <w:vMerge/>
            <w:vAlign w:val="center"/>
            <w:hideMark/>
          </w:tcPr>
          <w:p w14:paraId="7158300C"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17" w:type="dxa"/>
            <w:vMerge/>
            <w:vAlign w:val="center"/>
            <w:hideMark/>
          </w:tcPr>
          <w:p w14:paraId="5F3830CC"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vMerge/>
            <w:vAlign w:val="center"/>
            <w:hideMark/>
          </w:tcPr>
          <w:p w14:paraId="09B4E64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vAlign w:val="center"/>
            <w:hideMark/>
          </w:tcPr>
          <w:p w14:paraId="7BF3791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vAlign w:val="center"/>
            <w:hideMark/>
          </w:tcPr>
          <w:p w14:paraId="4679BA9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2" w:type="dxa"/>
            <w:shd w:val="clear" w:color="000000" w:fill="FFFFFF"/>
            <w:vAlign w:val="center"/>
            <w:hideMark/>
          </w:tcPr>
          <w:p w14:paraId="46F79B6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24119DE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600*</w:t>
            </w:r>
          </w:p>
        </w:tc>
        <w:tc>
          <w:tcPr>
            <w:tcW w:w="851" w:type="dxa"/>
            <w:shd w:val="clear" w:color="000000" w:fill="FFFFFF"/>
            <w:vAlign w:val="center"/>
            <w:hideMark/>
          </w:tcPr>
          <w:p w14:paraId="52E283F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650*</w:t>
            </w:r>
          </w:p>
        </w:tc>
        <w:tc>
          <w:tcPr>
            <w:tcW w:w="871" w:type="dxa"/>
            <w:shd w:val="clear" w:color="000000" w:fill="FFFFFF"/>
            <w:vAlign w:val="center"/>
            <w:hideMark/>
          </w:tcPr>
          <w:p w14:paraId="56ECD87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700*</w:t>
            </w:r>
          </w:p>
        </w:tc>
        <w:tc>
          <w:tcPr>
            <w:tcW w:w="1014" w:type="dxa"/>
            <w:shd w:val="clear" w:color="000000" w:fill="FFFFFF"/>
            <w:vAlign w:val="center"/>
            <w:hideMark/>
          </w:tcPr>
          <w:p w14:paraId="573A441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750*</w:t>
            </w:r>
          </w:p>
        </w:tc>
      </w:tr>
      <w:tr w:rsidR="003F4ABA" w:rsidRPr="00226F9D" w14:paraId="780026F2" w14:textId="77777777">
        <w:trPr>
          <w:trHeight w:val="156"/>
        </w:trPr>
        <w:tc>
          <w:tcPr>
            <w:tcW w:w="2306" w:type="dxa"/>
            <w:vMerge w:val="restart"/>
            <w:shd w:val="clear" w:color="000000" w:fill="FFFFFF"/>
            <w:hideMark/>
          </w:tcPr>
          <w:p w14:paraId="2247FC17"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2.2.3.  Наставак подршке ЛС на годишњем нивоу за квалитетније средњорочно планирање (унапређење методолошког оквира, израда модела и смерница, саветодавна подршка, обука за израду средњорочних планова ЛС). </w:t>
            </w:r>
          </w:p>
        </w:tc>
        <w:tc>
          <w:tcPr>
            <w:tcW w:w="1517" w:type="dxa"/>
            <w:vMerge w:val="restart"/>
            <w:vAlign w:val="center"/>
            <w:hideMark/>
          </w:tcPr>
          <w:p w14:paraId="3E9ED25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РСЈП</w:t>
            </w:r>
          </w:p>
        </w:tc>
        <w:tc>
          <w:tcPr>
            <w:tcW w:w="1417" w:type="dxa"/>
            <w:vMerge w:val="restart"/>
            <w:vAlign w:val="center"/>
            <w:hideMark/>
          </w:tcPr>
          <w:p w14:paraId="6DF891E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 СКГО</w:t>
            </w:r>
          </w:p>
        </w:tc>
        <w:tc>
          <w:tcPr>
            <w:tcW w:w="2693" w:type="dxa"/>
            <w:vMerge w:val="restart"/>
            <w:vAlign w:val="center"/>
            <w:hideMark/>
          </w:tcPr>
          <w:p w14:paraId="7402F2A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IV квартал 2030.</w:t>
            </w:r>
          </w:p>
        </w:tc>
        <w:tc>
          <w:tcPr>
            <w:tcW w:w="2127" w:type="dxa"/>
            <w:shd w:val="clear" w:color="000000" w:fill="FFFFFF"/>
            <w:vAlign w:val="center"/>
            <w:hideMark/>
          </w:tcPr>
          <w:p w14:paraId="302414D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000000" w:fill="FFFFFF"/>
            <w:vAlign w:val="center"/>
            <w:hideMark/>
          </w:tcPr>
          <w:p w14:paraId="73402EA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0610-0006</w:t>
            </w:r>
          </w:p>
        </w:tc>
        <w:tc>
          <w:tcPr>
            <w:tcW w:w="852" w:type="dxa"/>
            <w:shd w:val="clear" w:color="000000" w:fill="FFFFFF"/>
            <w:vAlign w:val="center"/>
            <w:hideMark/>
          </w:tcPr>
          <w:p w14:paraId="004BBA5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7438F32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47D5CF1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shd w:val="clear" w:color="000000" w:fill="FFFFFF"/>
            <w:vAlign w:val="center"/>
            <w:hideMark/>
          </w:tcPr>
          <w:p w14:paraId="7076104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shd w:val="clear" w:color="000000" w:fill="FFFFFF"/>
            <w:vAlign w:val="center"/>
            <w:hideMark/>
          </w:tcPr>
          <w:p w14:paraId="7C5C323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F4ABA" w:rsidRPr="00226F9D" w14:paraId="4A9FAAAB" w14:textId="77777777">
        <w:trPr>
          <w:trHeight w:val="620"/>
        </w:trPr>
        <w:tc>
          <w:tcPr>
            <w:tcW w:w="2306" w:type="dxa"/>
            <w:vMerge/>
            <w:vAlign w:val="center"/>
            <w:hideMark/>
          </w:tcPr>
          <w:p w14:paraId="38E31B8F"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17" w:type="dxa"/>
            <w:vMerge/>
            <w:vAlign w:val="center"/>
            <w:hideMark/>
          </w:tcPr>
          <w:p w14:paraId="7BA50A59"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vAlign w:val="center"/>
            <w:hideMark/>
          </w:tcPr>
          <w:p w14:paraId="058AEA8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vMerge/>
            <w:vAlign w:val="center"/>
            <w:hideMark/>
          </w:tcPr>
          <w:p w14:paraId="3D53E9A0"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vAlign w:val="center"/>
            <w:hideMark/>
          </w:tcPr>
          <w:p w14:paraId="57367BE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(СДЦ-СКГО-Партнерство за добру локалну самоуправу)</w:t>
            </w:r>
          </w:p>
        </w:tc>
        <w:tc>
          <w:tcPr>
            <w:tcW w:w="1275" w:type="dxa"/>
            <w:vAlign w:val="center"/>
            <w:hideMark/>
          </w:tcPr>
          <w:p w14:paraId="603B885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2" w:type="dxa"/>
            <w:shd w:val="clear" w:color="000000" w:fill="FFFFFF"/>
            <w:vAlign w:val="center"/>
            <w:hideMark/>
          </w:tcPr>
          <w:p w14:paraId="66EB038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w:t>
            </w:r>
          </w:p>
        </w:tc>
        <w:tc>
          <w:tcPr>
            <w:tcW w:w="850" w:type="dxa"/>
            <w:shd w:val="clear" w:color="000000" w:fill="FFFFFF"/>
            <w:vAlign w:val="center"/>
            <w:hideMark/>
          </w:tcPr>
          <w:p w14:paraId="60F3C85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035940B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shd w:val="clear" w:color="000000" w:fill="FFFFFF"/>
            <w:vAlign w:val="center"/>
            <w:hideMark/>
          </w:tcPr>
          <w:p w14:paraId="1215870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shd w:val="clear" w:color="000000" w:fill="FFFFFF"/>
            <w:vAlign w:val="center"/>
            <w:hideMark/>
          </w:tcPr>
          <w:p w14:paraId="5EE9CE6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F4ABA" w:rsidRPr="00226F9D" w14:paraId="2F587AF4" w14:textId="77777777">
        <w:trPr>
          <w:trHeight w:val="666"/>
        </w:trPr>
        <w:tc>
          <w:tcPr>
            <w:tcW w:w="2306" w:type="dxa"/>
            <w:vMerge/>
            <w:vAlign w:val="center"/>
            <w:hideMark/>
          </w:tcPr>
          <w:p w14:paraId="6A6341E1"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17" w:type="dxa"/>
            <w:vMerge/>
            <w:vAlign w:val="center"/>
            <w:hideMark/>
          </w:tcPr>
          <w:p w14:paraId="7CE333D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vAlign w:val="center"/>
            <w:hideMark/>
          </w:tcPr>
          <w:p w14:paraId="3347EC63"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vMerge/>
            <w:vAlign w:val="center"/>
            <w:hideMark/>
          </w:tcPr>
          <w:p w14:paraId="6944576C"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vAlign w:val="center"/>
            <w:hideMark/>
          </w:tcPr>
          <w:p w14:paraId="7DDAB2A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vAlign w:val="center"/>
            <w:hideMark/>
          </w:tcPr>
          <w:p w14:paraId="4A05C55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2" w:type="dxa"/>
            <w:shd w:val="clear" w:color="000000" w:fill="FFFFFF"/>
            <w:vAlign w:val="center"/>
            <w:hideMark/>
          </w:tcPr>
          <w:p w14:paraId="5A710F8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3E6E3F6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w:t>
            </w:r>
          </w:p>
        </w:tc>
        <w:tc>
          <w:tcPr>
            <w:tcW w:w="851" w:type="dxa"/>
            <w:shd w:val="clear" w:color="000000" w:fill="FFFFFF"/>
            <w:vAlign w:val="center"/>
            <w:hideMark/>
          </w:tcPr>
          <w:p w14:paraId="26825E0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w:t>
            </w:r>
          </w:p>
        </w:tc>
        <w:tc>
          <w:tcPr>
            <w:tcW w:w="871" w:type="dxa"/>
            <w:shd w:val="clear" w:color="000000" w:fill="FFFFFF"/>
            <w:vAlign w:val="center"/>
            <w:hideMark/>
          </w:tcPr>
          <w:p w14:paraId="725F158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w:t>
            </w:r>
          </w:p>
        </w:tc>
        <w:tc>
          <w:tcPr>
            <w:tcW w:w="1014" w:type="dxa"/>
            <w:shd w:val="clear" w:color="000000" w:fill="FFFFFF"/>
            <w:vAlign w:val="center"/>
            <w:hideMark/>
          </w:tcPr>
          <w:p w14:paraId="44CAB39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w:t>
            </w:r>
          </w:p>
        </w:tc>
      </w:tr>
      <w:tr w:rsidR="003F4ABA" w:rsidRPr="00226F9D" w14:paraId="2C1C648D" w14:textId="77777777">
        <w:trPr>
          <w:trHeight w:val="530"/>
        </w:trPr>
        <w:tc>
          <w:tcPr>
            <w:tcW w:w="2306" w:type="dxa"/>
            <w:shd w:val="clear" w:color="000000" w:fill="FFFFFF"/>
            <w:vAlign w:val="center"/>
            <w:hideMark/>
          </w:tcPr>
          <w:p w14:paraId="7071A6F9"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2.2.4. Формирање јавног електронског приказа буџета локалних власти (планирања и извршења прихода и расхода буџета сваке од ЛС)</w:t>
            </w:r>
          </w:p>
        </w:tc>
        <w:tc>
          <w:tcPr>
            <w:tcW w:w="1517" w:type="dxa"/>
            <w:vAlign w:val="center"/>
            <w:hideMark/>
          </w:tcPr>
          <w:p w14:paraId="531F917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w:t>
            </w:r>
          </w:p>
        </w:tc>
        <w:tc>
          <w:tcPr>
            <w:tcW w:w="1417" w:type="dxa"/>
            <w:vAlign w:val="center"/>
            <w:hideMark/>
          </w:tcPr>
          <w:p w14:paraId="7D1CA1E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СКГО</w:t>
            </w:r>
          </w:p>
        </w:tc>
        <w:tc>
          <w:tcPr>
            <w:tcW w:w="2693" w:type="dxa"/>
            <w:vAlign w:val="center"/>
            <w:hideMark/>
          </w:tcPr>
          <w:p w14:paraId="4E7BF7A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IV квартал 2026.</w:t>
            </w:r>
          </w:p>
        </w:tc>
        <w:tc>
          <w:tcPr>
            <w:tcW w:w="2127" w:type="dxa"/>
            <w:shd w:val="clear" w:color="000000" w:fill="FFFFFF"/>
            <w:vAlign w:val="center"/>
            <w:hideMark/>
          </w:tcPr>
          <w:p w14:paraId="04D9A31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000000" w:fill="FFFFFF"/>
            <w:vAlign w:val="center"/>
            <w:hideMark/>
          </w:tcPr>
          <w:p w14:paraId="2C5314E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16 -16.0 - 2301-0013,411</w:t>
            </w:r>
          </w:p>
        </w:tc>
        <w:tc>
          <w:tcPr>
            <w:tcW w:w="852" w:type="dxa"/>
            <w:shd w:val="clear" w:color="000000" w:fill="FFFFFF"/>
            <w:noWrap/>
            <w:vAlign w:val="center"/>
            <w:hideMark/>
          </w:tcPr>
          <w:p w14:paraId="0A56CB4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3EC1FE7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334C35F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shd w:val="clear" w:color="000000" w:fill="FFFFFF"/>
            <w:vAlign w:val="center"/>
            <w:hideMark/>
          </w:tcPr>
          <w:p w14:paraId="0DBED53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shd w:val="clear" w:color="000000" w:fill="FFFFFF"/>
            <w:vAlign w:val="center"/>
            <w:hideMark/>
          </w:tcPr>
          <w:p w14:paraId="6D06775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bl>
    <w:p w14:paraId="30D163A6" w14:textId="52FB3FFF" w:rsidR="00FB70CD" w:rsidRPr="00226F9D" w:rsidRDefault="00FB70CD" w:rsidP="005B0999">
      <w:pPr>
        <w:spacing w:after="0" w:line="240" w:lineRule="auto"/>
        <w:rPr>
          <w:rFonts w:ascii="Times New Roman" w:hAnsi="Times New Roman" w:cs="Times New Roman"/>
        </w:rPr>
      </w:pPr>
    </w:p>
    <w:tbl>
      <w:tblPr>
        <w:tblW w:w="15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307"/>
        <w:gridCol w:w="1517"/>
        <w:gridCol w:w="1417"/>
        <w:gridCol w:w="2693"/>
        <w:gridCol w:w="2127"/>
        <w:gridCol w:w="1275"/>
        <w:gridCol w:w="851"/>
        <w:gridCol w:w="850"/>
        <w:gridCol w:w="851"/>
        <w:gridCol w:w="871"/>
        <w:gridCol w:w="1014"/>
      </w:tblGrid>
      <w:tr w:rsidR="003F4ABA" w:rsidRPr="00226F9D" w14:paraId="53FA7976" w14:textId="77777777">
        <w:trPr>
          <w:trHeight w:val="20"/>
        </w:trPr>
        <w:tc>
          <w:tcPr>
            <w:tcW w:w="2306" w:type="dxa"/>
            <w:vMerge w:val="restart"/>
            <w:shd w:val="clear" w:color="000000" w:fill="FFFFFF"/>
            <w:vAlign w:val="center"/>
            <w:hideMark/>
          </w:tcPr>
          <w:p w14:paraId="6BE89CC3" w14:textId="106857AB" w:rsidR="00FB70CD" w:rsidRPr="00226F9D" w:rsidRDefault="00FB70CD" w:rsidP="005B0999">
            <w:pPr>
              <w:spacing w:after="0" w:line="240" w:lineRule="auto"/>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2.2.5.</w:t>
            </w:r>
            <w:r w:rsidR="002B0C6A" w:rsidRPr="00226F9D">
              <w:rPr>
                <w:rFonts w:ascii="Times New Roman" w:eastAsia="Times New Roman" w:hAnsi="Times New Roman" w:cs="Times New Roman"/>
                <w:color w:val="000000"/>
                <w:kern w:val="0"/>
                <w:sz w:val="16"/>
                <w:szCs w:val="16"/>
                <w:lang w:val="sr-Cyrl-RS" w:eastAsia="en-GB"/>
                <w14:ligatures w14:val="none"/>
              </w:rPr>
              <w:t xml:space="preserve"> </w:t>
            </w:r>
            <w:r w:rsidRPr="00226F9D">
              <w:rPr>
                <w:rFonts w:ascii="Times New Roman" w:eastAsia="Times New Roman" w:hAnsi="Times New Roman" w:cs="Times New Roman"/>
                <w:color w:val="000000"/>
                <w:kern w:val="0"/>
                <w:sz w:val="16"/>
                <w:szCs w:val="16"/>
                <w:lang w:val="sr-Cyrl-RS" w:eastAsia="en-GB"/>
                <w14:ligatures w14:val="none"/>
              </w:rPr>
              <w:t xml:space="preserve">Спровођење програма обука из Секторског програма континуираног стручног </w:t>
            </w:r>
            <w:r w:rsidRPr="00226F9D">
              <w:rPr>
                <w:rFonts w:ascii="Times New Roman" w:eastAsia="Times New Roman" w:hAnsi="Times New Roman" w:cs="Times New Roman"/>
                <w:color w:val="000000"/>
                <w:kern w:val="0"/>
                <w:sz w:val="16"/>
                <w:szCs w:val="16"/>
                <w:lang w:val="sr-Cyrl-RS" w:eastAsia="en-GB"/>
                <w14:ligatures w14:val="none"/>
              </w:rPr>
              <w:lastRenderedPageBreak/>
              <w:t>усавршавања запослених у ЈЛС у области партиципативног буџетирања - извештавање посредством НАЈУ</w:t>
            </w:r>
          </w:p>
        </w:tc>
        <w:tc>
          <w:tcPr>
            <w:tcW w:w="1517" w:type="dxa"/>
            <w:vMerge w:val="restart"/>
            <w:vAlign w:val="center"/>
            <w:hideMark/>
          </w:tcPr>
          <w:p w14:paraId="55D2CD4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lastRenderedPageBreak/>
              <w:t>НАЈУ</w:t>
            </w:r>
          </w:p>
        </w:tc>
        <w:tc>
          <w:tcPr>
            <w:tcW w:w="1417" w:type="dxa"/>
            <w:vMerge w:val="restart"/>
            <w:shd w:val="clear" w:color="000000" w:fill="FFFFFF"/>
            <w:vAlign w:val="center"/>
            <w:hideMark/>
          </w:tcPr>
          <w:p w14:paraId="131A71A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МФИН, СКГО</w:t>
            </w:r>
          </w:p>
        </w:tc>
        <w:tc>
          <w:tcPr>
            <w:tcW w:w="2693" w:type="dxa"/>
            <w:vMerge w:val="restart"/>
            <w:vAlign w:val="center"/>
            <w:hideMark/>
          </w:tcPr>
          <w:p w14:paraId="7887622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 IV квартал 2030. </w:t>
            </w:r>
          </w:p>
        </w:tc>
        <w:tc>
          <w:tcPr>
            <w:tcW w:w="2127" w:type="dxa"/>
            <w:vAlign w:val="center"/>
            <w:hideMark/>
          </w:tcPr>
          <w:p w14:paraId="7CCDFC8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(СДЦ-СКГО-Партнерство за добру локалну самоуправу)</w:t>
            </w:r>
          </w:p>
        </w:tc>
        <w:tc>
          <w:tcPr>
            <w:tcW w:w="1275" w:type="dxa"/>
            <w:vAlign w:val="center"/>
            <w:hideMark/>
          </w:tcPr>
          <w:p w14:paraId="055E09C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vAlign w:val="center"/>
            <w:hideMark/>
          </w:tcPr>
          <w:p w14:paraId="03AA1AC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150</w:t>
            </w:r>
          </w:p>
        </w:tc>
        <w:tc>
          <w:tcPr>
            <w:tcW w:w="850" w:type="dxa"/>
            <w:shd w:val="clear" w:color="000000" w:fill="FFFFFF"/>
            <w:vAlign w:val="center"/>
            <w:hideMark/>
          </w:tcPr>
          <w:p w14:paraId="2FD2AF1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4094F5C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shd w:val="clear" w:color="000000" w:fill="FFFFFF"/>
            <w:vAlign w:val="center"/>
            <w:hideMark/>
          </w:tcPr>
          <w:p w14:paraId="2DA5B20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shd w:val="clear" w:color="000000" w:fill="FFFFFF"/>
            <w:vAlign w:val="center"/>
            <w:hideMark/>
          </w:tcPr>
          <w:p w14:paraId="48AA9A9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F4ABA" w:rsidRPr="00226F9D" w14:paraId="483D74D1" w14:textId="77777777">
        <w:trPr>
          <w:trHeight w:val="1001"/>
        </w:trPr>
        <w:tc>
          <w:tcPr>
            <w:tcW w:w="2306" w:type="dxa"/>
            <w:vMerge/>
            <w:vAlign w:val="center"/>
            <w:hideMark/>
          </w:tcPr>
          <w:p w14:paraId="4B128A7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17" w:type="dxa"/>
            <w:vMerge/>
            <w:vAlign w:val="center"/>
            <w:hideMark/>
          </w:tcPr>
          <w:p w14:paraId="21560471"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vAlign w:val="center"/>
            <w:hideMark/>
          </w:tcPr>
          <w:p w14:paraId="7BF53266"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vMerge/>
            <w:vAlign w:val="center"/>
            <w:hideMark/>
          </w:tcPr>
          <w:p w14:paraId="089B5A9C"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vAlign w:val="center"/>
            <w:hideMark/>
          </w:tcPr>
          <w:p w14:paraId="4AEFC73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vAlign w:val="center"/>
            <w:hideMark/>
          </w:tcPr>
          <w:p w14:paraId="6BB9AFA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vAlign w:val="center"/>
            <w:hideMark/>
          </w:tcPr>
          <w:p w14:paraId="4D94F92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67282D4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150*</w:t>
            </w:r>
          </w:p>
        </w:tc>
        <w:tc>
          <w:tcPr>
            <w:tcW w:w="851" w:type="dxa"/>
            <w:shd w:val="clear" w:color="000000" w:fill="FFFFFF"/>
            <w:vAlign w:val="center"/>
            <w:hideMark/>
          </w:tcPr>
          <w:p w14:paraId="0B5D04C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150*</w:t>
            </w:r>
          </w:p>
        </w:tc>
        <w:tc>
          <w:tcPr>
            <w:tcW w:w="871" w:type="dxa"/>
            <w:shd w:val="clear" w:color="000000" w:fill="FFFFFF"/>
            <w:vAlign w:val="center"/>
            <w:hideMark/>
          </w:tcPr>
          <w:p w14:paraId="0A8C60C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150*</w:t>
            </w:r>
          </w:p>
        </w:tc>
        <w:tc>
          <w:tcPr>
            <w:tcW w:w="1014" w:type="dxa"/>
            <w:shd w:val="clear" w:color="000000" w:fill="FFFFFF"/>
            <w:vAlign w:val="center"/>
            <w:hideMark/>
          </w:tcPr>
          <w:p w14:paraId="4669145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150*</w:t>
            </w:r>
          </w:p>
        </w:tc>
      </w:tr>
      <w:tr w:rsidR="003F4ABA" w:rsidRPr="00226F9D" w14:paraId="71DC7E7E" w14:textId="77777777">
        <w:trPr>
          <w:trHeight w:val="518"/>
        </w:trPr>
        <w:tc>
          <w:tcPr>
            <w:tcW w:w="2306" w:type="dxa"/>
            <w:vMerge w:val="restart"/>
            <w:shd w:val="clear" w:color="000000" w:fill="FFFFFF"/>
            <w:hideMark/>
          </w:tcPr>
          <w:p w14:paraId="78B74665" w14:textId="1893AE5D" w:rsidR="00FB70CD" w:rsidRPr="00226F9D" w:rsidRDefault="00FB70CD" w:rsidP="005B0999">
            <w:pPr>
              <w:spacing w:after="0" w:line="240" w:lineRule="auto"/>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2.2.6.</w:t>
            </w:r>
            <w:r w:rsidR="002B0C6A" w:rsidRPr="00226F9D">
              <w:rPr>
                <w:rFonts w:ascii="Times New Roman" w:eastAsia="Times New Roman" w:hAnsi="Times New Roman" w:cs="Times New Roman"/>
                <w:color w:val="000000"/>
                <w:kern w:val="0"/>
                <w:sz w:val="16"/>
                <w:szCs w:val="16"/>
                <w:lang w:val="sr-Cyrl-RS" w:eastAsia="en-GB"/>
                <w14:ligatures w14:val="none"/>
              </w:rPr>
              <w:t xml:space="preserve"> </w:t>
            </w:r>
            <w:r w:rsidRPr="00226F9D">
              <w:rPr>
                <w:rFonts w:ascii="Times New Roman" w:eastAsia="Times New Roman" w:hAnsi="Times New Roman" w:cs="Times New Roman"/>
                <w:color w:val="000000"/>
                <w:kern w:val="0"/>
                <w:sz w:val="16"/>
                <w:szCs w:val="16"/>
                <w:lang w:val="sr-Cyrl-RS" w:eastAsia="en-GB"/>
                <w14:ligatures w14:val="none"/>
              </w:rPr>
              <w:t xml:space="preserve">Спровођење програма обука из Секторског програма континуираног стручног усавршавања запослених у ЈЛС у области родног буџетирања - извештавање посредством НАЈУ </w:t>
            </w:r>
          </w:p>
        </w:tc>
        <w:tc>
          <w:tcPr>
            <w:tcW w:w="1517" w:type="dxa"/>
            <w:vMerge w:val="restart"/>
            <w:vAlign w:val="center"/>
            <w:hideMark/>
          </w:tcPr>
          <w:p w14:paraId="2A14940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НАЈУ</w:t>
            </w:r>
          </w:p>
        </w:tc>
        <w:tc>
          <w:tcPr>
            <w:tcW w:w="1417" w:type="dxa"/>
            <w:vMerge w:val="restart"/>
            <w:shd w:val="clear" w:color="000000" w:fill="FFFFFF"/>
            <w:vAlign w:val="center"/>
            <w:hideMark/>
          </w:tcPr>
          <w:p w14:paraId="72802D8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МФИН, СКГО</w:t>
            </w:r>
          </w:p>
        </w:tc>
        <w:tc>
          <w:tcPr>
            <w:tcW w:w="2693" w:type="dxa"/>
            <w:vMerge w:val="restart"/>
            <w:vAlign w:val="center"/>
            <w:hideMark/>
          </w:tcPr>
          <w:p w14:paraId="3A5EA0F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 IV квартал 2030. </w:t>
            </w:r>
          </w:p>
        </w:tc>
        <w:tc>
          <w:tcPr>
            <w:tcW w:w="2127" w:type="dxa"/>
            <w:vAlign w:val="center"/>
            <w:hideMark/>
          </w:tcPr>
          <w:p w14:paraId="5B518A7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(СДЦ-СКГО-Партнерство за добру локалну самоуправу)</w:t>
            </w:r>
          </w:p>
        </w:tc>
        <w:tc>
          <w:tcPr>
            <w:tcW w:w="1275" w:type="dxa"/>
            <w:vAlign w:val="center"/>
            <w:hideMark/>
          </w:tcPr>
          <w:p w14:paraId="623A625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vAlign w:val="center"/>
            <w:hideMark/>
          </w:tcPr>
          <w:p w14:paraId="74DC167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450</w:t>
            </w:r>
          </w:p>
        </w:tc>
        <w:tc>
          <w:tcPr>
            <w:tcW w:w="850" w:type="dxa"/>
            <w:shd w:val="clear" w:color="000000" w:fill="FFFFFF"/>
            <w:vAlign w:val="center"/>
            <w:hideMark/>
          </w:tcPr>
          <w:p w14:paraId="3A56080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117DDA1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71" w:type="dxa"/>
            <w:shd w:val="clear" w:color="000000" w:fill="FFFFFF"/>
            <w:vAlign w:val="center"/>
            <w:hideMark/>
          </w:tcPr>
          <w:p w14:paraId="24257CE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shd w:val="clear" w:color="000000" w:fill="FFFFFF"/>
            <w:vAlign w:val="center"/>
            <w:hideMark/>
          </w:tcPr>
          <w:p w14:paraId="4D347E4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F4ABA" w:rsidRPr="00226F9D" w14:paraId="635B97B9" w14:textId="77777777">
        <w:trPr>
          <w:trHeight w:val="564"/>
        </w:trPr>
        <w:tc>
          <w:tcPr>
            <w:tcW w:w="2306" w:type="dxa"/>
            <w:vMerge/>
            <w:vAlign w:val="center"/>
            <w:hideMark/>
          </w:tcPr>
          <w:p w14:paraId="32EDA3C8"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17" w:type="dxa"/>
            <w:vMerge/>
            <w:vAlign w:val="center"/>
            <w:hideMark/>
          </w:tcPr>
          <w:p w14:paraId="61B0FACF"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vAlign w:val="center"/>
            <w:hideMark/>
          </w:tcPr>
          <w:p w14:paraId="5D92B828"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93" w:type="dxa"/>
            <w:vMerge/>
            <w:vAlign w:val="center"/>
            <w:hideMark/>
          </w:tcPr>
          <w:p w14:paraId="60AFB204"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vAlign w:val="center"/>
            <w:hideMark/>
          </w:tcPr>
          <w:p w14:paraId="4F4D3B5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vAlign w:val="center"/>
            <w:hideMark/>
          </w:tcPr>
          <w:p w14:paraId="60EA440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vAlign w:val="center"/>
            <w:hideMark/>
          </w:tcPr>
          <w:p w14:paraId="1641C9E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74EC075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1DE3C0E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71" w:type="dxa"/>
            <w:shd w:val="clear" w:color="000000" w:fill="FFFFFF"/>
            <w:vAlign w:val="center"/>
            <w:hideMark/>
          </w:tcPr>
          <w:p w14:paraId="456BF4E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014" w:type="dxa"/>
            <w:shd w:val="clear" w:color="000000" w:fill="FFFFFF"/>
            <w:vAlign w:val="center"/>
            <w:hideMark/>
          </w:tcPr>
          <w:p w14:paraId="599FD28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r>
      <w:tr w:rsidR="003F4ABA" w:rsidRPr="00226F9D" w14:paraId="0C6592DE" w14:textId="77777777">
        <w:trPr>
          <w:trHeight w:val="685"/>
        </w:trPr>
        <w:tc>
          <w:tcPr>
            <w:tcW w:w="2306" w:type="dxa"/>
            <w:shd w:val="clear" w:color="000000" w:fill="FFFFFF"/>
            <w:hideMark/>
          </w:tcPr>
          <w:p w14:paraId="4BD86D8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2.2.7. Подршка за примену Уредбе о капиталним пројектима на узорку ЈЛС и разматрање потребних регулаторних унапређења и изградња капацитета ЈЛС за рад у ПИМИС</w:t>
            </w:r>
          </w:p>
        </w:tc>
        <w:tc>
          <w:tcPr>
            <w:tcW w:w="1517" w:type="dxa"/>
            <w:vAlign w:val="center"/>
            <w:hideMark/>
          </w:tcPr>
          <w:p w14:paraId="48EE74F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w:t>
            </w:r>
          </w:p>
        </w:tc>
        <w:tc>
          <w:tcPr>
            <w:tcW w:w="1417" w:type="dxa"/>
            <w:vAlign w:val="center"/>
            <w:hideMark/>
          </w:tcPr>
          <w:p w14:paraId="7F08EB0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vAlign w:val="center"/>
            <w:hideMark/>
          </w:tcPr>
          <w:p w14:paraId="142E906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 IV квартал 2030. </w:t>
            </w:r>
          </w:p>
        </w:tc>
        <w:tc>
          <w:tcPr>
            <w:tcW w:w="2127" w:type="dxa"/>
            <w:shd w:val="clear" w:color="000000" w:fill="FFFFFF"/>
            <w:vAlign w:val="center"/>
            <w:hideMark/>
          </w:tcPr>
          <w:p w14:paraId="596716F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Донаторска подршка* - средства нису обезбеђена</w:t>
            </w:r>
          </w:p>
        </w:tc>
        <w:tc>
          <w:tcPr>
            <w:tcW w:w="1275" w:type="dxa"/>
            <w:shd w:val="clear" w:color="000000" w:fill="FFFFFF"/>
            <w:vAlign w:val="center"/>
            <w:hideMark/>
          </w:tcPr>
          <w:p w14:paraId="62E9B1A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vAlign w:val="center"/>
            <w:hideMark/>
          </w:tcPr>
          <w:p w14:paraId="3A50B03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vAlign w:val="center"/>
            <w:hideMark/>
          </w:tcPr>
          <w:p w14:paraId="44857E2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1.350*</w:t>
            </w:r>
          </w:p>
        </w:tc>
        <w:tc>
          <w:tcPr>
            <w:tcW w:w="851" w:type="dxa"/>
            <w:vAlign w:val="center"/>
            <w:hideMark/>
          </w:tcPr>
          <w:p w14:paraId="5044A8C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2.700*</w:t>
            </w:r>
          </w:p>
        </w:tc>
        <w:tc>
          <w:tcPr>
            <w:tcW w:w="871" w:type="dxa"/>
            <w:vAlign w:val="center"/>
            <w:hideMark/>
          </w:tcPr>
          <w:p w14:paraId="750ADC1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225*</w:t>
            </w:r>
          </w:p>
        </w:tc>
        <w:tc>
          <w:tcPr>
            <w:tcW w:w="1014" w:type="dxa"/>
            <w:vAlign w:val="center"/>
            <w:hideMark/>
          </w:tcPr>
          <w:p w14:paraId="3CAB22D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225*</w:t>
            </w:r>
          </w:p>
        </w:tc>
      </w:tr>
      <w:tr w:rsidR="00FB70CD" w:rsidRPr="00226F9D" w14:paraId="72890987" w14:textId="77777777">
        <w:trPr>
          <w:trHeight w:val="14"/>
        </w:trPr>
        <w:tc>
          <w:tcPr>
            <w:tcW w:w="15772" w:type="dxa"/>
            <w:gridSpan w:val="11"/>
            <w:shd w:val="clear" w:color="000000" w:fill="FFFFFF"/>
          </w:tcPr>
          <w:p w14:paraId="2FBFF790"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средства нису обезбеђена у тренутку израде АП</w:t>
            </w:r>
          </w:p>
        </w:tc>
      </w:tr>
    </w:tbl>
    <w:p w14:paraId="0E3F856B" w14:textId="77777777" w:rsidR="00FB70CD" w:rsidRPr="00226F9D" w:rsidRDefault="00FB70CD" w:rsidP="005B0999">
      <w:pPr>
        <w:spacing w:after="0" w:line="240" w:lineRule="auto"/>
        <w:rPr>
          <w:rFonts w:ascii="Times New Roman" w:hAnsi="Times New Roman" w:cs="Times New Roman"/>
        </w:rPr>
      </w:pPr>
    </w:p>
    <w:p w14:paraId="35EE19A3" w14:textId="77777777" w:rsidR="00FB70CD" w:rsidRPr="00226F9D" w:rsidRDefault="00FB70CD" w:rsidP="005B0999">
      <w:pPr>
        <w:spacing w:after="0" w:line="240" w:lineRule="auto"/>
        <w:rPr>
          <w:rFonts w:ascii="Times New Roman" w:hAnsi="Times New Roman" w:cs="Times New Roman"/>
        </w:rPr>
      </w:pPr>
    </w:p>
    <w:p w14:paraId="0A5A4BCC" w14:textId="77777777" w:rsidR="00FB70CD" w:rsidRPr="00226F9D" w:rsidRDefault="00FB70CD" w:rsidP="005B0999">
      <w:pPr>
        <w:spacing w:after="0" w:line="240" w:lineRule="auto"/>
        <w:rPr>
          <w:rFonts w:ascii="Times New Roman" w:hAnsi="Times New Roman" w:cs="Times New Roman"/>
        </w:rPr>
      </w:pPr>
    </w:p>
    <w:p w14:paraId="451A92D2" w14:textId="77777777" w:rsidR="00FB70CD" w:rsidRPr="00226F9D" w:rsidRDefault="00FB70CD" w:rsidP="005B0999">
      <w:pPr>
        <w:spacing w:after="0" w:line="240" w:lineRule="auto"/>
        <w:rPr>
          <w:rFonts w:ascii="Times New Roman" w:hAnsi="Times New Roman" w:cs="Times New Roman"/>
        </w:rPr>
      </w:pPr>
      <w:r w:rsidRPr="00226F9D">
        <w:rPr>
          <w:rFonts w:ascii="Times New Roman" w:hAnsi="Times New Roman" w:cs="Times New Roman"/>
        </w:rPr>
        <w:br w:type="page"/>
      </w: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70"/>
        <w:gridCol w:w="1553"/>
        <w:gridCol w:w="1451"/>
        <w:gridCol w:w="1100"/>
        <w:gridCol w:w="1559"/>
        <w:gridCol w:w="2127"/>
        <w:gridCol w:w="1275"/>
        <w:gridCol w:w="851"/>
        <w:gridCol w:w="850"/>
        <w:gridCol w:w="851"/>
        <w:gridCol w:w="866"/>
        <w:gridCol w:w="941"/>
      </w:tblGrid>
      <w:tr w:rsidR="00FB70CD" w:rsidRPr="00226F9D" w14:paraId="5DB5FBDF" w14:textId="77777777" w:rsidTr="0EB8FC02">
        <w:trPr>
          <w:trHeight w:val="24"/>
        </w:trPr>
        <w:tc>
          <w:tcPr>
            <w:tcW w:w="15694" w:type="dxa"/>
            <w:gridSpan w:val="12"/>
            <w:shd w:val="clear" w:color="auto" w:fill="C5E0B3"/>
            <w:hideMark/>
          </w:tcPr>
          <w:p w14:paraId="277F679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lastRenderedPageBreak/>
              <w:t>Посебни циљ 3: Унапређена организација и капацитети локалне управе   </w:t>
            </w:r>
          </w:p>
        </w:tc>
      </w:tr>
      <w:tr w:rsidR="00FB70CD" w:rsidRPr="00226F9D" w14:paraId="0F72BF45" w14:textId="77777777" w:rsidTr="0EB8FC02">
        <w:trPr>
          <w:trHeight w:val="24"/>
        </w:trPr>
        <w:tc>
          <w:tcPr>
            <w:tcW w:w="15694" w:type="dxa"/>
            <w:gridSpan w:val="12"/>
            <w:shd w:val="clear" w:color="auto" w:fill="C5E0B3"/>
            <w:hideMark/>
          </w:tcPr>
          <w:p w14:paraId="298C890F"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Институција одговорна за праћење и контролу реализације: МДУЛС</w:t>
            </w:r>
          </w:p>
        </w:tc>
      </w:tr>
      <w:tr w:rsidR="00FB70CD" w:rsidRPr="00226F9D" w14:paraId="70D2D0B2" w14:textId="77777777" w:rsidTr="0EB8FC02">
        <w:trPr>
          <w:trHeight w:val="33"/>
        </w:trPr>
        <w:tc>
          <w:tcPr>
            <w:tcW w:w="5274" w:type="dxa"/>
            <w:gridSpan w:val="3"/>
            <w:shd w:val="clear" w:color="auto" w:fill="D9D9D9" w:themeFill="background1" w:themeFillShade="D9"/>
            <w:vAlign w:val="center"/>
            <w:hideMark/>
          </w:tcPr>
          <w:p w14:paraId="40208419"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посебног циља (показатељ исхода)</w:t>
            </w:r>
          </w:p>
        </w:tc>
        <w:tc>
          <w:tcPr>
            <w:tcW w:w="1100" w:type="dxa"/>
            <w:shd w:val="clear" w:color="auto" w:fill="D9D9D9" w:themeFill="background1" w:themeFillShade="D9"/>
            <w:hideMark/>
          </w:tcPr>
          <w:p w14:paraId="3A78783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auto" w:fill="D9D9D9" w:themeFill="background1" w:themeFillShade="D9"/>
            <w:vAlign w:val="center"/>
            <w:hideMark/>
          </w:tcPr>
          <w:p w14:paraId="3AA9AF1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auto" w:fill="D9D9D9" w:themeFill="background1" w:themeFillShade="D9"/>
            <w:vAlign w:val="center"/>
            <w:hideMark/>
          </w:tcPr>
          <w:p w14:paraId="1AAF445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auto" w:fill="D9D9D9" w:themeFill="background1" w:themeFillShade="D9"/>
            <w:vAlign w:val="center"/>
            <w:hideMark/>
          </w:tcPr>
          <w:p w14:paraId="50DDE43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auto" w:fill="D9D9D9" w:themeFill="background1" w:themeFillShade="D9"/>
            <w:vAlign w:val="center"/>
            <w:hideMark/>
          </w:tcPr>
          <w:p w14:paraId="6B8A1D8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2026. години</w:t>
            </w:r>
          </w:p>
        </w:tc>
        <w:tc>
          <w:tcPr>
            <w:tcW w:w="850" w:type="dxa"/>
            <w:shd w:val="clear" w:color="auto" w:fill="D9D9D9" w:themeFill="background1" w:themeFillShade="D9"/>
            <w:vAlign w:val="center"/>
            <w:hideMark/>
          </w:tcPr>
          <w:p w14:paraId="2C9B995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auto" w:fill="D9D9D9" w:themeFill="background1" w:themeFillShade="D9"/>
            <w:vAlign w:val="center"/>
            <w:hideMark/>
          </w:tcPr>
          <w:p w14:paraId="685560A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6" w:type="dxa"/>
            <w:shd w:val="clear" w:color="auto" w:fill="D9D9D9" w:themeFill="background1" w:themeFillShade="D9"/>
            <w:vAlign w:val="center"/>
            <w:hideMark/>
          </w:tcPr>
          <w:p w14:paraId="2E6A21F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41" w:type="dxa"/>
            <w:shd w:val="clear" w:color="auto" w:fill="D9D9D9" w:themeFill="background1" w:themeFillShade="D9"/>
            <w:vAlign w:val="center"/>
            <w:hideMark/>
          </w:tcPr>
          <w:p w14:paraId="38A6C4A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2E33647D" w14:textId="77777777" w:rsidTr="0EB8FC02">
        <w:trPr>
          <w:trHeight w:val="215"/>
        </w:trPr>
        <w:tc>
          <w:tcPr>
            <w:tcW w:w="5274" w:type="dxa"/>
            <w:gridSpan w:val="3"/>
            <w:shd w:val="clear" w:color="auto" w:fill="FFFFFF" w:themeFill="background1"/>
            <w:hideMark/>
          </w:tcPr>
          <w:p w14:paraId="629D25F0" w14:textId="77777777" w:rsidR="00FB70CD" w:rsidRPr="00226F9D" w:rsidRDefault="00FB70CD" w:rsidP="005B0999">
            <w:pPr>
              <w:spacing w:after="0" w:line="240" w:lineRule="auto"/>
              <w:rPr>
                <w:rFonts w:ascii="Times New Roman" w:eastAsia="Times New Roman" w:hAnsi="Times New Roman" w:cs="Times New Roman"/>
                <w:i/>
                <w:color w:val="000000"/>
                <w:kern w:val="0"/>
                <w:sz w:val="16"/>
                <w:szCs w:val="16"/>
                <w:lang w:eastAsia="en-GB"/>
                <w14:ligatures w14:val="none"/>
              </w:rPr>
            </w:pPr>
            <w:r w:rsidRPr="00226F9D">
              <w:rPr>
                <w:rFonts w:ascii="Times New Roman" w:eastAsia="Times New Roman" w:hAnsi="Times New Roman" w:cs="Times New Roman"/>
                <w:i/>
                <w:color w:val="000000"/>
                <w:kern w:val="0"/>
                <w:sz w:val="16"/>
                <w:szCs w:val="16"/>
                <w:lang w:eastAsia="en-GB"/>
                <w14:ligatures w14:val="none"/>
              </w:rPr>
              <w:t>Капацитет ЈЛС за управљање људским ресурсима у локалној управи</w:t>
            </w:r>
          </w:p>
        </w:tc>
        <w:tc>
          <w:tcPr>
            <w:tcW w:w="1100" w:type="dxa"/>
            <w:hideMark/>
          </w:tcPr>
          <w:p w14:paraId="41C549F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w:t>
            </w:r>
          </w:p>
        </w:tc>
        <w:tc>
          <w:tcPr>
            <w:tcW w:w="1559" w:type="dxa"/>
            <w:hideMark/>
          </w:tcPr>
          <w:p w14:paraId="48B38A8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Индекс СКГО</w:t>
            </w:r>
          </w:p>
        </w:tc>
        <w:tc>
          <w:tcPr>
            <w:tcW w:w="2127" w:type="dxa"/>
            <w:shd w:val="clear" w:color="auto" w:fill="FFFFFF" w:themeFill="background1"/>
            <w:hideMark/>
          </w:tcPr>
          <w:p w14:paraId="2AD567C8" w14:textId="7D60DDED" w:rsidR="00FB70CD" w:rsidRPr="00226F9D" w:rsidRDefault="00CB24ED" w:rsidP="005B0999">
            <w:pPr>
              <w:spacing w:after="0" w:line="240" w:lineRule="auto"/>
              <w:jc w:val="center"/>
              <w:rPr>
                <w:rFonts w:ascii="Times New Roman" w:eastAsia="Times New Roman" w:hAnsi="Times New Roman" w:cs="Times New Roman"/>
                <w:color w:val="FF0000"/>
                <w:kern w:val="0"/>
                <w:sz w:val="16"/>
                <w:szCs w:val="16"/>
                <w:lang w:val="sr-Cyrl-RS" w:eastAsia="en-GB"/>
                <w14:ligatures w14:val="none"/>
              </w:rPr>
            </w:pPr>
            <w:r w:rsidRPr="00226F9D">
              <w:rPr>
                <w:rFonts w:ascii="Times New Roman" w:eastAsia="Times New Roman" w:hAnsi="Times New Roman" w:cs="Times New Roman"/>
                <w:color w:val="000000" w:themeColor="text1"/>
                <w:kern w:val="0"/>
                <w:sz w:val="16"/>
                <w:szCs w:val="16"/>
                <w:lang w:val="sr-Cyrl-RS" w:eastAsia="en-GB"/>
                <w14:ligatures w14:val="none"/>
              </w:rPr>
              <w:t>56,7</w:t>
            </w:r>
            <w:r w:rsidR="00065CE5" w:rsidRPr="00226F9D">
              <w:rPr>
                <w:rFonts w:ascii="Times New Roman" w:eastAsia="Times New Roman" w:hAnsi="Times New Roman" w:cs="Times New Roman"/>
                <w:color w:val="000000" w:themeColor="text1"/>
                <w:kern w:val="0"/>
                <w:sz w:val="16"/>
                <w:szCs w:val="16"/>
                <w:lang w:val="sr-Cyrl-RS" w:eastAsia="en-GB"/>
                <w14:ligatures w14:val="none"/>
              </w:rPr>
              <w:t>%</w:t>
            </w:r>
          </w:p>
        </w:tc>
        <w:tc>
          <w:tcPr>
            <w:tcW w:w="1275" w:type="dxa"/>
            <w:noWrap/>
            <w:hideMark/>
          </w:tcPr>
          <w:p w14:paraId="57FB333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noWrap/>
            <w:hideMark/>
          </w:tcPr>
          <w:p w14:paraId="5AE93486" w14:textId="5823ECCD"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134C4A"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auto" w:fill="FFFFFF" w:themeFill="background1"/>
            <w:hideMark/>
          </w:tcPr>
          <w:p w14:paraId="3F90ED91" w14:textId="0160694E" w:rsidR="00FB70CD" w:rsidRPr="00226F9D" w:rsidRDefault="00164B68"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Latn-RS" w:eastAsia="en-GB"/>
                <w14:ligatures w14:val="none"/>
              </w:rPr>
              <w:t>6</w:t>
            </w:r>
            <w:r w:rsidR="00723C78" w:rsidRPr="00226F9D">
              <w:rPr>
                <w:rFonts w:ascii="Times New Roman" w:eastAsia="Times New Roman" w:hAnsi="Times New Roman" w:cs="Times New Roman"/>
                <w:color w:val="000000"/>
                <w:kern w:val="0"/>
                <w:sz w:val="16"/>
                <w:szCs w:val="16"/>
                <w:lang w:val="sr-Latn-RS" w:eastAsia="en-GB"/>
                <w14:ligatures w14:val="none"/>
              </w:rPr>
              <w:t>2,4</w:t>
            </w:r>
            <w:r w:rsidR="00336AC7" w:rsidRPr="00226F9D">
              <w:rPr>
                <w:rFonts w:ascii="Times New Roman" w:eastAsia="Times New Roman" w:hAnsi="Times New Roman" w:cs="Times New Roman"/>
                <w:color w:val="000000"/>
                <w:kern w:val="0"/>
                <w:sz w:val="16"/>
                <w:szCs w:val="16"/>
                <w:lang w:val="sr-Latn-RS" w:eastAsia="en-GB"/>
                <w14:ligatures w14:val="none"/>
              </w:rPr>
              <w:t>%</w:t>
            </w:r>
          </w:p>
        </w:tc>
        <w:tc>
          <w:tcPr>
            <w:tcW w:w="851" w:type="dxa"/>
            <w:shd w:val="clear" w:color="auto" w:fill="FFFFFF" w:themeFill="background1"/>
            <w:hideMark/>
          </w:tcPr>
          <w:p w14:paraId="35F6BB4D" w14:textId="0B679180" w:rsidR="00FB70CD" w:rsidRPr="00226F9D" w:rsidRDefault="002949FC" w:rsidP="00BF36E6">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Latn-RS" w:eastAsia="en-GB"/>
                <w14:ligatures w14:val="none"/>
              </w:rPr>
              <w:t>6</w:t>
            </w:r>
            <w:r w:rsidR="006A1544" w:rsidRPr="00226F9D">
              <w:rPr>
                <w:rFonts w:ascii="Times New Roman" w:eastAsia="Times New Roman" w:hAnsi="Times New Roman" w:cs="Times New Roman"/>
                <w:color w:val="000000"/>
                <w:kern w:val="0"/>
                <w:sz w:val="16"/>
                <w:szCs w:val="16"/>
                <w:lang w:val="sr-Latn-RS" w:eastAsia="en-GB"/>
                <w14:ligatures w14:val="none"/>
              </w:rPr>
              <w:t>5,2</w:t>
            </w:r>
            <w:r w:rsidR="00336AC7" w:rsidRPr="00226F9D">
              <w:rPr>
                <w:rFonts w:ascii="Times New Roman" w:eastAsia="Times New Roman" w:hAnsi="Times New Roman" w:cs="Times New Roman"/>
                <w:color w:val="000000"/>
                <w:kern w:val="0"/>
                <w:sz w:val="16"/>
                <w:szCs w:val="16"/>
                <w:lang w:val="sr-Latn-RS" w:eastAsia="en-GB"/>
                <w14:ligatures w14:val="none"/>
              </w:rPr>
              <w:t>%</w:t>
            </w:r>
          </w:p>
        </w:tc>
        <w:tc>
          <w:tcPr>
            <w:tcW w:w="866" w:type="dxa"/>
            <w:noWrap/>
            <w:hideMark/>
          </w:tcPr>
          <w:p w14:paraId="557C5AD4" w14:textId="6D35E666"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336AC7" w:rsidRPr="00226F9D">
              <w:rPr>
                <w:rFonts w:ascii="Times New Roman" w:eastAsia="Times New Roman" w:hAnsi="Times New Roman" w:cs="Times New Roman"/>
                <w:color w:val="000000"/>
                <w:kern w:val="0"/>
                <w:sz w:val="16"/>
                <w:szCs w:val="16"/>
                <w:lang w:eastAsia="en-GB"/>
                <w14:ligatures w14:val="none"/>
              </w:rPr>
              <w:t>/</w:t>
            </w:r>
          </w:p>
        </w:tc>
        <w:tc>
          <w:tcPr>
            <w:tcW w:w="941" w:type="dxa"/>
            <w:shd w:val="clear" w:color="auto" w:fill="FFFFFF" w:themeFill="background1"/>
            <w:hideMark/>
          </w:tcPr>
          <w:p w14:paraId="1EB55966" w14:textId="6CEBDB23" w:rsidR="00FB70CD" w:rsidRPr="00226F9D" w:rsidRDefault="2C21AA2A"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1A3142" w:rsidRPr="00226F9D">
              <w:rPr>
                <w:rFonts w:ascii="Times New Roman" w:eastAsia="Times New Roman" w:hAnsi="Times New Roman" w:cs="Times New Roman"/>
                <w:color w:val="000000" w:themeColor="text1"/>
                <w:sz w:val="16"/>
                <w:szCs w:val="16"/>
                <w:lang w:val="sr-Cyrl-RS" w:eastAsia="en-GB"/>
              </w:rPr>
              <w:t>68%</w:t>
            </w:r>
          </w:p>
        </w:tc>
      </w:tr>
      <w:tr w:rsidR="00FB70CD" w:rsidRPr="00226F9D" w14:paraId="39727E33" w14:textId="77777777" w:rsidTr="0EB8FC02">
        <w:trPr>
          <w:trHeight w:val="151"/>
        </w:trPr>
        <w:tc>
          <w:tcPr>
            <w:tcW w:w="5274" w:type="dxa"/>
            <w:gridSpan w:val="3"/>
            <w:shd w:val="clear" w:color="auto" w:fill="FFFFFF" w:themeFill="background1"/>
            <w:hideMark/>
          </w:tcPr>
          <w:p w14:paraId="04A2DF5D" w14:textId="77777777" w:rsidR="00FB70CD" w:rsidRPr="00226F9D" w:rsidRDefault="00FB70CD" w:rsidP="005B0999">
            <w:pPr>
              <w:spacing w:after="0" w:line="240" w:lineRule="auto"/>
              <w:rPr>
                <w:rFonts w:ascii="Times New Roman" w:eastAsia="Times New Roman" w:hAnsi="Times New Roman" w:cs="Times New Roman"/>
                <w:i/>
                <w:iCs/>
                <w:color w:val="000000"/>
                <w:kern w:val="0"/>
                <w:sz w:val="16"/>
                <w:szCs w:val="16"/>
                <w:lang w:eastAsia="en-GB"/>
                <w14:ligatures w14:val="none"/>
              </w:rPr>
            </w:pPr>
            <w:r w:rsidRPr="00226F9D">
              <w:rPr>
                <w:rFonts w:ascii="Times New Roman" w:eastAsia="Times New Roman" w:hAnsi="Times New Roman" w:cs="Times New Roman"/>
                <w:i/>
                <w:iCs/>
                <w:color w:val="000000"/>
                <w:kern w:val="0"/>
                <w:sz w:val="16"/>
                <w:szCs w:val="16"/>
                <w:lang w:eastAsia="en-GB"/>
                <w14:ligatures w14:val="none"/>
              </w:rPr>
              <w:t xml:space="preserve">Степен обучености локалних управа за примену нових правних и процесних решења у области управљања људским ресурсима и стручног усавршавања </w:t>
            </w:r>
          </w:p>
        </w:tc>
        <w:tc>
          <w:tcPr>
            <w:tcW w:w="1100" w:type="dxa"/>
            <w:hideMark/>
          </w:tcPr>
          <w:p w14:paraId="775F9EFD"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Број</w:t>
            </w:r>
          </w:p>
        </w:tc>
        <w:tc>
          <w:tcPr>
            <w:tcW w:w="1559" w:type="dxa"/>
            <w:shd w:val="clear" w:color="auto" w:fill="FFFFFF" w:themeFill="background1"/>
            <w:hideMark/>
          </w:tcPr>
          <w:p w14:paraId="2A63568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Извештај МДУЛС</w:t>
            </w:r>
          </w:p>
        </w:tc>
        <w:tc>
          <w:tcPr>
            <w:tcW w:w="2127" w:type="dxa"/>
            <w:shd w:val="clear" w:color="auto" w:fill="FFFFFF" w:themeFill="background1"/>
            <w:hideMark/>
          </w:tcPr>
          <w:p w14:paraId="3FFC6F2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noWrap/>
            <w:hideMark/>
          </w:tcPr>
          <w:p w14:paraId="52414F1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auto" w:fill="FFFFFF" w:themeFill="background1"/>
            <w:noWrap/>
            <w:hideMark/>
          </w:tcPr>
          <w:p w14:paraId="2E84CF7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w:t>
            </w:r>
          </w:p>
        </w:tc>
        <w:tc>
          <w:tcPr>
            <w:tcW w:w="850" w:type="dxa"/>
            <w:shd w:val="clear" w:color="auto" w:fill="FFFFFF" w:themeFill="background1"/>
            <w:hideMark/>
          </w:tcPr>
          <w:p w14:paraId="38190B5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w:t>
            </w:r>
          </w:p>
        </w:tc>
        <w:tc>
          <w:tcPr>
            <w:tcW w:w="851" w:type="dxa"/>
            <w:shd w:val="clear" w:color="auto" w:fill="FFFFFF" w:themeFill="background1"/>
            <w:hideMark/>
          </w:tcPr>
          <w:p w14:paraId="33D3BD2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w:t>
            </w:r>
          </w:p>
        </w:tc>
        <w:tc>
          <w:tcPr>
            <w:tcW w:w="866" w:type="dxa"/>
            <w:noWrap/>
            <w:hideMark/>
          </w:tcPr>
          <w:p w14:paraId="5D0D3B4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w:t>
            </w:r>
          </w:p>
        </w:tc>
        <w:tc>
          <w:tcPr>
            <w:tcW w:w="941" w:type="dxa"/>
            <w:shd w:val="clear" w:color="auto" w:fill="FFFFFF" w:themeFill="background1"/>
            <w:hideMark/>
          </w:tcPr>
          <w:p w14:paraId="5FA78A5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w:t>
            </w:r>
          </w:p>
        </w:tc>
      </w:tr>
      <w:tr w:rsidR="00FB70CD" w:rsidRPr="00226F9D" w14:paraId="1FBE60BD" w14:textId="77777777" w:rsidTr="0EB8FC02">
        <w:trPr>
          <w:trHeight w:val="24"/>
        </w:trPr>
        <w:tc>
          <w:tcPr>
            <w:tcW w:w="15694" w:type="dxa"/>
            <w:gridSpan w:val="12"/>
            <w:shd w:val="clear" w:color="auto" w:fill="F7CAAC"/>
            <w:hideMark/>
          </w:tcPr>
          <w:p w14:paraId="78604184"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Мера 3.1: Развој и унапређење система УЉР у ЈЛС заснованог на компетенцијама</w:t>
            </w:r>
          </w:p>
        </w:tc>
      </w:tr>
      <w:tr w:rsidR="00FB70CD" w:rsidRPr="00226F9D" w14:paraId="299E19BC" w14:textId="77777777" w:rsidTr="0EB8FC02">
        <w:trPr>
          <w:trHeight w:val="24"/>
        </w:trPr>
        <w:tc>
          <w:tcPr>
            <w:tcW w:w="15694" w:type="dxa"/>
            <w:gridSpan w:val="12"/>
            <w:shd w:val="clear" w:color="auto" w:fill="F7CAAC"/>
            <w:hideMark/>
          </w:tcPr>
          <w:p w14:paraId="6591E8D5" w14:textId="276F9A2B"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Институција одговорна за праћење и контролу реализације:</w:t>
            </w:r>
            <w:r w:rsidR="00707A0A" w:rsidRPr="00226F9D">
              <w:rPr>
                <w:rFonts w:ascii="Times New Roman" w:eastAsia="Times New Roman" w:hAnsi="Times New Roman" w:cs="Times New Roman"/>
                <w:color w:val="222222"/>
                <w:kern w:val="0"/>
                <w:sz w:val="16"/>
                <w:szCs w:val="16"/>
                <w:lang w:val="sr-Cyrl-RS" w:eastAsia="en-GB"/>
                <w14:ligatures w14:val="none"/>
              </w:rPr>
              <w:t xml:space="preserve"> </w:t>
            </w:r>
            <w:r w:rsidRPr="00226F9D">
              <w:rPr>
                <w:rFonts w:ascii="Times New Roman" w:eastAsia="Times New Roman" w:hAnsi="Times New Roman" w:cs="Times New Roman"/>
                <w:color w:val="222222"/>
                <w:kern w:val="0"/>
                <w:sz w:val="16"/>
                <w:szCs w:val="16"/>
                <w:lang w:eastAsia="en-GB"/>
                <w14:ligatures w14:val="none"/>
              </w:rPr>
              <w:t>МДУЛС</w:t>
            </w:r>
          </w:p>
        </w:tc>
      </w:tr>
      <w:tr w:rsidR="00FB70CD" w:rsidRPr="00226F9D" w14:paraId="4C878F8E" w14:textId="77777777" w:rsidTr="0EB8FC02">
        <w:trPr>
          <w:trHeight w:val="24"/>
        </w:trPr>
        <w:tc>
          <w:tcPr>
            <w:tcW w:w="5274" w:type="dxa"/>
            <w:gridSpan w:val="3"/>
            <w:shd w:val="clear" w:color="auto" w:fill="F7CAAC"/>
            <w:hideMark/>
          </w:tcPr>
          <w:p w14:paraId="314DF96B"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Период спровођења: 2026-2030.</w:t>
            </w:r>
          </w:p>
        </w:tc>
        <w:tc>
          <w:tcPr>
            <w:tcW w:w="10420" w:type="dxa"/>
            <w:gridSpan w:val="9"/>
            <w:shd w:val="clear" w:color="auto" w:fill="F7CAAC"/>
            <w:hideMark/>
          </w:tcPr>
          <w:p w14:paraId="17665996"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Тип мере: Информативно-едукативна</w:t>
            </w:r>
          </w:p>
        </w:tc>
      </w:tr>
      <w:tr w:rsidR="00FB70CD" w:rsidRPr="00226F9D" w14:paraId="6528F739" w14:textId="77777777" w:rsidTr="0EB8FC02">
        <w:trPr>
          <w:trHeight w:val="24"/>
        </w:trPr>
        <w:tc>
          <w:tcPr>
            <w:tcW w:w="15694" w:type="dxa"/>
            <w:gridSpan w:val="12"/>
            <w:shd w:val="clear" w:color="auto" w:fill="F7CAAC"/>
            <w:hideMark/>
          </w:tcPr>
          <w:p w14:paraId="079B200B"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Прописи које је потребно изменити/усвојити за спровођење мере: </w:t>
            </w:r>
          </w:p>
        </w:tc>
      </w:tr>
      <w:tr w:rsidR="00FB70CD" w:rsidRPr="00226F9D" w14:paraId="7F277B65" w14:textId="77777777" w:rsidTr="0EB8FC02">
        <w:trPr>
          <w:trHeight w:val="24"/>
        </w:trPr>
        <w:tc>
          <w:tcPr>
            <w:tcW w:w="5274" w:type="dxa"/>
            <w:gridSpan w:val="3"/>
            <w:shd w:val="clear" w:color="auto" w:fill="B4C6E7"/>
            <w:vAlign w:val="center"/>
            <w:hideMark/>
          </w:tcPr>
          <w:p w14:paraId="6FA12C82"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мере (показатељ резултата)</w:t>
            </w:r>
          </w:p>
        </w:tc>
        <w:tc>
          <w:tcPr>
            <w:tcW w:w="1100" w:type="dxa"/>
            <w:shd w:val="clear" w:color="auto" w:fill="B4C6E7"/>
            <w:vAlign w:val="center"/>
          </w:tcPr>
          <w:p w14:paraId="1535592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auto" w:fill="B4C6E7"/>
            <w:vAlign w:val="center"/>
          </w:tcPr>
          <w:p w14:paraId="3AAA3CF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auto" w:fill="B4C6E7"/>
            <w:vAlign w:val="center"/>
          </w:tcPr>
          <w:p w14:paraId="2FF14C4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auto" w:fill="B4C6E7"/>
            <w:vAlign w:val="center"/>
            <w:hideMark/>
          </w:tcPr>
          <w:p w14:paraId="570858B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auto" w:fill="B4C6E7"/>
            <w:vAlign w:val="center"/>
            <w:hideMark/>
          </w:tcPr>
          <w:p w14:paraId="764080A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auto" w:fill="B4C6E7"/>
            <w:vAlign w:val="center"/>
            <w:hideMark/>
          </w:tcPr>
          <w:p w14:paraId="23938F0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auto" w:fill="B4C6E7"/>
            <w:vAlign w:val="center"/>
            <w:hideMark/>
          </w:tcPr>
          <w:p w14:paraId="6EE2169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w:t>
            </w:r>
            <w:r w:rsidRPr="00226F9D">
              <w:rPr>
                <w:rFonts w:ascii="Times New Roman" w:eastAsia="Times New Roman" w:hAnsi="Times New Roman" w:cs="Times New Roman"/>
                <w:b/>
                <w:bCs/>
                <w:color w:val="000000"/>
                <w:kern w:val="0"/>
                <w:sz w:val="16"/>
                <w:szCs w:val="16"/>
                <w:lang w:eastAsia="en-GB"/>
                <w14:ligatures w14:val="none"/>
              </w:rPr>
              <w:br/>
              <w:t>028. години</w:t>
            </w:r>
          </w:p>
        </w:tc>
        <w:tc>
          <w:tcPr>
            <w:tcW w:w="866" w:type="dxa"/>
            <w:shd w:val="clear" w:color="auto" w:fill="B4C6E7"/>
            <w:vAlign w:val="center"/>
            <w:hideMark/>
          </w:tcPr>
          <w:p w14:paraId="7288A68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41" w:type="dxa"/>
            <w:shd w:val="clear" w:color="auto" w:fill="B4C6E7"/>
            <w:vAlign w:val="center"/>
            <w:hideMark/>
          </w:tcPr>
          <w:p w14:paraId="7F69211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7DB975A0" w14:textId="77777777" w:rsidTr="0EB8FC02">
        <w:trPr>
          <w:trHeight w:val="203"/>
        </w:trPr>
        <w:tc>
          <w:tcPr>
            <w:tcW w:w="5274" w:type="dxa"/>
            <w:gridSpan w:val="3"/>
            <w:shd w:val="clear" w:color="auto" w:fill="FFFFFF" w:themeFill="background1"/>
            <w:vAlign w:val="center"/>
            <w:hideMark/>
          </w:tcPr>
          <w:p w14:paraId="28B5BE44"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Капацитет ЈЛС за управљање људским ресурсима у локалној управи (просечна вредност индекса СКГО за УЉР у издвојеним областима: организација и планирање људских ресурса; попуњавање радних места, оцењивање запослених, дисциплинска одговорност и жалбени поступак, комуникација, етика, вредности и култура организације)</w:t>
            </w:r>
          </w:p>
        </w:tc>
        <w:tc>
          <w:tcPr>
            <w:tcW w:w="1100" w:type="dxa"/>
            <w:shd w:val="clear" w:color="auto" w:fill="FFFFFF" w:themeFill="background1"/>
          </w:tcPr>
          <w:p w14:paraId="5F50F1D2" w14:textId="082EBFE4" w:rsidR="00FB70CD" w:rsidRPr="00226F9D" w:rsidRDefault="003D6A3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w:t>
            </w:r>
            <w:r w:rsidR="00FB70CD" w:rsidRPr="00226F9D">
              <w:rPr>
                <w:rFonts w:ascii="Times New Roman" w:eastAsia="Times New Roman" w:hAnsi="Times New Roman" w:cs="Times New Roman"/>
                <w:color w:val="000000"/>
                <w:kern w:val="0"/>
                <w:sz w:val="16"/>
                <w:szCs w:val="16"/>
                <w:lang w:eastAsia="en-GB"/>
                <w14:ligatures w14:val="none"/>
              </w:rPr>
              <w:t xml:space="preserve"> </w:t>
            </w:r>
          </w:p>
        </w:tc>
        <w:tc>
          <w:tcPr>
            <w:tcW w:w="1559" w:type="dxa"/>
            <w:shd w:val="clear" w:color="auto" w:fill="FFFFFF" w:themeFill="background1"/>
          </w:tcPr>
          <w:p w14:paraId="3F59EB31" w14:textId="77777777" w:rsidR="00FB70CD" w:rsidRPr="00226F9D" w:rsidRDefault="00FB70CD" w:rsidP="005B0999">
            <w:pPr>
              <w:spacing w:after="0" w:line="240" w:lineRule="auto"/>
              <w:jc w:val="center"/>
              <w:rPr>
                <w:rFonts w:ascii="Times New Roman" w:eastAsia="Times New Roman" w:hAnsi="Times New Roman" w:cs="Times New Roman"/>
                <w:i/>
                <w:iCs/>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Индекс СКГО</w:t>
            </w:r>
          </w:p>
        </w:tc>
        <w:tc>
          <w:tcPr>
            <w:tcW w:w="2127" w:type="dxa"/>
            <w:shd w:val="clear" w:color="auto" w:fill="FFFFFF" w:themeFill="background1"/>
          </w:tcPr>
          <w:p w14:paraId="77A091D6" w14:textId="04844BCC" w:rsidR="00FB70CD" w:rsidRPr="00226F9D" w:rsidRDefault="00AA3A56" w:rsidP="005B0999">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64,7</w:t>
            </w:r>
            <w:r w:rsidR="004A3425" w:rsidRPr="00226F9D">
              <w:rPr>
                <w:rFonts w:ascii="Times New Roman" w:eastAsia="Times New Roman" w:hAnsi="Times New Roman" w:cs="Times New Roman"/>
                <w:kern w:val="0"/>
                <w:sz w:val="16"/>
                <w:szCs w:val="16"/>
                <w:lang w:val="sr-Cyrl-RS" w:eastAsia="en-GB"/>
                <w14:ligatures w14:val="none"/>
              </w:rPr>
              <w:t>%</w:t>
            </w:r>
          </w:p>
        </w:tc>
        <w:tc>
          <w:tcPr>
            <w:tcW w:w="1275" w:type="dxa"/>
            <w:shd w:val="clear" w:color="auto" w:fill="FFFFFF" w:themeFill="background1"/>
            <w:hideMark/>
          </w:tcPr>
          <w:p w14:paraId="6607B32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auto" w:fill="FFFFFF" w:themeFill="background1"/>
            <w:noWrap/>
            <w:hideMark/>
          </w:tcPr>
          <w:p w14:paraId="5071CFE4" w14:textId="17AEAB53"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F43818"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auto" w:fill="FFFFFF" w:themeFill="background1"/>
            <w:hideMark/>
          </w:tcPr>
          <w:p w14:paraId="3941320C" w14:textId="68CCD3BB" w:rsidR="00FB70CD" w:rsidRPr="00226F9D" w:rsidRDefault="00F43818"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w:t>
            </w:r>
            <w:r w:rsidR="006A1544" w:rsidRPr="00226F9D">
              <w:rPr>
                <w:rFonts w:ascii="Times New Roman" w:eastAsia="Times New Roman" w:hAnsi="Times New Roman" w:cs="Times New Roman"/>
                <w:color w:val="000000"/>
                <w:kern w:val="0"/>
                <w:sz w:val="16"/>
                <w:szCs w:val="16"/>
                <w:lang w:eastAsia="en-GB"/>
                <w14:ligatures w14:val="none"/>
              </w:rPr>
              <w:t>1,2</w:t>
            </w:r>
            <w:r w:rsidR="003D6A33" w:rsidRPr="00226F9D">
              <w:rPr>
                <w:rFonts w:ascii="Times New Roman" w:eastAsia="Times New Roman" w:hAnsi="Times New Roman" w:cs="Times New Roman"/>
                <w:color w:val="000000"/>
                <w:kern w:val="0"/>
                <w:sz w:val="16"/>
                <w:szCs w:val="16"/>
                <w:lang w:val="sr-Cyrl-RS" w:eastAsia="en-GB"/>
                <w14:ligatures w14:val="none"/>
              </w:rPr>
              <w:t>%</w:t>
            </w:r>
            <w:r w:rsidR="00FB70CD"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1529D67F" w14:textId="625C8CE6" w:rsidR="00FB70CD" w:rsidRPr="00226F9D" w:rsidRDefault="00AB31C6"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74,4</w:t>
            </w:r>
            <w:r w:rsidR="003D6A33" w:rsidRPr="00226F9D">
              <w:rPr>
                <w:rFonts w:ascii="Times New Roman" w:eastAsia="Times New Roman" w:hAnsi="Times New Roman" w:cs="Times New Roman"/>
                <w:color w:val="000000"/>
                <w:kern w:val="0"/>
                <w:sz w:val="16"/>
                <w:szCs w:val="16"/>
                <w:lang w:val="sr-Cyrl-RS" w:eastAsia="en-GB"/>
                <w14:ligatures w14:val="none"/>
              </w:rPr>
              <w:t>%</w:t>
            </w:r>
          </w:p>
        </w:tc>
        <w:tc>
          <w:tcPr>
            <w:tcW w:w="866" w:type="dxa"/>
            <w:shd w:val="clear" w:color="auto" w:fill="FFFFFF" w:themeFill="background1"/>
            <w:hideMark/>
          </w:tcPr>
          <w:p w14:paraId="01167B57" w14:textId="6C07D6BC" w:rsidR="00FB70CD" w:rsidRPr="00226F9D" w:rsidRDefault="00017291"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r w:rsidR="00FB70CD" w:rsidRPr="00226F9D">
              <w:rPr>
                <w:rFonts w:ascii="Times New Roman" w:eastAsia="Times New Roman" w:hAnsi="Times New Roman" w:cs="Times New Roman"/>
                <w:color w:val="000000"/>
                <w:kern w:val="0"/>
                <w:sz w:val="16"/>
                <w:szCs w:val="16"/>
                <w:lang w:eastAsia="en-GB"/>
                <w14:ligatures w14:val="none"/>
              </w:rPr>
              <w:t> </w:t>
            </w:r>
          </w:p>
        </w:tc>
        <w:tc>
          <w:tcPr>
            <w:tcW w:w="941" w:type="dxa"/>
            <w:shd w:val="clear" w:color="auto" w:fill="FFFFFF" w:themeFill="background1"/>
            <w:hideMark/>
          </w:tcPr>
          <w:p w14:paraId="56866ABB" w14:textId="6A49FD3B" w:rsidR="00FB70CD" w:rsidRPr="00226F9D" w:rsidRDefault="2C21AA2A"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AB31C6" w:rsidRPr="00226F9D">
              <w:rPr>
                <w:rFonts w:ascii="Times New Roman" w:eastAsia="Times New Roman" w:hAnsi="Times New Roman" w:cs="Times New Roman"/>
                <w:color w:val="000000" w:themeColor="text1"/>
                <w:sz w:val="16"/>
                <w:szCs w:val="16"/>
                <w:lang w:val="sr-Cyrl-RS" w:eastAsia="en-GB"/>
              </w:rPr>
              <w:t>77,7</w:t>
            </w:r>
            <w:r w:rsidR="003D6A33" w:rsidRPr="00226F9D">
              <w:rPr>
                <w:rFonts w:ascii="Times New Roman" w:eastAsia="Times New Roman" w:hAnsi="Times New Roman" w:cs="Times New Roman"/>
                <w:color w:val="000000" w:themeColor="text1"/>
                <w:sz w:val="16"/>
                <w:szCs w:val="16"/>
                <w:lang w:val="sr-Cyrl-RS" w:eastAsia="en-GB"/>
              </w:rPr>
              <w:t>%</w:t>
            </w:r>
          </w:p>
        </w:tc>
      </w:tr>
      <w:tr w:rsidR="00FB70CD" w:rsidRPr="00226F9D" w14:paraId="4622E60F" w14:textId="77777777" w:rsidTr="0EB8FC02">
        <w:trPr>
          <w:trHeight w:val="215"/>
        </w:trPr>
        <w:tc>
          <w:tcPr>
            <w:tcW w:w="5274" w:type="dxa"/>
            <w:gridSpan w:val="3"/>
            <w:shd w:val="clear" w:color="auto" w:fill="FFFFFF" w:themeFill="background1"/>
            <w:vAlign w:val="center"/>
            <w:hideMark/>
          </w:tcPr>
          <w:p w14:paraId="4EE283C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 запослених у ЈЛС који су прошли обуке из области управљања људским ресурсима (кумулативно)</w:t>
            </w:r>
          </w:p>
        </w:tc>
        <w:tc>
          <w:tcPr>
            <w:tcW w:w="1100" w:type="dxa"/>
            <w:shd w:val="clear" w:color="auto" w:fill="FFFFFF" w:themeFill="background1"/>
          </w:tcPr>
          <w:p w14:paraId="62E6E89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auto" w:fill="FFFFFF" w:themeFill="background1"/>
          </w:tcPr>
          <w:p w14:paraId="4F75237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СКГО</w:t>
            </w:r>
            <w:r w:rsidRPr="00226F9D">
              <w:rPr>
                <w:rFonts w:ascii="Times New Roman" w:eastAsia="Times New Roman" w:hAnsi="Times New Roman" w:cs="Times New Roman"/>
                <w:color w:val="000000"/>
                <w:kern w:val="0"/>
                <w:sz w:val="16"/>
                <w:szCs w:val="16"/>
                <w:lang w:eastAsia="en-GB"/>
                <w14:ligatures w14:val="none"/>
              </w:rPr>
              <w:br/>
              <w:t>Извештај НАЈУ</w:t>
            </w:r>
          </w:p>
        </w:tc>
        <w:tc>
          <w:tcPr>
            <w:tcW w:w="2127" w:type="dxa"/>
            <w:shd w:val="clear" w:color="auto" w:fill="FFFFFF" w:themeFill="background1"/>
          </w:tcPr>
          <w:p w14:paraId="5BDEAB27" w14:textId="4749C909" w:rsidR="00FB70CD" w:rsidRPr="00226F9D" w:rsidRDefault="56F8F542"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eastAsia="en-GB"/>
              </w:rPr>
              <w:t>607</w:t>
            </w:r>
          </w:p>
        </w:tc>
        <w:tc>
          <w:tcPr>
            <w:tcW w:w="1275" w:type="dxa"/>
            <w:shd w:val="clear" w:color="auto" w:fill="FFFFFF" w:themeFill="background1"/>
            <w:hideMark/>
          </w:tcPr>
          <w:p w14:paraId="46DA5F1E" w14:textId="557E6910" w:rsidR="23B4B046" w:rsidRPr="00226F9D" w:rsidRDefault="23B4B046" w:rsidP="0EB8FC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2024</w:t>
            </w:r>
          </w:p>
          <w:p w14:paraId="0858DAFA" w14:textId="68D06F9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51" w:type="dxa"/>
            <w:shd w:val="clear" w:color="auto" w:fill="FFFFFF" w:themeFill="background1"/>
            <w:noWrap/>
            <w:hideMark/>
          </w:tcPr>
          <w:p w14:paraId="53D55A3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957</w:t>
            </w:r>
          </w:p>
        </w:tc>
        <w:tc>
          <w:tcPr>
            <w:tcW w:w="850" w:type="dxa"/>
            <w:shd w:val="clear" w:color="auto" w:fill="FFFFFF" w:themeFill="background1"/>
            <w:noWrap/>
            <w:hideMark/>
          </w:tcPr>
          <w:p w14:paraId="3AF224E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1207</w:t>
            </w:r>
          </w:p>
        </w:tc>
        <w:tc>
          <w:tcPr>
            <w:tcW w:w="851" w:type="dxa"/>
            <w:shd w:val="clear" w:color="auto" w:fill="FFFFFF" w:themeFill="background1"/>
            <w:noWrap/>
            <w:hideMark/>
          </w:tcPr>
          <w:p w14:paraId="767E8B9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1357</w:t>
            </w:r>
          </w:p>
        </w:tc>
        <w:tc>
          <w:tcPr>
            <w:tcW w:w="866" w:type="dxa"/>
            <w:shd w:val="clear" w:color="auto" w:fill="FFFFFF" w:themeFill="background1"/>
            <w:hideMark/>
          </w:tcPr>
          <w:p w14:paraId="6FBEA36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1407</w:t>
            </w:r>
          </w:p>
        </w:tc>
        <w:tc>
          <w:tcPr>
            <w:tcW w:w="941" w:type="dxa"/>
            <w:shd w:val="clear" w:color="auto" w:fill="FFFFFF" w:themeFill="background1"/>
            <w:hideMark/>
          </w:tcPr>
          <w:p w14:paraId="7F8FAE6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1457</w:t>
            </w:r>
          </w:p>
        </w:tc>
      </w:tr>
      <w:tr w:rsidR="00FB70CD" w:rsidRPr="00226F9D" w14:paraId="0640500D" w14:textId="77777777" w:rsidTr="0EB8FC02">
        <w:trPr>
          <w:trHeight w:val="20"/>
        </w:trPr>
        <w:tc>
          <w:tcPr>
            <w:tcW w:w="5274" w:type="dxa"/>
            <w:gridSpan w:val="3"/>
            <w:vMerge w:val="restart"/>
            <w:shd w:val="clear" w:color="auto" w:fill="A9D08E"/>
            <w:noWrap/>
            <w:vAlign w:val="center"/>
            <w:hideMark/>
          </w:tcPr>
          <w:p w14:paraId="43E0A74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61" w:type="dxa"/>
            <w:gridSpan w:val="4"/>
            <w:vMerge w:val="restart"/>
            <w:shd w:val="clear" w:color="auto" w:fill="A9D08E"/>
            <w:noWrap/>
            <w:vAlign w:val="center"/>
            <w:hideMark/>
          </w:tcPr>
          <w:p w14:paraId="1C7E938F" w14:textId="77777777" w:rsidR="00FB70CD" w:rsidRPr="00226F9D" w:rsidRDefault="00D155C4"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27"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59" w:type="dxa"/>
            <w:gridSpan w:val="5"/>
            <w:shd w:val="clear" w:color="auto" w:fill="A8D08D"/>
            <w:hideMark/>
          </w:tcPr>
          <w:p w14:paraId="3EEF87F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у 000 дин</w:t>
            </w:r>
          </w:p>
        </w:tc>
      </w:tr>
      <w:tr w:rsidR="00FB70CD" w:rsidRPr="00226F9D" w14:paraId="3E5CDF0C" w14:textId="77777777" w:rsidTr="0EB8FC02">
        <w:trPr>
          <w:trHeight w:val="20"/>
        </w:trPr>
        <w:tc>
          <w:tcPr>
            <w:tcW w:w="5274" w:type="dxa"/>
            <w:gridSpan w:val="3"/>
            <w:vMerge/>
            <w:hideMark/>
          </w:tcPr>
          <w:p w14:paraId="6C4BA81C"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6061" w:type="dxa"/>
            <w:gridSpan w:val="4"/>
            <w:vMerge/>
            <w:hideMark/>
          </w:tcPr>
          <w:p w14:paraId="2D7D2C84"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851" w:type="dxa"/>
            <w:shd w:val="clear" w:color="auto" w:fill="A8D08D"/>
            <w:hideMark/>
          </w:tcPr>
          <w:p w14:paraId="36217E7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A8D08D"/>
            <w:hideMark/>
          </w:tcPr>
          <w:p w14:paraId="3DFDBC7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A8D08D"/>
            <w:hideMark/>
          </w:tcPr>
          <w:p w14:paraId="4A3469F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auto" w:fill="A8D08D"/>
            <w:hideMark/>
          </w:tcPr>
          <w:p w14:paraId="57D1F3C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auto" w:fill="A8D08D"/>
            <w:hideMark/>
          </w:tcPr>
          <w:p w14:paraId="2C83263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659B4E8E" w14:textId="77777777" w:rsidTr="0EB8FC02">
        <w:trPr>
          <w:trHeight w:val="24"/>
        </w:trPr>
        <w:tc>
          <w:tcPr>
            <w:tcW w:w="5274" w:type="dxa"/>
            <w:gridSpan w:val="3"/>
            <w:shd w:val="clear" w:color="auto" w:fill="FFFFFF" w:themeFill="background1"/>
            <w:hideMark/>
          </w:tcPr>
          <w:p w14:paraId="0BE5A08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61" w:type="dxa"/>
            <w:gridSpan w:val="4"/>
            <w:shd w:val="clear" w:color="auto" w:fill="FFFFFF" w:themeFill="background1"/>
            <w:hideMark/>
          </w:tcPr>
          <w:p w14:paraId="034B6A3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7F36119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32.340</w:t>
            </w:r>
          </w:p>
        </w:tc>
        <w:tc>
          <w:tcPr>
            <w:tcW w:w="850" w:type="dxa"/>
            <w:shd w:val="clear" w:color="auto" w:fill="FFFFFF" w:themeFill="background1"/>
            <w:hideMark/>
          </w:tcPr>
          <w:p w14:paraId="584E0A1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20.673</w:t>
            </w:r>
          </w:p>
        </w:tc>
        <w:tc>
          <w:tcPr>
            <w:tcW w:w="851" w:type="dxa"/>
            <w:shd w:val="clear" w:color="auto" w:fill="FFFFFF" w:themeFill="background1"/>
            <w:hideMark/>
          </w:tcPr>
          <w:p w14:paraId="44E5767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7.032</w:t>
            </w:r>
          </w:p>
        </w:tc>
        <w:tc>
          <w:tcPr>
            <w:tcW w:w="866" w:type="dxa"/>
            <w:shd w:val="clear" w:color="auto" w:fill="FFFFFF" w:themeFill="background1"/>
            <w:hideMark/>
          </w:tcPr>
          <w:p w14:paraId="31FE548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1.200</w:t>
            </w:r>
          </w:p>
        </w:tc>
        <w:tc>
          <w:tcPr>
            <w:tcW w:w="941" w:type="dxa"/>
            <w:shd w:val="clear" w:color="auto" w:fill="FFFFFF" w:themeFill="background1"/>
            <w:hideMark/>
          </w:tcPr>
          <w:p w14:paraId="04FC7EDB" w14:textId="76ABDE7C" w:rsidR="00FB70CD" w:rsidRPr="00226F9D" w:rsidRDefault="00615CB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w:t>
            </w:r>
            <w:r w:rsidR="00FB70CD" w:rsidRPr="00226F9D">
              <w:rPr>
                <w:rFonts w:ascii="Times New Roman" w:eastAsia="Times New Roman" w:hAnsi="Times New Roman" w:cs="Times New Roman"/>
                <w:b/>
                <w:bCs/>
                <w:color w:val="000000"/>
                <w:kern w:val="0"/>
                <w:sz w:val="16"/>
                <w:szCs w:val="16"/>
                <w:lang w:eastAsia="en-GB"/>
                <w14:ligatures w14:val="none"/>
              </w:rPr>
              <w:t>.</w:t>
            </w:r>
            <w:r w:rsidRPr="00226F9D">
              <w:rPr>
                <w:rFonts w:ascii="Times New Roman" w:eastAsia="Times New Roman" w:hAnsi="Times New Roman" w:cs="Times New Roman"/>
                <w:b/>
                <w:bCs/>
                <w:color w:val="000000"/>
                <w:kern w:val="0"/>
                <w:sz w:val="16"/>
                <w:szCs w:val="16"/>
                <w:lang w:eastAsia="en-GB"/>
                <w14:ligatures w14:val="none"/>
              </w:rPr>
              <w:t>4</w:t>
            </w:r>
            <w:r w:rsidR="00FB70CD" w:rsidRPr="00226F9D">
              <w:rPr>
                <w:rFonts w:ascii="Times New Roman" w:eastAsia="Times New Roman" w:hAnsi="Times New Roman" w:cs="Times New Roman"/>
                <w:b/>
                <w:bCs/>
                <w:color w:val="000000"/>
                <w:kern w:val="0"/>
                <w:sz w:val="16"/>
                <w:szCs w:val="16"/>
                <w:lang w:eastAsia="en-GB"/>
                <w14:ligatures w14:val="none"/>
              </w:rPr>
              <w:t>00</w:t>
            </w:r>
          </w:p>
        </w:tc>
      </w:tr>
      <w:tr w:rsidR="00FB70CD" w:rsidRPr="00226F9D" w14:paraId="0233BD96" w14:textId="77777777" w:rsidTr="0EB8FC02">
        <w:trPr>
          <w:trHeight w:val="24"/>
        </w:trPr>
        <w:tc>
          <w:tcPr>
            <w:tcW w:w="2270" w:type="dxa"/>
            <w:shd w:val="clear" w:color="auto" w:fill="FFF2CC"/>
            <w:vAlign w:val="center"/>
            <w:hideMark/>
          </w:tcPr>
          <w:p w14:paraId="122183DE"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53" w:type="dxa"/>
            <w:shd w:val="clear" w:color="auto" w:fill="FFF2CC"/>
            <w:vAlign w:val="center"/>
            <w:hideMark/>
          </w:tcPr>
          <w:p w14:paraId="2ACC8CC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51" w:type="dxa"/>
            <w:shd w:val="clear" w:color="auto" w:fill="FFF2CC"/>
            <w:vAlign w:val="center"/>
            <w:hideMark/>
          </w:tcPr>
          <w:p w14:paraId="0442744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Oргани и партнери у спровођењу активности</w:t>
            </w:r>
          </w:p>
        </w:tc>
        <w:tc>
          <w:tcPr>
            <w:tcW w:w="2659" w:type="dxa"/>
            <w:gridSpan w:val="2"/>
            <w:shd w:val="clear" w:color="auto" w:fill="FFF2CC"/>
            <w:vAlign w:val="center"/>
            <w:hideMark/>
          </w:tcPr>
          <w:p w14:paraId="0474BA6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auto" w:fill="FFF2CC"/>
            <w:vAlign w:val="center"/>
            <w:hideMark/>
          </w:tcPr>
          <w:p w14:paraId="0D1F50F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auto" w:fill="FFF2CC"/>
            <w:vAlign w:val="center"/>
            <w:hideMark/>
          </w:tcPr>
          <w:p w14:paraId="0570F36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59" w:type="dxa"/>
            <w:gridSpan w:val="5"/>
            <w:shd w:val="clear" w:color="auto" w:fill="FFF2CC"/>
            <w:vAlign w:val="center"/>
            <w:hideMark/>
          </w:tcPr>
          <w:p w14:paraId="5935DB8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по изворима у 000 дин</w:t>
            </w:r>
          </w:p>
        </w:tc>
      </w:tr>
      <w:tr w:rsidR="00FB70CD" w:rsidRPr="00226F9D" w14:paraId="1C611FBE" w14:textId="77777777" w:rsidTr="0EB8FC02">
        <w:trPr>
          <w:trHeight w:val="24"/>
        </w:trPr>
        <w:tc>
          <w:tcPr>
            <w:tcW w:w="2270" w:type="dxa"/>
            <w:shd w:val="clear" w:color="auto" w:fill="FFF2CC"/>
            <w:hideMark/>
          </w:tcPr>
          <w:p w14:paraId="15FCDA6B"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553" w:type="dxa"/>
            <w:shd w:val="clear" w:color="auto" w:fill="FFF2CC"/>
            <w:hideMark/>
          </w:tcPr>
          <w:p w14:paraId="2053F3D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451" w:type="dxa"/>
            <w:shd w:val="clear" w:color="auto" w:fill="FFF2CC"/>
            <w:hideMark/>
          </w:tcPr>
          <w:p w14:paraId="4FBD8B9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659" w:type="dxa"/>
            <w:gridSpan w:val="2"/>
            <w:shd w:val="clear" w:color="auto" w:fill="FFF2CC"/>
            <w:hideMark/>
          </w:tcPr>
          <w:p w14:paraId="35A0101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127" w:type="dxa"/>
            <w:shd w:val="clear" w:color="auto" w:fill="FFF2CC"/>
            <w:hideMark/>
          </w:tcPr>
          <w:p w14:paraId="58954693" w14:textId="77777777" w:rsidR="00FB70CD" w:rsidRPr="00226F9D" w:rsidRDefault="00FB70CD" w:rsidP="005B0999">
            <w:pPr>
              <w:spacing w:after="0" w:line="240" w:lineRule="auto"/>
              <w:jc w:val="center"/>
              <w:rPr>
                <w:rFonts w:ascii="Times New Roman" w:eastAsia="Times New Roman" w:hAnsi="Times New Roman" w:cs="Times New Roman"/>
                <w:b/>
                <w:bCs/>
                <w:color w:val="0563C1"/>
                <w:kern w:val="0"/>
                <w:sz w:val="16"/>
                <w:szCs w:val="16"/>
                <w:u w:val="single"/>
                <w:lang w:eastAsia="en-GB"/>
                <w14:ligatures w14:val="none"/>
              </w:rPr>
            </w:pPr>
            <w:r w:rsidRPr="00226F9D">
              <w:rPr>
                <w:rFonts w:ascii="Times New Roman" w:eastAsia="Times New Roman" w:hAnsi="Times New Roman" w:cs="Times New Roman"/>
                <w:b/>
                <w:bCs/>
                <w:color w:val="0563C1"/>
                <w:kern w:val="0"/>
                <w:sz w:val="16"/>
                <w:szCs w:val="16"/>
                <w:u w:val="single"/>
                <w:lang w:eastAsia="en-GB"/>
                <w14:ligatures w14:val="none"/>
              </w:rPr>
              <w:t> </w:t>
            </w:r>
          </w:p>
        </w:tc>
        <w:tc>
          <w:tcPr>
            <w:tcW w:w="1275" w:type="dxa"/>
            <w:shd w:val="clear" w:color="auto" w:fill="FFF2CC"/>
            <w:hideMark/>
          </w:tcPr>
          <w:p w14:paraId="71C14C8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851" w:type="dxa"/>
            <w:shd w:val="clear" w:color="auto" w:fill="FFF2CC"/>
            <w:hideMark/>
          </w:tcPr>
          <w:p w14:paraId="1FA253D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FFF2CC"/>
            <w:hideMark/>
          </w:tcPr>
          <w:p w14:paraId="3177A67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FFF2CC"/>
            <w:hideMark/>
          </w:tcPr>
          <w:p w14:paraId="563AF08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auto" w:fill="FFF2CC"/>
            <w:hideMark/>
          </w:tcPr>
          <w:p w14:paraId="2E29A90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auto" w:fill="FFF2CC"/>
            <w:hideMark/>
          </w:tcPr>
          <w:p w14:paraId="0F4670C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38F86A2B" w14:textId="77777777" w:rsidTr="0EB8FC02">
        <w:trPr>
          <w:trHeight w:val="506"/>
        </w:trPr>
        <w:tc>
          <w:tcPr>
            <w:tcW w:w="2270" w:type="dxa"/>
            <w:hideMark/>
          </w:tcPr>
          <w:p w14:paraId="550B7E4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3.1.1. Израда предлога измена нормативног оквира у циљу унапређења управљања људским ресурсима заснованом на заслугама</w:t>
            </w:r>
          </w:p>
        </w:tc>
        <w:tc>
          <w:tcPr>
            <w:tcW w:w="1553" w:type="dxa"/>
            <w:hideMark/>
          </w:tcPr>
          <w:p w14:paraId="34F799B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51" w:type="dxa"/>
            <w:shd w:val="clear" w:color="auto" w:fill="FFFFFF" w:themeFill="background1"/>
            <w:hideMark/>
          </w:tcPr>
          <w:p w14:paraId="19D014D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Савет Европе, СКГО</w:t>
            </w:r>
          </w:p>
        </w:tc>
        <w:tc>
          <w:tcPr>
            <w:tcW w:w="2659" w:type="dxa"/>
            <w:gridSpan w:val="2"/>
            <w:hideMark/>
          </w:tcPr>
          <w:p w14:paraId="5EBC210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II квартал 2026.- I квартал 2027.  </w:t>
            </w:r>
          </w:p>
        </w:tc>
        <w:tc>
          <w:tcPr>
            <w:tcW w:w="2127" w:type="dxa"/>
            <w:hideMark/>
          </w:tcPr>
          <w:p w14:paraId="724C91E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СЕ – ЕУ ХРМ 3</w:t>
            </w:r>
          </w:p>
        </w:tc>
        <w:tc>
          <w:tcPr>
            <w:tcW w:w="1275" w:type="dxa"/>
            <w:hideMark/>
          </w:tcPr>
          <w:p w14:paraId="7E85AB1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6900CA3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967</w:t>
            </w:r>
          </w:p>
        </w:tc>
        <w:tc>
          <w:tcPr>
            <w:tcW w:w="850" w:type="dxa"/>
            <w:hideMark/>
          </w:tcPr>
          <w:p w14:paraId="5E5BC4B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019603D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731ED9E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019B2C2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00C67785" w14:textId="77777777" w:rsidTr="0EB8FC02">
        <w:trPr>
          <w:trHeight w:val="24"/>
        </w:trPr>
        <w:tc>
          <w:tcPr>
            <w:tcW w:w="2270" w:type="dxa"/>
            <w:shd w:val="clear" w:color="auto" w:fill="FFFFFF" w:themeFill="background1"/>
            <w:hideMark/>
          </w:tcPr>
          <w:p w14:paraId="2D0DC359"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3.1.2.  Израда методологије за праћење стања и евалуацију у области управљања људским ресурсима</w:t>
            </w:r>
          </w:p>
        </w:tc>
        <w:tc>
          <w:tcPr>
            <w:tcW w:w="1553" w:type="dxa"/>
            <w:hideMark/>
          </w:tcPr>
          <w:p w14:paraId="040BF67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МДУЛС</w:t>
            </w:r>
          </w:p>
        </w:tc>
        <w:tc>
          <w:tcPr>
            <w:tcW w:w="1451" w:type="dxa"/>
            <w:shd w:val="clear" w:color="auto" w:fill="FFFFFF" w:themeFill="background1"/>
            <w:hideMark/>
          </w:tcPr>
          <w:p w14:paraId="59FAF17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Савет Европе, СКГО</w:t>
            </w:r>
          </w:p>
        </w:tc>
        <w:tc>
          <w:tcPr>
            <w:tcW w:w="2659" w:type="dxa"/>
            <w:gridSpan w:val="2"/>
            <w:hideMark/>
          </w:tcPr>
          <w:p w14:paraId="0B0F6CC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II квартал 2026.- IV квартал 2026. </w:t>
            </w:r>
          </w:p>
        </w:tc>
        <w:tc>
          <w:tcPr>
            <w:tcW w:w="2127" w:type="dxa"/>
            <w:hideMark/>
          </w:tcPr>
          <w:p w14:paraId="69CDE23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СЕ – ЕУ ХРМ 3</w:t>
            </w:r>
          </w:p>
        </w:tc>
        <w:tc>
          <w:tcPr>
            <w:tcW w:w="1275" w:type="dxa"/>
            <w:hideMark/>
          </w:tcPr>
          <w:p w14:paraId="1A6D425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6C96A09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1.353</w:t>
            </w:r>
          </w:p>
        </w:tc>
        <w:tc>
          <w:tcPr>
            <w:tcW w:w="850" w:type="dxa"/>
            <w:hideMark/>
          </w:tcPr>
          <w:p w14:paraId="699C191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247BB62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39083A2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0BACD72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06D28920" w14:textId="77777777" w:rsidTr="0EB8FC02">
        <w:trPr>
          <w:trHeight w:val="1204"/>
        </w:trPr>
        <w:tc>
          <w:tcPr>
            <w:tcW w:w="2270" w:type="dxa"/>
            <w:shd w:val="clear" w:color="auto" w:fill="FFFFFF" w:themeFill="background1"/>
            <w:hideMark/>
          </w:tcPr>
          <w:p w14:paraId="58E3CAF5"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lastRenderedPageBreak/>
              <w:t>3.1.3. Припрема препорука за унапређење стратешког планирања људских ресурса, након анализе на основу консултација са ЈЛС у вези са постојећим процесима и скуповима података</w:t>
            </w:r>
          </w:p>
        </w:tc>
        <w:tc>
          <w:tcPr>
            <w:tcW w:w="1553" w:type="dxa"/>
            <w:hideMark/>
          </w:tcPr>
          <w:p w14:paraId="35EE083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51" w:type="dxa"/>
            <w:shd w:val="clear" w:color="auto" w:fill="FFFFFF" w:themeFill="background1"/>
            <w:hideMark/>
          </w:tcPr>
          <w:p w14:paraId="07BD60C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Савет Европе, СКГО</w:t>
            </w:r>
          </w:p>
        </w:tc>
        <w:tc>
          <w:tcPr>
            <w:tcW w:w="2659" w:type="dxa"/>
            <w:gridSpan w:val="2"/>
            <w:hideMark/>
          </w:tcPr>
          <w:p w14:paraId="07355F8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II квартал 2026.- IV квартал 2026. </w:t>
            </w:r>
          </w:p>
        </w:tc>
        <w:tc>
          <w:tcPr>
            <w:tcW w:w="2127" w:type="dxa"/>
            <w:hideMark/>
          </w:tcPr>
          <w:p w14:paraId="259E4CE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СЕ – ЕУ ХРМ 3</w:t>
            </w:r>
          </w:p>
        </w:tc>
        <w:tc>
          <w:tcPr>
            <w:tcW w:w="1275" w:type="dxa"/>
            <w:hideMark/>
          </w:tcPr>
          <w:p w14:paraId="44F82C3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7FC59AC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1.172</w:t>
            </w:r>
          </w:p>
        </w:tc>
        <w:tc>
          <w:tcPr>
            <w:tcW w:w="850" w:type="dxa"/>
            <w:hideMark/>
          </w:tcPr>
          <w:p w14:paraId="5ACF280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58401BE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2E7BCBC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5E448C9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7F225774" w14:textId="77777777" w:rsidTr="0EB8FC02">
        <w:trPr>
          <w:trHeight w:val="604"/>
        </w:trPr>
        <w:tc>
          <w:tcPr>
            <w:tcW w:w="2270" w:type="dxa"/>
            <w:shd w:val="clear" w:color="auto" w:fill="FFFFFF" w:themeFill="background1"/>
            <w:hideMark/>
          </w:tcPr>
          <w:p w14:paraId="55E3454C"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3.1.4. Припрема смерница и приручника за увођење у рад новозапослених, након анализе постојећег оквира и праксе</w:t>
            </w:r>
          </w:p>
        </w:tc>
        <w:tc>
          <w:tcPr>
            <w:tcW w:w="1553" w:type="dxa"/>
            <w:hideMark/>
          </w:tcPr>
          <w:p w14:paraId="0AE6690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51" w:type="dxa"/>
            <w:shd w:val="clear" w:color="auto" w:fill="FFFFFF" w:themeFill="background1"/>
            <w:hideMark/>
          </w:tcPr>
          <w:p w14:paraId="4458D58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Савет Европе, СКГО</w:t>
            </w:r>
          </w:p>
        </w:tc>
        <w:tc>
          <w:tcPr>
            <w:tcW w:w="2659" w:type="dxa"/>
            <w:gridSpan w:val="2"/>
            <w:hideMark/>
          </w:tcPr>
          <w:p w14:paraId="1F04E35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II квартал 2026. - II квартал 2026. </w:t>
            </w:r>
          </w:p>
        </w:tc>
        <w:tc>
          <w:tcPr>
            <w:tcW w:w="2127" w:type="dxa"/>
            <w:hideMark/>
          </w:tcPr>
          <w:p w14:paraId="1992D3D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СЕ – ЕУ ХРМ 3</w:t>
            </w:r>
          </w:p>
        </w:tc>
        <w:tc>
          <w:tcPr>
            <w:tcW w:w="1275" w:type="dxa"/>
            <w:hideMark/>
          </w:tcPr>
          <w:p w14:paraId="30D5479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0127D14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656 </w:t>
            </w:r>
          </w:p>
        </w:tc>
        <w:tc>
          <w:tcPr>
            <w:tcW w:w="850" w:type="dxa"/>
            <w:hideMark/>
          </w:tcPr>
          <w:p w14:paraId="6F93984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0C46E58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16E0D87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4ADC43D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41470165" w14:textId="77777777" w:rsidTr="0EB8FC02">
        <w:trPr>
          <w:trHeight w:val="406"/>
        </w:trPr>
        <w:tc>
          <w:tcPr>
            <w:tcW w:w="2270" w:type="dxa"/>
            <w:vMerge w:val="restart"/>
            <w:shd w:val="clear" w:color="auto" w:fill="FFFFFF" w:themeFill="background1"/>
            <w:hideMark/>
          </w:tcPr>
          <w:p w14:paraId="6381F5A0"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3.1.5. Спровођења програма обука из области управљања људским ресурсима из Секторског програма континуираног стручног усавршавања запослених у ЈЛС - извештавање посредством НАЈУ/МДУЛС</w:t>
            </w:r>
          </w:p>
        </w:tc>
        <w:tc>
          <w:tcPr>
            <w:tcW w:w="1553" w:type="dxa"/>
            <w:vMerge w:val="restart"/>
            <w:shd w:val="clear" w:color="auto" w:fill="FFFFFF" w:themeFill="background1"/>
            <w:hideMark/>
          </w:tcPr>
          <w:p w14:paraId="0BB8D7F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НАЈУ</w:t>
            </w:r>
          </w:p>
        </w:tc>
        <w:tc>
          <w:tcPr>
            <w:tcW w:w="1451" w:type="dxa"/>
            <w:vMerge w:val="restart"/>
            <w:shd w:val="clear" w:color="auto" w:fill="FFFFFF" w:themeFill="background1"/>
            <w:hideMark/>
          </w:tcPr>
          <w:p w14:paraId="4D41D43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59" w:type="dxa"/>
            <w:gridSpan w:val="2"/>
            <w:vMerge w:val="restart"/>
            <w:shd w:val="clear" w:color="auto" w:fill="FFFFFF" w:themeFill="background1"/>
            <w:hideMark/>
          </w:tcPr>
          <w:p w14:paraId="7177A96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III квартал 2026.- IV квартал 2030.</w:t>
            </w:r>
          </w:p>
        </w:tc>
        <w:tc>
          <w:tcPr>
            <w:tcW w:w="2127" w:type="dxa"/>
            <w:shd w:val="clear" w:color="auto" w:fill="FFFFFF" w:themeFill="background1"/>
            <w:hideMark/>
          </w:tcPr>
          <w:p w14:paraId="16ABE48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СКГО – ЕУ ХРМ 3</w:t>
            </w:r>
          </w:p>
        </w:tc>
        <w:tc>
          <w:tcPr>
            <w:tcW w:w="1275" w:type="dxa"/>
            <w:shd w:val="clear" w:color="auto" w:fill="FFFFFF" w:themeFill="background1"/>
            <w:hideMark/>
          </w:tcPr>
          <w:p w14:paraId="5B6B341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3ABAF5E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4,688</w:t>
            </w:r>
          </w:p>
        </w:tc>
        <w:tc>
          <w:tcPr>
            <w:tcW w:w="850" w:type="dxa"/>
            <w:shd w:val="clear" w:color="auto" w:fill="FFFFFF" w:themeFill="background1"/>
            <w:hideMark/>
          </w:tcPr>
          <w:p w14:paraId="31798A8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3,596</w:t>
            </w:r>
          </w:p>
        </w:tc>
        <w:tc>
          <w:tcPr>
            <w:tcW w:w="851" w:type="dxa"/>
            <w:shd w:val="clear" w:color="auto" w:fill="FFFFFF" w:themeFill="background1"/>
            <w:hideMark/>
          </w:tcPr>
          <w:p w14:paraId="1EC4E39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2,344</w:t>
            </w:r>
          </w:p>
        </w:tc>
        <w:tc>
          <w:tcPr>
            <w:tcW w:w="866" w:type="dxa"/>
            <w:shd w:val="clear" w:color="auto" w:fill="FFFFFF" w:themeFill="background1"/>
            <w:hideMark/>
          </w:tcPr>
          <w:p w14:paraId="025C03A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shd w:val="clear" w:color="auto" w:fill="FFFFFF" w:themeFill="background1"/>
            <w:hideMark/>
          </w:tcPr>
          <w:p w14:paraId="1F05EC4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6C4E9A2" w14:textId="77777777" w:rsidTr="0EB8FC02">
        <w:trPr>
          <w:trHeight w:val="744"/>
        </w:trPr>
        <w:tc>
          <w:tcPr>
            <w:tcW w:w="2270" w:type="dxa"/>
            <w:vMerge/>
            <w:hideMark/>
          </w:tcPr>
          <w:p w14:paraId="5C0D4BB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53" w:type="dxa"/>
            <w:vMerge/>
            <w:hideMark/>
          </w:tcPr>
          <w:p w14:paraId="051F9FE1"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51" w:type="dxa"/>
            <w:vMerge/>
            <w:hideMark/>
          </w:tcPr>
          <w:p w14:paraId="294524C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59" w:type="dxa"/>
            <w:gridSpan w:val="2"/>
            <w:vMerge/>
            <w:hideMark/>
          </w:tcPr>
          <w:p w14:paraId="5CA095F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shd w:val="clear" w:color="auto" w:fill="FFFFFF" w:themeFill="background1"/>
            <w:hideMark/>
          </w:tcPr>
          <w:p w14:paraId="17A552D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shd w:val="clear" w:color="auto" w:fill="FFFFFF" w:themeFill="background1"/>
            <w:hideMark/>
          </w:tcPr>
          <w:p w14:paraId="3C67A12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6E9D2A1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1E6533B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2B7DA82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shd w:val="clear" w:color="auto" w:fill="FFFFFF" w:themeFill="background1"/>
            <w:hideMark/>
          </w:tcPr>
          <w:p w14:paraId="0EA8D49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1.200*</w:t>
            </w:r>
          </w:p>
        </w:tc>
        <w:tc>
          <w:tcPr>
            <w:tcW w:w="941" w:type="dxa"/>
            <w:shd w:val="clear" w:color="auto" w:fill="FFFFFF" w:themeFill="background1"/>
            <w:hideMark/>
          </w:tcPr>
          <w:p w14:paraId="7DF1227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1.200*</w:t>
            </w:r>
          </w:p>
        </w:tc>
      </w:tr>
      <w:tr w:rsidR="00FB70CD" w:rsidRPr="00226F9D" w14:paraId="043A90A6" w14:textId="77777777" w:rsidTr="0EB8FC02">
        <w:trPr>
          <w:trHeight w:val="592"/>
        </w:trPr>
        <w:tc>
          <w:tcPr>
            <w:tcW w:w="2270" w:type="dxa"/>
            <w:hideMark/>
          </w:tcPr>
          <w:p w14:paraId="6B43A59E" w14:textId="7101259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3.1.6.</w:t>
            </w:r>
            <w:r w:rsidR="00F16F02" w:rsidRPr="00226F9D">
              <w:rPr>
                <w:rFonts w:ascii="Times New Roman" w:eastAsia="Times New Roman" w:hAnsi="Times New Roman" w:cs="Times New Roman"/>
                <w:color w:val="000000"/>
                <w:kern w:val="0"/>
                <w:sz w:val="16"/>
                <w:szCs w:val="16"/>
                <w:lang w:val="sr-Cyrl-RS" w:eastAsia="en-GB"/>
                <w14:ligatures w14:val="none"/>
              </w:rPr>
              <w:t xml:space="preserve"> </w:t>
            </w:r>
            <w:r w:rsidRPr="00226F9D">
              <w:rPr>
                <w:rFonts w:ascii="Times New Roman" w:eastAsia="Times New Roman" w:hAnsi="Times New Roman" w:cs="Times New Roman"/>
                <w:color w:val="000000"/>
                <w:kern w:val="0"/>
                <w:sz w:val="16"/>
                <w:szCs w:val="16"/>
                <w:lang w:eastAsia="en-GB"/>
                <w14:ligatures w14:val="none"/>
              </w:rPr>
              <w:t>Спровођење пакета стручне подршке за унапређење функције управљања људским ресурсима у 7</w:t>
            </w:r>
            <w:r w:rsidRPr="00226F9D">
              <w:rPr>
                <w:rFonts w:ascii="Times New Roman" w:eastAsia="Times New Roman" w:hAnsi="Times New Roman" w:cs="Times New Roman"/>
                <w:color w:val="000000"/>
                <w:kern w:val="0"/>
                <w:sz w:val="16"/>
                <w:szCs w:val="16"/>
                <w:lang w:val="sr-Cyrl-RS" w:eastAsia="en-GB"/>
                <w14:ligatures w14:val="none"/>
              </w:rPr>
              <w:t>7</w:t>
            </w:r>
            <w:r w:rsidRPr="00226F9D">
              <w:rPr>
                <w:rFonts w:ascii="Times New Roman" w:eastAsia="Times New Roman" w:hAnsi="Times New Roman" w:cs="Times New Roman"/>
                <w:color w:val="000000"/>
                <w:kern w:val="0"/>
                <w:sz w:val="16"/>
                <w:szCs w:val="16"/>
                <w:lang w:eastAsia="en-GB"/>
                <w14:ligatures w14:val="none"/>
              </w:rPr>
              <w:t xml:space="preserve"> ЛС</w:t>
            </w:r>
          </w:p>
        </w:tc>
        <w:tc>
          <w:tcPr>
            <w:tcW w:w="1553" w:type="dxa"/>
            <w:shd w:val="clear" w:color="auto" w:fill="FFFFFF" w:themeFill="background1"/>
            <w:hideMark/>
          </w:tcPr>
          <w:p w14:paraId="1D35A05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51" w:type="dxa"/>
            <w:shd w:val="clear" w:color="auto" w:fill="FFFFFF" w:themeFill="background1"/>
            <w:hideMark/>
          </w:tcPr>
          <w:p w14:paraId="2D5468A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59" w:type="dxa"/>
            <w:gridSpan w:val="2"/>
            <w:hideMark/>
          </w:tcPr>
          <w:p w14:paraId="1A3F494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II квартал 2027.</w:t>
            </w:r>
          </w:p>
        </w:tc>
        <w:tc>
          <w:tcPr>
            <w:tcW w:w="2127" w:type="dxa"/>
            <w:hideMark/>
          </w:tcPr>
          <w:p w14:paraId="08EAD94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СКГО – ЕУ ХРМ 3</w:t>
            </w:r>
          </w:p>
        </w:tc>
        <w:tc>
          <w:tcPr>
            <w:tcW w:w="1275" w:type="dxa"/>
            <w:hideMark/>
          </w:tcPr>
          <w:p w14:paraId="349E19E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3054E46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27,652</w:t>
            </w:r>
          </w:p>
        </w:tc>
        <w:tc>
          <w:tcPr>
            <w:tcW w:w="850" w:type="dxa"/>
            <w:shd w:val="clear" w:color="auto" w:fill="FFFFFF" w:themeFill="background1"/>
            <w:hideMark/>
          </w:tcPr>
          <w:p w14:paraId="43CBE8D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13,819</w:t>
            </w:r>
          </w:p>
        </w:tc>
        <w:tc>
          <w:tcPr>
            <w:tcW w:w="851" w:type="dxa"/>
            <w:hideMark/>
          </w:tcPr>
          <w:p w14:paraId="00B03F4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047818A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0E5594C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728A759" w14:textId="77777777" w:rsidTr="0EB8FC02">
        <w:trPr>
          <w:trHeight w:val="24"/>
        </w:trPr>
        <w:tc>
          <w:tcPr>
            <w:tcW w:w="2270" w:type="dxa"/>
            <w:hideMark/>
          </w:tcPr>
          <w:p w14:paraId="55CBD80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3.1.7. Пилотирање стандарда квалитета у управљању људским ресурсима у две ЈЛС</w:t>
            </w:r>
          </w:p>
        </w:tc>
        <w:tc>
          <w:tcPr>
            <w:tcW w:w="1553" w:type="dxa"/>
            <w:shd w:val="clear" w:color="auto" w:fill="FFFFFF" w:themeFill="background1"/>
            <w:hideMark/>
          </w:tcPr>
          <w:p w14:paraId="082C659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51" w:type="dxa"/>
            <w:shd w:val="clear" w:color="auto" w:fill="FFFFFF" w:themeFill="background1"/>
            <w:hideMark/>
          </w:tcPr>
          <w:p w14:paraId="2A41510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59" w:type="dxa"/>
            <w:gridSpan w:val="2"/>
            <w:hideMark/>
          </w:tcPr>
          <w:p w14:paraId="26CF56B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2027. - IV квартал 2027.</w:t>
            </w:r>
          </w:p>
        </w:tc>
        <w:tc>
          <w:tcPr>
            <w:tcW w:w="2127" w:type="dxa"/>
            <w:hideMark/>
          </w:tcPr>
          <w:p w14:paraId="7B3E48A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СКГО – ЕУ ХРМ 3</w:t>
            </w:r>
          </w:p>
        </w:tc>
        <w:tc>
          <w:tcPr>
            <w:tcW w:w="1275" w:type="dxa"/>
            <w:hideMark/>
          </w:tcPr>
          <w:p w14:paraId="1F76F66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31D7BA4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3C127FC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703</w:t>
            </w:r>
          </w:p>
        </w:tc>
        <w:tc>
          <w:tcPr>
            <w:tcW w:w="851" w:type="dxa"/>
            <w:hideMark/>
          </w:tcPr>
          <w:p w14:paraId="2CBDA9E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032CA3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6285194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31E117E9" w14:textId="77777777" w:rsidTr="0EB8FC02">
        <w:trPr>
          <w:trHeight w:val="388"/>
        </w:trPr>
        <w:tc>
          <w:tcPr>
            <w:tcW w:w="2270" w:type="dxa"/>
            <w:hideMark/>
          </w:tcPr>
          <w:p w14:paraId="5DA8BBED"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3.1.8. Пилотирање стратешког и оперативног планирања УЉР на основу добрих европских пракси у две ЈЛС  </w:t>
            </w:r>
          </w:p>
        </w:tc>
        <w:tc>
          <w:tcPr>
            <w:tcW w:w="1553" w:type="dxa"/>
            <w:shd w:val="clear" w:color="auto" w:fill="FFFFFF" w:themeFill="background1"/>
            <w:hideMark/>
          </w:tcPr>
          <w:p w14:paraId="2D3E4E9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51" w:type="dxa"/>
            <w:shd w:val="clear" w:color="auto" w:fill="FFFFFF" w:themeFill="background1"/>
            <w:hideMark/>
          </w:tcPr>
          <w:p w14:paraId="4A59A20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59" w:type="dxa"/>
            <w:gridSpan w:val="2"/>
            <w:hideMark/>
          </w:tcPr>
          <w:p w14:paraId="6BA93EE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2027. - IV квартал 2027.</w:t>
            </w:r>
          </w:p>
        </w:tc>
        <w:tc>
          <w:tcPr>
            <w:tcW w:w="2127" w:type="dxa"/>
            <w:hideMark/>
          </w:tcPr>
          <w:p w14:paraId="56DF20B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СКГО – ЕУ ХРМ 3</w:t>
            </w:r>
          </w:p>
        </w:tc>
        <w:tc>
          <w:tcPr>
            <w:tcW w:w="1275" w:type="dxa"/>
            <w:hideMark/>
          </w:tcPr>
          <w:p w14:paraId="48F830C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74732F2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01E40F1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703</w:t>
            </w:r>
          </w:p>
        </w:tc>
        <w:tc>
          <w:tcPr>
            <w:tcW w:w="851" w:type="dxa"/>
            <w:hideMark/>
          </w:tcPr>
          <w:p w14:paraId="2523697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5A9246C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38B2793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C37823" w:rsidRPr="00226F9D" w14:paraId="7DB052BA" w14:textId="77777777" w:rsidTr="0EB8FC02">
        <w:trPr>
          <w:trHeight w:val="648"/>
        </w:trPr>
        <w:tc>
          <w:tcPr>
            <w:tcW w:w="2270" w:type="dxa"/>
            <w:vMerge w:val="restart"/>
            <w:hideMark/>
          </w:tcPr>
          <w:p w14:paraId="235F12D3" w14:textId="3A832C1D" w:rsidR="00C37823" w:rsidRPr="00226F9D" w:rsidRDefault="00C37823" w:rsidP="0EB8FC02">
            <w:pPr>
              <w:spacing w:after="0" w:line="240" w:lineRule="auto"/>
              <w:rPr>
                <w:rFonts w:ascii="Times New Roman" w:eastAsia="Arial" w:hAnsi="Times New Roman" w:cs="Times New Roman"/>
                <w:color w:val="FF0000"/>
                <w:kern w:val="0"/>
                <w:sz w:val="16"/>
                <w:szCs w:val="16"/>
                <w14:ligatures w14:val="none"/>
              </w:rPr>
            </w:pPr>
            <w:r w:rsidRPr="00226F9D">
              <w:rPr>
                <w:rFonts w:ascii="Times New Roman" w:eastAsia="Arial" w:hAnsi="Times New Roman" w:cs="Times New Roman"/>
                <w:color w:val="000000" w:themeColor="text1"/>
                <w:sz w:val="16"/>
                <w:szCs w:val="16"/>
              </w:rPr>
              <w:t>3.1.9. Израда три периодичне анализе вредновања учинка локалне самоуправе у области управљања људским ресурсима</w:t>
            </w:r>
          </w:p>
        </w:tc>
        <w:tc>
          <w:tcPr>
            <w:tcW w:w="1553" w:type="dxa"/>
            <w:vMerge w:val="restart"/>
            <w:shd w:val="clear" w:color="auto" w:fill="FFFFFF" w:themeFill="background1"/>
            <w:hideMark/>
          </w:tcPr>
          <w:p w14:paraId="1161DF94"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51" w:type="dxa"/>
            <w:vMerge w:val="restart"/>
            <w:shd w:val="clear" w:color="auto" w:fill="FFFFFF" w:themeFill="background1"/>
            <w:hideMark/>
          </w:tcPr>
          <w:p w14:paraId="72CAE9B5"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59" w:type="dxa"/>
            <w:gridSpan w:val="2"/>
            <w:vMerge w:val="restart"/>
            <w:hideMark/>
          </w:tcPr>
          <w:p w14:paraId="6D74C6C1" w14:textId="5540321F"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2027. - IV квартал 2030.</w:t>
            </w:r>
          </w:p>
        </w:tc>
        <w:tc>
          <w:tcPr>
            <w:tcW w:w="2127" w:type="dxa"/>
            <w:hideMark/>
          </w:tcPr>
          <w:p w14:paraId="33F9B9A6"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СКГО – ЕУ ХРМ 3</w:t>
            </w:r>
          </w:p>
        </w:tc>
        <w:tc>
          <w:tcPr>
            <w:tcW w:w="1275" w:type="dxa"/>
            <w:hideMark/>
          </w:tcPr>
          <w:p w14:paraId="0E53DF90"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42B44B03"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19AE98AB"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1,852</w:t>
            </w:r>
          </w:p>
        </w:tc>
        <w:tc>
          <w:tcPr>
            <w:tcW w:w="851" w:type="dxa"/>
            <w:hideMark/>
          </w:tcPr>
          <w:p w14:paraId="5A23A525"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4,688</w:t>
            </w:r>
          </w:p>
        </w:tc>
        <w:tc>
          <w:tcPr>
            <w:tcW w:w="866" w:type="dxa"/>
            <w:hideMark/>
          </w:tcPr>
          <w:p w14:paraId="24837228"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61BF29B8" w14:textId="2D1B4A5F"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tc>
      </w:tr>
      <w:tr w:rsidR="00C37823" w:rsidRPr="00226F9D" w14:paraId="6AEB98B1" w14:textId="77777777" w:rsidTr="0EB8FC02">
        <w:trPr>
          <w:trHeight w:val="648"/>
        </w:trPr>
        <w:tc>
          <w:tcPr>
            <w:tcW w:w="2270" w:type="dxa"/>
            <w:vMerge/>
          </w:tcPr>
          <w:p w14:paraId="365CD85A" w14:textId="77777777" w:rsidR="00C37823" w:rsidRPr="00226F9D" w:rsidRDefault="00C37823" w:rsidP="0EB8FC02">
            <w:pPr>
              <w:spacing w:after="0" w:line="240" w:lineRule="auto"/>
              <w:rPr>
                <w:rFonts w:ascii="Times New Roman" w:eastAsia="Arial" w:hAnsi="Times New Roman" w:cs="Times New Roman"/>
                <w:color w:val="FF0000"/>
                <w:sz w:val="16"/>
                <w:szCs w:val="16"/>
              </w:rPr>
            </w:pPr>
          </w:p>
        </w:tc>
        <w:tc>
          <w:tcPr>
            <w:tcW w:w="1553" w:type="dxa"/>
            <w:vMerge/>
            <w:shd w:val="clear" w:color="auto" w:fill="FFFFFF" w:themeFill="background1"/>
          </w:tcPr>
          <w:p w14:paraId="22E4C0E6"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1451" w:type="dxa"/>
            <w:vMerge/>
            <w:shd w:val="clear" w:color="auto" w:fill="FFFFFF" w:themeFill="background1"/>
          </w:tcPr>
          <w:p w14:paraId="3CC906FB"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2659" w:type="dxa"/>
            <w:gridSpan w:val="2"/>
            <w:vMerge/>
          </w:tcPr>
          <w:p w14:paraId="071D9358"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2127" w:type="dxa"/>
          </w:tcPr>
          <w:p w14:paraId="14AA4760" w14:textId="35586D59"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sz w:val="16"/>
                <w:szCs w:val="16"/>
                <w:lang w:eastAsia="en-GB"/>
              </w:rPr>
              <w:t>Донаторска подршка* - средства нису обезбеђена</w:t>
            </w:r>
            <w:r w:rsidRPr="00226F9D">
              <w:rPr>
                <w:rFonts w:ascii="Times New Roman" w:hAnsi="Times New Roman" w:cs="Times New Roman"/>
              </w:rPr>
              <w:br/>
            </w:r>
            <w:r w:rsidRPr="00226F9D">
              <w:rPr>
                <w:rFonts w:ascii="Times New Roman" w:eastAsia="Times New Roman" w:hAnsi="Times New Roman" w:cs="Times New Roman"/>
                <w:sz w:val="16"/>
                <w:szCs w:val="16"/>
                <w:lang w:eastAsia="en-GB"/>
              </w:rPr>
              <w:t>Очекивана подршка из донације (СКГО)</w:t>
            </w:r>
          </w:p>
        </w:tc>
        <w:tc>
          <w:tcPr>
            <w:tcW w:w="1275" w:type="dxa"/>
          </w:tcPr>
          <w:p w14:paraId="6380EE63"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51" w:type="dxa"/>
            <w:shd w:val="clear" w:color="auto" w:fill="FFFFFF" w:themeFill="background1"/>
          </w:tcPr>
          <w:p w14:paraId="644634DD"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50" w:type="dxa"/>
            <w:shd w:val="clear" w:color="auto" w:fill="FFFFFF" w:themeFill="background1"/>
          </w:tcPr>
          <w:p w14:paraId="7466E783"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51" w:type="dxa"/>
          </w:tcPr>
          <w:p w14:paraId="2ACC75A4"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66" w:type="dxa"/>
          </w:tcPr>
          <w:p w14:paraId="00C9E189" w14:textId="77777777"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941" w:type="dxa"/>
          </w:tcPr>
          <w:p w14:paraId="5BDDE6C9" w14:textId="4FE467BF" w:rsidR="00C37823" w:rsidRPr="00226F9D" w:rsidRDefault="00C37823"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themeColor="text1"/>
                <w:sz w:val="16"/>
                <w:szCs w:val="16"/>
                <w:lang w:eastAsia="en-GB"/>
              </w:rPr>
              <w:t>1</w:t>
            </w:r>
            <w:r w:rsidR="00636EE2" w:rsidRPr="00226F9D">
              <w:rPr>
                <w:rFonts w:ascii="Times New Roman" w:eastAsia="Times New Roman" w:hAnsi="Times New Roman" w:cs="Times New Roman"/>
                <w:color w:val="000000" w:themeColor="text1"/>
                <w:sz w:val="16"/>
                <w:szCs w:val="16"/>
                <w:lang w:val="sr-Cyrl-RS" w:eastAsia="en-GB"/>
              </w:rPr>
              <w:t>.</w:t>
            </w:r>
            <w:r w:rsidRPr="00226F9D">
              <w:rPr>
                <w:rFonts w:ascii="Times New Roman" w:eastAsia="Times New Roman" w:hAnsi="Times New Roman" w:cs="Times New Roman"/>
                <w:color w:val="000000" w:themeColor="text1"/>
                <w:sz w:val="16"/>
                <w:szCs w:val="16"/>
                <w:lang w:eastAsia="en-GB"/>
              </w:rPr>
              <w:t>200</w:t>
            </w:r>
            <w:r w:rsidR="00636EE2" w:rsidRPr="00226F9D">
              <w:rPr>
                <w:rFonts w:ascii="Times New Roman" w:eastAsia="Times New Roman" w:hAnsi="Times New Roman" w:cs="Times New Roman"/>
                <w:color w:val="000000" w:themeColor="text1"/>
                <w:sz w:val="16"/>
                <w:szCs w:val="16"/>
                <w:lang w:val="sr-Cyrl-RS" w:eastAsia="en-GB"/>
              </w:rPr>
              <w:t>*</w:t>
            </w:r>
          </w:p>
        </w:tc>
      </w:tr>
    </w:tbl>
    <w:p w14:paraId="7062B66F" w14:textId="77777777" w:rsidR="00FB70CD" w:rsidRPr="00226F9D" w:rsidRDefault="00FB70CD" w:rsidP="005B0999">
      <w:pPr>
        <w:spacing w:after="0" w:line="240" w:lineRule="auto"/>
        <w:rPr>
          <w:rFonts w:ascii="Times New Roman" w:hAnsi="Times New Roman" w:cs="Times New Roman"/>
        </w:rPr>
      </w:pPr>
    </w:p>
    <w:p w14:paraId="15FDACC0" w14:textId="77777777" w:rsidR="00FB70CD" w:rsidRPr="00226F9D" w:rsidRDefault="00FB70CD" w:rsidP="005B0999">
      <w:pPr>
        <w:spacing w:after="0" w:line="240" w:lineRule="auto"/>
        <w:rPr>
          <w:rFonts w:ascii="Times New Roman" w:hAnsi="Times New Roman" w:cs="Times New Roman"/>
        </w:rPr>
      </w:pPr>
    </w:p>
    <w:p w14:paraId="3FD8EEEF" w14:textId="77777777" w:rsidR="00FB70CD" w:rsidRPr="00226F9D" w:rsidRDefault="00FB70CD" w:rsidP="005B0999">
      <w:pPr>
        <w:spacing w:after="0" w:line="240" w:lineRule="auto"/>
        <w:rPr>
          <w:rFonts w:ascii="Times New Roman" w:hAnsi="Times New Roman" w:cs="Times New Roman"/>
        </w:rPr>
      </w:pPr>
    </w:p>
    <w:p w14:paraId="23CA28EA" w14:textId="50532EEF" w:rsidR="0EB8FC02" w:rsidRPr="00226F9D" w:rsidRDefault="0EB8FC02" w:rsidP="0EB8FC02">
      <w:pPr>
        <w:spacing w:after="0" w:line="240" w:lineRule="auto"/>
        <w:rPr>
          <w:rFonts w:ascii="Times New Roman" w:hAnsi="Times New Roman" w:cs="Times New Roman"/>
        </w:rPr>
      </w:pPr>
    </w:p>
    <w:p w14:paraId="00530E9C" w14:textId="77777777" w:rsidR="00FB70CD" w:rsidRPr="00226F9D" w:rsidRDefault="00FB70CD" w:rsidP="005B0999">
      <w:pPr>
        <w:spacing w:after="0" w:line="240" w:lineRule="auto"/>
        <w:rPr>
          <w:rFonts w:ascii="Times New Roman" w:hAnsi="Times New Roman" w:cs="Times New Roman"/>
        </w:rPr>
      </w:pPr>
    </w:p>
    <w:p w14:paraId="0D642A9A" w14:textId="77777777" w:rsidR="00FB70CD" w:rsidRPr="00226F9D" w:rsidRDefault="00FB70CD" w:rsidP="005B0999">
      <w:pPr>
        <w:spacing w:after="0" w:line="240" w:lineRule="auto"/>
        <w:rPr>
          <w:rFonts w:ascii="Times New Roman" w:hAnsi="Times New Roman" w:cs="Times New Roman"/>
        </w:rPr>
      </w:pPr>
    </w:p>
    <w:p w14:paraId="56C304B3" w14:textId="77777777" w:rsidR="00FB70CD" w:rsidRPr="00226F9D" w:rsidRDefault="00FB70CD" w:rsidP="005B0999">
      <w:pPr>
        <w:spacing w:after="0" w:line="240" w:lineRule="auto"/>
        <w:rPr>
          <w:rFonts w:ascii="Times New Roman" w:hAnsi="Times New Roman" w:cs="Times New Roman"/>
        </w:rPr>
      </w:pPr>
    </w:p>
    <w:p w14:paraId="12983C6D" w14:textId="77777777" w:rsidR="00FB70CD" w:rsidRPr="00226F9D" w:rsidRDefault="00FB70CD" w:rsidP="005B0999">
      <w:pPr>
        <w:spacing w:after="0" w:line="240" w:lineRule="auto"/>
        <w:rPr>
          <w:rFonts w:ascii="Times New Roman" w:hAnsi="Times New Roman" w:cs="Times New Roman"/>
        </w:rPr>
      </w:pP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270"/>
        <w:gridCol w:w="1553"/>
        <w:gridCol w:w="1451"/>
        <w:gridCol w:w="1100"/>
        <w:gridCol w:w="1559"/>
        <w:gridCol w:w="2091"/>
        <w:gridCol w:w="1311"/>
        <w:gridCol w:w="851"/>
        <w:gridCol w:w="850"/>
        <w:gridCol w:w="851"/>
        <w:gridCol w:w="866"/>
        <w:gridCol w:w="941"/>
      </w:tblGrid>
      <w:tr w:rsidR="00FB70CD" w:rsidRPr="00226F9D" w14:paraId="04D39671" w14:textId="77777777" w:rsidTr="1539D093">
        <w:trPr>
          <w:trHeight w:val="24"/>
        </w:trPr>
        <w:tc>
          <w:tcPr>
            <w:tcW w:w="15694" w:type="dxa"/>
            <w:gridSpan w:val="12"/>
            <w:shd w:val="clear" w:color="auto" w:fill="F7CAAC"/>
            <w:hideMark/>
          </w:tcPr>
          <w:p w14:paraId="7552CEC7"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lastRenderedPageBreak/>
              <w:t>Мера 3.2: Унапређење процеса стручног усавршавања запослених у органима ЈЛС</w:t>
            </w:r>
          </w:p>
        </w:tc>
      </w:tr>
      <w:tr w:rsidR="00FB70CD" w:rsidRPr="00226F9D" w14:paraId="44E0EBF0" w14:textId="77777777" w:rsidTr="1539D093">
        <w:trPr>
          <w:trHeight w:val="24"/>
        </w:trPr>
        <w:tc>
          <w:tcPr>
            <w:tcW w:w="15694" w:type="dxa"/>
            <w:gridSpan w:val="12"/>
            <w:shd w:val="clear" w:color="auto" w:fill="F7CAAC"/>
            <w:hideMark/>
          </w:tcPr>
          <w:p w14:paraId="443F20FA"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Институција одговорна за праћење и контролу реализације: МДУЛС</w:t>
            </w:r>
          </w:p>
        </w:tc>
      </w:tr>
      <w:tr w:rsidR="00FB70CD" w:rsidRPr="00226F9D" w14:paraId="62193A20" w14:textId="77777777" w:rsidTr="1539D093">
        <w:trPr>
          <w:trHeight w:val="24"/>
        </w:trPr>
        <w:tc>
          <w:tcPr>
            <w:tcW w:w="5274" w:type="dxa"/>
            <w:gridSpan w:val="3"/>
            <w:shd w:val="clear" w:color="auto" w:fill="F7CAAC"/>
            <w:hideMark/>
          </w:tcPr>
          <w:p w14:paraId="03C83D38"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Период спровођења: </w:t>
            </w:r>
            <w:r w:rsidRPr="00226F9D">
              <w:rPr>
                <w:rFonts w:ascii="Times New Roman" w:eastAsia="Times New Roman" w:hAnsi="Times New Roman" w:cs="Times New Roman"/>
                <w:color w:val="000000"/>
                <w:kern w:val="0"/>
                <w:sz w:val="16"/>
                <w:szCs w:val="16"/>
                <w:lang w:eastAsia="en-GB"/>
                <w14:ligatures w14:val="none"/>
              </w:rPr>
              <w:t>2026</w:t>
            </w:r>
            <w:r w:rsidRPr="00226F9D">
              <w:rPr>
                <w:rFonts w:ascii="Times New Roman" w:eastAsia="Times New Roman" w:hAnsi="Times New Roman" w:cs="Times New Roman"/>
                <w:color w:val="222222"/>
                <w:kern w:val="0"/>
                <w:sz w:val="16"/>
                <w:szCs w:val="16"/>
                <w:lang w:eastAsia="en-GB"/>
                <w14:ligatures w14:val="none"/>
              </w:rPr>
              <w:t>-2030.</w:t>
            </w:r>
          </w:p>
        </w:tc>
        <w:tc>
          <w:tcPr>
            <w:tcW w:w="10420" w:type="dxa"/>
            <w:gridSpan w:val="9"/>
            <w:shd w:val="clear" w:color="auto" w:fill="F7CAAC"/>
            <w:hideMark/>
          </w:tcPr>
          <w:p w14:paraId="33E13774"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Тип мере: Информативно-едукативна</w:t>
            </w:r>
          </w:p>
        </w:tc>
      </w:tr>
      <w:tr w:rsidR="00FB70CD" w:rsidRPr="00226F9D" w14:paraId="7D0A665A" w14:textId="77777777" w:rsidTr="1539D093">
        <w:trPr>
          <w:trHeight w:val="24"/>
        </w:trPr>
        <w:tc>
          <w:tcPr>
            <w:tcW w:w="15694" w:type="dxa"/>
            <w:gridSpan w:val="12"/>
            <w:shd w:val="clear" w:color="auto" w:fill="F7CAAC"/>
            <w:hideMark/>
          </w:tcPr>
          <w:p w14:paraId="7CD7C76C"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Прописи које је потребно изменити/усвојити за спровођење мере: </w:t>
            </w:r>
          </w:p>
        </w:tc>
      </w:tr>
      <w:tr w:rsidR="003F4ABA" w:rsidRPr="00226F9D" w14:paraId="0668D9FF" w14:textId="77777777" w:rsidTr="1539D093">
        <w:trPr>
          <w:trHeight w:val="314"/>
        </w:trPr>
        <w:tc>
          <w:tcPr>
            <w:tcW w:w="5274" w:type="dxa"/>
            <w:gridSpan w:val="3"/>
            <w:shd w:val="clear" w:color="auto" w:fill="B4C6E7"/>
            <w:vAlign w:val="center"/>
            <w:hideMark/>
          </w:tcPr>
          <w:p w14:paraId="13058F19"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мере (показатељ резултата)</w:t>
            </w:r>
          </w:p>
        </w:tc>
        <w:tc>
          <w:tcPr>
            <w:tcW w:w="1100" w:type="dxa"/>
            <w:shd w:val="clear" w:color="auto" w:fill="B4C6E7"/>
            <w:vAlign w:val="center"/>
          </w:tcPr>
          <w:p w14:paraId="574F640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auto" w:fill="B4C6E7"/>
            <w:vAlign w:val="center"/>
          </w:tcPr>
          <w:p w14:paraId="1BBE733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091" w:type="dxa"/>
            <w:shd w:val="clear" w:color="auto" w:fill="B4C6E7"/>
            <w:vAlign w:val="center"/>
          </w:tcPr>
          <w:p w14:paraId="7456975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311" w:type="dxa"/>
            <w:shd w:val="clear" w:color="auto" w:fill="B4C6E7"/>
            <w:vAlign w:val="center"/>
            <w:hideMark/>
          </w:tcPr>
          <w:p w14:paraId="38F8AB5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auto" w:fill="B4C6E7"/>
            <w:vAlign w:val="center"/>
            <w:hideMark/>
          </w:tcPr>
          <w:p w14:paraId="36D1EE1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2026. години</w:t>
            </w:r>
          </w:p>
        </w:tc>
        <w:tc>
          <w:tcPr>
            <w:tcW w:w="850" w:type="dxa"/>
            <w:shd w:val="clear" w:color="auto" w:fill="B4C6E7"/>
            <w:vAlign w:val="center"/>
            <w:hideMark/>
          </w:tcPr>
          <w:p w14:paraId="2EA6C44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auto" w:fill="B4C6E7"/>
            <w:vAlign w:val="center"/>
            <w:hideMark/>
          </w:tcPr>
          <w:p w14:paraId="4EC4201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6" w:type="dxa"/>
            <w:shd w:val="clear" w:color="auto" w:fill="B4C6E7"/>
            <w:vAlign w:val="center"/>
            <w:hideMark/>
          </w:tcPr>
          <w:p w14:paraId="551120A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41" w:type="dxa"/>
            <w:shd w:val="clear" w:color="auto" w:fill="B4C6E7"/>
            <w:vAlign w:val="center"/>
            <w:hideMark/>
          </w:tcPr>
          <w:p w14:paraId="0D1F576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3F4ABA" w:rsidRPr="00226F9D" w14:paraId="76A1D26C" w14:textId="77777777" w:rsidTr="1539D093">
        <w:trPr>
          <w:trHeight w:val="24"/>
        </w:trPr>
        <w:tc>
          <w:tcPr>
            <w:tcW w:w="5274" w:type="dxa"/>
            <w:gridSpan w:val="3"/>
            <w:shd w:val="clear" w:color="auto" w:fill="FFFFFF" w:themeFill="background1"/>
            <w:vAlign w:val="center"/>
            <w:hideMark/>
          </w:tcPr>
          <w:p w14:paraId="7F7FBB5D"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Капацитет ЈЛС за стручно усавршавање у локалној управи (просечна вредност индекса СКГО за УЉР у издвојеним областима: стручно усавршавање и оспособљавање запослених)</w:t>
            </w:r>
          </w:p>
        </w:tc>
        <w:tc>
          <w:tcPr>
            <w:tcW w:w="1100" w:type="dxa"/>
            <w:shd w:val="clear" w:color="auto" w:fill="FFFFFF" w:themeFill="background1"/>
          </w:tcPr>
          <w:p w14:paraId="6243D3AC" w14:textId="1ACFA415" w:rsidR="00FB70CD" w:rsidRPr="00226F9D" w:rsidRDefault="003D6A33"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w:t>
            </w:r>
            <w:r w:rsidR="00FB70CD" w:rsidRPr="00226F9D">
              <w:rPr>
                <w:rFonts w:ascii="Times New Roman" w:eastAsia="Times New Roman" w:hAnsi="Times New Roman" w:cs="Times New Roman"/>
                <w:color w:val="000000"/>
                <w:kern w:val="0"/>
                <w:sz w:val="16"/>
                <w:szCs w:val="16"/>
                <w:lang w:eastAsia="en-GB"/>
                <w14:ligatures w14:val="none"/>
              </w:rPr>
              <w:t xml:space="preserve"> </w:t>
            </w:r>
          </w:p>
        </w:tc>
        <w:tc>
          <w:tcPr>
            <w:tcW w:w="1559" w:type="dxa"/>
            <w:shd w:val="clear" w:color="auto" w:fill="FFFFFF" w:themeFill="background1"/>
          </w:tcPr>
          <w:p w14:paraId="5F1C551C" w14:textId="77777777" w:rsidR="00FB70CD" w:rsidRPr="00226F9D" w:rsidRDefault="00FB70CD" w:rsidP="005B0999">
            <w:pPr>
              <w:spacing w:after="0" w:line="240" w:lineRule="auto"/>
              <w:jc w:val="center"/>
              <w:rPr>
                <w:rFonts w:ascii="Times New Roman" w:eastAsia="Times New Roman" w:hAnsi="Times New Roman" w:cs="Times New Roman"/>
                <w:i/>
                <w:iCs/>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Индекс СКГО</w:t>
            </w:r>
          </w:p>
        </w:tc>
        <w:tc>
          <w:tcPr>
            <w:tcW w:w="2091" w:type="dxa"/>
            <w:shd w:val="clear" w:color="auto" w:fill="FFFFFF" w:themeFill="background1"/>
          </w:tcPr>
          <w:p w14:paraId="5CF9F507" w14:textId="2AD684C9" w:rsidR="00FB70CD" w:rsidRPr="00226F9D" w:rsidRDefault="000C59A4" w:rsidP="005B0999">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35,3</w:t>
            </w:r>
            <w:r w:rsidR="003D6A33" w:rsidRPr="00226F9D">
              <w:rPr>
                <w:rFonts w:ascii="Times New Roman" w:eastAsia="Times New Roman" w:hAnsi="Times New Roman" w:cs="Times New Roman"/>
                <w:kern w:val="0"/>
                <w:sz w:val="16"/>
                <w:szCs w:val="16"/>
                <w:lang w:val="sr-Cyrl-RS" w:eastAsia="en-GB"/>
                <w14:ligatures w14:val="none"/>
              </w:rPr>
              <w:t>%</w:t>
            </w:r>
          </w:p>
        </w:tc>
        <w:tc>
          <w:tcPr>
            <w:tcW w:w="1311" w:type="dxa"/>
            <w:shd w:val="clear" w:color="auto" w:fill="FFFFFF" w:themeFill="background1"/>
            <w:hideMark/>
          </w:tcPr>
          <w:p w14:paraId="7C39EFE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auto" w:fill="FFFFFF" w:themeFill="background1"/>
            <w:hideMark/>
          </w:tcPr>
          <w:p w14:paraId="55B61D87" w14:textId="17E3E777" w:rsidR="00FB70CD" w:rsidRPr="00226F9D" w:rsidRDefault="00CD041A"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r w:rsidR="00FB70CD"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4697BA5B" w14:textId="1D39AAB8" w:rsidR="00FB70CD" w:rsidRPr="00226F9D" w:rsidRDefault="00A41B45"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38,8</w:t>
            </w:r>
            <w:r w:rsidR="003D6A33" w:rsidRPr="00226F9D">
              <w:rPr>
                <w:rFonts w:ascii="Times New Roman" w:eastAsia="Times New Roman" w:hAnsi="Times New Roman" w:cs="Times New Roman"/>
                <w:color w:val="000000"/>
                <w:kern w:val="0"/>
                <w:sz w:val="16"/>
                <w:szCs w:val="16"/>
                <w:lang w:val="sr-Cyrl-RS" w:eastAsia="en-GB"/>
                <w14:ligatures w14:val="none"/>
              </w:rPr>
              <w:t>%</w:t>
            </w:r>
            <w:r w:rsidR="00FB70CD"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45D507A1" w14:textId="37CDBA24"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A41B45" w:rsidRPr="00226F9D">
              <w:rPr>
                <w:rFonts w:ascii="Times New Roman" w:eastAsia="Times New Roman" w:hAnsi="Times New Roman" w:cs="Times New Roman"/>
                <w:color w:val="000000"/>
                <w:kern w:val="0"/>
                <w:sz w:val="16"/>
                <w:szCs w:val="16"/>
                <w:lang w:val="sr-Cyrl-RS" w:eastAsia="en-GB"/>
                <w14:ligatures w14:val="none"/>
              </w:rPr>
              <w:t>40,6</w:t>
            </w:r>
            <w:r w:rsidR="003D6A33" w:rsidRPr="00226F9D">
              <w:rPr>
                <w:rFonts w:ascii="Times New Roman" w:eastAsia="Times New Roman" w:hAnsi="Times New Roman" w:cs="Times New Roman"/>
                <w:color w:val="000000"/>
                <w:kern w:val="0"/>
                <w:sz w:val="16"/>
                <w:szCs w:val="16"/>
                <w:lang w:val="sr-Cyrl-RS" w:eastAsia="en-GB"/>
                <w14:ligatures w14:val="none"/>
              </w:rPr>
              <w:t>%</w:t>
            </w:r>
          </w:p>
        </w:tc>
        <w:tc>
          <w:tcPr>
            <w:tcW w:w="866" w:type="dxa"/>
            <w:shd w:val="clear" w:color="auto" w:fill="FFFFFF" w:themeFill="background1"/>
            <w:hideMark/>
          </w:tcPr>
          <w:p w14:paraId="18928BC6" w14:textId="34E265C6"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r w:rsidR="00E50777" w:rsidRPr="00226F9D">
              <w:rPr>
                <w:rFonts w:ascii="Times New Roman" w:eastAsia="Times New Roman" w:hAnsi="Times New Roman" w:cs="Times New Roman"/>
                <w:color w:val="000000"/>
                <w:kern w:val="0"/>
                <w:sz w:val="16"/>
                <w:szCs w:val="16"/>
                <w:lang w:eastAsia="en-GB"/>
                <w14:ligatures w14:val="none"/>
              </w:rPr>
              <w:t>/</w:t>
            </w:r>
          </w:p>
        </w:tc>
        <w:tc>
          <w:tcPr>
            <w:tcW w:w="941" w:type="dxa"/>
            <w:shd w:val="clear" w:color="auto" w:fill="FFFFFF" w:themeFill="background1"/>
            <w:hideMark/>
          </w:tcPr>
          <w:p w14:paraId="4908EE11" w14:textId="1F4CCD5B" w:rsidR="00FB70CD" w:rsidRPr="00226F9D" w:rsidRDefault="00A41B45"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themeColor="text1"/>
                <w:sz w:val="16"/>
                <w:szCs w:val="16"/>
                <w:lang w:val="sr-Cyrl-RS" w:eastAsia="en-GB"/>
              </w:rPr>
              <w:t>42,4</w:t>
            </w:r>
            <w:r w:rsidR="003D6A33" w:rsidRPr="00226F9D">
              <w:rPr>
                <w:rFonts w:ascii="Times New Roman" w:eastAsia="Times New Roman" w:hAnsi="Times New Roman" w:cs="Times New Roman"/>
                <w:color w:val="000000" w:themeColor="text1"/>
                <w:sz w:val="16"/>
                <w:szCs w:val="16"/>
                <w:lang w:val="sr-Cyrl-RS" w:eastAsia="en-GB"/>
              </w:rPr>
              <w:t>%</w:t>
            </w:r>
          </w:p>
        </w:tc>
      </w:tr>
      <w:tr w:rsidR="003F4ABA" w:rsidRPr="00226F9D" w14:paraId="2987C37A" w14:textId="77777777" w:rsidTr="1539D093">
        <w:trPr>
          <w:trHeight w:val="24"/>
        </w:trPr>
        <w:tc>
          <w:tcPr>
            <w:tcW w:w="5274" w:type="dxa"/>
            <w:gridSpan w:val="3"/>
            <w:vAlign w:val="center"/>
            <w:hideMark/>
          </w:tcPr>
          <w:p w14:paraId="391267A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 запослених у ЈЛС који су обучени за спровођење циклуса стручног усавршавања (кумулативно)</w:t>
            </w:r>
          </w:p>
        </w:tc>
        <w:tc>
          <w:tcPr>
            <w:tcW w:w="1100" w:type="dxa"/>
            <w:shd w:val="clear" w:color="auto" w:fill="FFFFFF" w:themeFill="background1"/>
          </w:tcPr>
          <w:p w14:paraId="12204E0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auto" w:fill="FFFFFF" w:themeFill="background1"/>
          </w:tcPr>
          <w:p w14:paraId="7C5D8DB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СКГО</w:t>
            </w:r>
          </w:p>
        </w:tc>
        <w:tc>
          <w:tcPr>
            <w:tcW w:w="2091" w:type="dxa"/>
            <w:shd w:val="clear" w:color="auto" w:fill="FFFFFF" w:themeFill="background1"/>
          </w:tcPr>
          <w:p w14:paraId="2C12DAB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85</w:t>
            </w:r>
          </w:p>
        </w:tc>
        <w:tc>
          <w:tcPr>
            <w:tcW w:w="1311" w:type="dxa"/>
            <w:shd w:val="clear" w:color="auto" w:fill="FFFFFF" w:themeFill="background1"/>
            <w:hideMark/>
          </w:tcPr>
          <w:p w14:paraId="6A5E20C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auto" w:fill="FFFFFF" w:themeFill="background1"/>
            <w:noWrap/>
            <w:hideMark/>
          </w:tcPr>
          <w:p w14:paraId="381B90B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auto" w:fill="FFFFFF" w:themeFill="background1"/>
            <w:noWrap/>
            <w:hideMark/>
          </w:tcPr>
          <w:p w14:paraId="148C697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51" w:type="dxa"/>
            <w:shd w:val="clear" w:color="auto" w:fill="FFFFFF" w:themeFill="background1"/>
            <w:hideMark/>
          </w:tcPr>
          <w:p w14:paraId="69B6ED0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305</w:t>
            </w:r>
          </w:p>
        </w:tc>
        <w:tc>
          <w:tcPr>
            <w:tcW w:w="866" w:type="dxa"/>
            <w:shd w:val="clear" w:color="auto" w:fill="FFFFFF" w:themeFill="background1"/>
            <w:noWrap/>
            <w:hideMark/>
          </w:tcPr>
          <w:p w14:paraId="29AFBD2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941" w:type="dxa"/>
            <w:shd w:val="clear" w:color="auto" w:fill="FFFFFF" w:themeFill="background1"/>
            <w:noWrap/>
            <w:hideMark/>
          </w:tcPr>
          <w:p w14:paraId="55F8169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405</w:t>
            </w:r>
          </w:p>
        </w:tc>
      </w:tr>
      <w:tr w:rsidR="00741988" w:rsidRPr="00226F9D" w14:paraId="7FC51046" w14:textId="77777777" w:rsidTr="1539D093">
        <w:trPr>
          <w:trHeight w:val="121"/>
        </w:trPr>
        <w:tc>
          <w:tcPr>
            <w:tcW w:w="5274" w:type="dxa"/>
            <w:gridSpan w:val="3"/>
            <w:vMerge w:val="restart"/>
            <w:shd w:val="clear" w:color="auto" w:fill="A9D08E"/>
            <w:noWrap/>
            <w:vAlign w:val="center"/>
            <w:hideMark/>
          </w:tcPr>
          <w:p w14:paraId="5862D54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61" w:type="dxa"/>
            <w:gridSpan w:val="4"/>
            <w:vMerge w:val="restart"/>
            <w:shd w:val="clear" w:color="auto" w:fill="A9D08E"/>
            <w:noWrap/>
            <w:vAlign w:val="center"/>
            <w:hideMark/>
          </w:tcPr>
          <w:p w14:paraId="629C8983" w14:textId="77777777" w:rsidR="00FB70CD" w:rsidRPr="00226F9D" w:rsidRDefault="00D155C4"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28"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59" w:type="dxa"/>
            <w:gridSpan w:val="5"/>
            <w:shd w:val="clear" w:color="auto" w:fill="A8D08D"/>
            <w:hideMark/>
          </w:tcPr>
          <w:p w14:paraId="2A54517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у 000 дин</w:t>
            </w:r>
          </w:p>
        </w:tc>
      </w:tr>
      <w:tr w:rsidR="003F4ABA" w:rsidRPr="00226F9D" w14:paraId="40A36A4E" w14:textId="77777777" w:rsidTr="1539D093">
        <w:trPr>
          <w:trHeight w:val="20"/>
        </w:trPr>
        <w:tc>
          <w:tcPr>
            <w:tcW w:w="5274" w:type="dxa"/>
            <w:gridSpan w:val="3"/>
            <w:vMerge/>
            <w:hideMark/>
          </w:tcPr>
          <w:p w14:paraId="460E3E6C"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p>
        </w:tc>
        <w:tc>
          <w:tcPr>
            <w:tcW w:w="6061" w:type="dxa"/>
            <w:gridSpan w:val="4"/>
            <w:vMerge/>
            <w:hideMark/>
          </w:tcPr>
          <w:p w14:paraId="2B7D8BC7"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p>
        </w:tc>
        <w:tc>
          <w:tcPr>
            <w:tcW w:w="851" w:type="dxa"/>
            <w:shd w:val="clear" w:color="auto" w:fill="A8D08D"/>
            <w:hideMark/>
          </w:tcPr>
          <w:p w14:paraId="0A68234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A8D08D"/>
            <w:hideMark/>
          </w:tcPr>
          <w:p w14:paraId="581DB69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A8D08D"/>
            <w:hideMark/>
          </w:tcPr>
          <w:p w14:paraId="06F3160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auto" w:fill="A8D08D"/>
            <w:hideMark/>
          </w:tcPr>
          <w:p w14:paraId="36A1BDF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auto" w:fill="A8D08D"/>
            <w:hideMark/>
          </w:tcPr>
          <w:p w14:paraId="7601DDB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3F4ABA" w:rsidRPr="00226F9D" w14:paraId="1F2353DE" w14:textId="77777777" w:rsidTr="1539D093">
        <w:trPr>
          <w:trHeight w:val="24"/>
        </w:trPr>
        <w:tc>
          <w:tcPr>
            <w:tcW w:w="5274" w:type="dxa"/>
            <w:gridSpan w:val="3"/>
            <w:shd w:val="clear" w:color="auto" w:fill="FFFFFF" w:themeFill="background1"/>
            <w:hideMark/>
          </w:tcPr>
          <w:p w14:paraId="58320E6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61" w:type="dxa"/>
            <w:gridSpan w:val="4"/>
            <w:shd w:val="clear" w:color="auto" w:fill="FFFFFF" w:themeFill="background1"/>
            <w:hideMark/>
          </w:tcPr>
          <w:p w14:paraId="1360282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6AF0BDE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9.918</w:t>
            </w:r>
          </w:p>
        </w:tc>
        <w:tc>
          <w:tcPr>
            <w:tcW w:w="850" w:type="dxa"/>
            <w:shd w:val="clear" w:color="auto" w:fill="FFFFFF" w:themeFill="background1"/>
            <w:hideMark/>
          </w:tcPr>
          <w:p w14:paraId="30B3069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4.333</w:t>
            </w:r>
          </w:p>
        </w:tc>
        <w:tc>
          <w:tcPr>
            <w:tcW w:w="851" w:type="dxa"/>
            <w:shd w:val="clear" w:color="auto" w:fill="FFFFFF" w:themeFill="background1"/>
            <w:hideMark/>
          </w:tcPr>
          <w:p w14:paraId="5F0F978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1.406</w:t>
            </w:r>
          </w:p>
        </w:tc>
        <w:tc>
          <w:tcPr>
            <w:tcW w:w="866" w:type="dxa"/>
            <w:shd w:val="clear" w:color="auto" w:fill="FFFFFF" w:themeFill="background1"/>
            <w:hideMark/>
          </w:tcPr>
          <w:p w14:paraId="74341DD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c>
          <w:tcPr>
            <w:tcW w:w="941" w:type="dxa"/>
            <w:shd w:val="clear" w:color="auto" w:fill="FFFFFF" w:themeFill="background1"/>
            <w:hideMark/>
          </w:tcPr>
          <w:p w14:paraId="0E6A4D4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500</w:t>
            </w:r>
          </w:p>
        </w:tc>
      </w:tr>
      <w:tr w:rsidR="0036769C" w:rsidRPr="00226F9D" w14:paraId="23628E1E" w14:textId="77777777" w:rsidTr="1539D093">
        <w:trPr>
          <w:trHeight w:val="34"/>
        </w:trPr>
        <w:tc>
          <w:tcPr>
            <w:tcW w:w="2270" w:type="dxa"/>
            <w:shd w:val="clear" w:color="auto" w:fill="FFF2CC"/>
            <w:hideMark/>
          </w:tcPr>
          <w:p w14:paraId="2955328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53" w:type="dxa"/>
            <w:shd w:val="clear" w:color="auto" w:fill="FFF2CC"/>
            <w:hideMark/>
          </w:tcPr>
          <w:p w14:paraId="44805EC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51" w:type="dxa"/>
            <w:shd w:val="clear" w:color="auto" w:fill="FFF2CC"/>
            <w:hideMark/>
          </w:tcPr>
          <w:p w14:paraId="0BC1BEA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Oргани и партнери у спровођењу активности</w:t>
            </w:r>
          </w:p>
        </w:tc>
        <w:tc>
          <w:tcPr>
            <w:tcW w:w="2659" w:type="dxa"/>
            <w:gridSpan w:val="2"/>
            <w:shd w:val="clear" w:color="auto" w:fill="FFF2CC"/>
            <w:hideMark/>
          </w:tcPr>
          <w:p w14:paraId="22BCFBB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091" w:type="dxa"/>
            <w:shd w:val="clear" w:color="auto" w:fill="FFF2CC"/>
            <w:hideMark/>
          </w:tcPr>
          <w:p w14:paraId="47127C6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311" w:type="dxa"/>
            <w:shd w:val="clear" w:color="auto" w:fill="FFF2CC"/>
            <w:hideMark/>
          </w:tcPr>
          <w:p w14:paraId="2B3AF66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59" w:type="dxa"/>
            <w:gridSpan w:val="5"/>
            <w:shd w:val="clear" w:color="auto" w:fill="FFF2CC"/>
            <w:hideMark/>
          </w:tcPr>
          <w:p w14:paraId="100B7A6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по изворима у 000 дин</w:t>
            </w:r>
          </w:p>
        </w:tc>
      </w:tr>
      <w:tr w:rsidR="0036769C" w:rsidRPr="00226F9D" w14:paraId="46F74AAE" w14:textId="77777777" w:rsidTr="1539D093">
        <w:trPr>
          <w:trHeight w:val="24"/>
        </w:trPr>
        <w:tc>
          <w:tcPr>
            <w:tcW w:w="2270" w:type="dxa"/>
            <w:shd w:val="clear" w:color="auto" w:fill="FFF2CC"/>
            <w:hideMark/>
          </w:tcPr>
          <w:p w14:paraId="16F2D53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553" w:type="dxa"/>
            <w:shd w:val="clear" w:color="auto" w:fill="FFF2CC"/>
            <w:hideMark/>
          </w:tcPr>
          <w:p w14:paraId="7CE9666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451" w:type="dxa"/>
            <w:shd w:val="clear" w:color="auto" w:fill="FFF2CC"/>
            <w:hideMark/>
          </w:tcPr>
          <w:p w14:paraId="210B7B8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659" w:type="dxa"/>
            <w:gridSpan w:val="2"/>
            <w:shd w:val="clear" w:color="auto" w:fill="FFF2CC"/>
            <w:hideMark/>
          </w:tcPr>
          <w:p w14:paraId="508FB82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091" w:type="dxa"/>
            <w:shd w:val="clear" w:color="auto" w:fill="FFF2CC"/>
            <w:hideMark/>
          </w:tcPr>
          <w:p w14:paraId="3498612C"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311" w:type="dxa"/>
            <w:shd w:val="clear" w:color="auto" w:fill="FFF2CC"/>
            <w:hideMark/>
          </w:tcPr>
          <w:p w14:paraId="54D4A6E1"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851" w:type="dxa"/>
            <w:shd w:val="clear" w:color="auto" w:fill="FFF2CC"/>
            <w:hideMark/>
          </w:tcPr>
          <w:p w14:paraId="7D12F40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FFF2CC"/>
            <w:hideMark/>
          </w:tcPr>
          <w:p w14:paraId="5B28BF2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FFF2CC"/>
            <w:hideMark/>
          </w:tcPr>
          <w:p w14:paraId="4539484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auto" w:fill="FFF2CC"/>
            <w:hideMark/>
          </w:tcPr>
          <w:p w14:paraId="4197A0B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auto" w:fill="FFF2CC"/>
            <w:hideMark/>
          </w:tcPr>
          <w:p w14:paraId="70FD782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36769C" w:rsidRPr="00226F9D" w14:paraId="60DA83D5" w14:textId="77777777" w:rsidTr="1539D093">
        <w:trPr>
          <w:trHeight w:val="20"/>
        </w:trPr>
        <w:tc>
          <w:tcPr>
            <w:tcW w:w="2270" w:type="dxa"/>
            <w:vMerge w:val="restart"/>
            <w:shd w:val="clear" w:color="auto" w:fill="FFFFFF" w:themeFill="background1"/>
            <w:hideMark/>
          </w:tcPr>
          <w:p w14:paraId="17F8DF3D"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3.2.1. Унапређење капацитета ЈЛС за спровођење процеса стручног усавршавања кроз саветодавну подршку</w:t>
            </w:r>
          </w:p>
        </w:tc>
        <w:tc>
          <w:tcPr>
            <w:tcW w:w="1553" w:type="dxa"/>
            <w:vMerge w:val="restart"/>
            <w:hideMark/>
          </w:tcPr>
          <w:p w14:paraId="4198DB7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МДУЛС </w:t>
            </w:r>
          </w:p>
        </w:tc>
        <w:tc>
          <w:tcPr>
            <w:tcW w:w="1451" w:type="dxa"/>
            <w:vMerge w:val="restart"/>
            <w:hideMark/>
          </w:tcPr>
          <w:p w14:paraId="20280F7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Савет за стручно усавршавање запослених у ЈЛС, СКГО</w:t>
            </w:r>
          </w:p>
        </w:tc>
        <w:tc>
          <w:tcPr>
            <w:tcW w:w="2659" w:type="dxa"/>
            <w:gridSpan w:val="2"/>
            <w:vMerge w:val="restart"/>
            <w:hideMark/>
          </w:tcPr>
          <w:p w14:paraId="3BE61AA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II квартал 2026. - IV квартал 2030.</w:t>
            </w:r>
          </w:p>
        </w:tc>
        <w:tc>
          <w:tcPr>
            <w:tcW w:w="2091" w:type="dxa"/>
            <w:shd w:val="clear" w:color="auto" w:fill="FFFFFF" w:themeFill="background1"/>
            <w:hideMark/>
          </w:tcPr>
          <w:p w14:paraId="05994B0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Буџет РС – редовна издвајања</w:t>
            </w:r>
          </w:p>
        </w:tc>
        <w:tc>
          <w:tcPr>
            <w:tcW w:w="1311" w:type="dxa"/>
            <w:shd w:val="clear" w:color="auto" w:fill="FFFFFF" w:themeFill="background1"/>
            <w:hideMark/>
          </w:tcPr>
          <w:p w14:paraId="64DFA3D4"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shd w:val="clear" w:color="auto" w:fill="FFFFFF" w:themeFill="background1"/>
            <w:hideMark/>
          </w:tcPr>
          <w:p w14:paraId="729CF1E0"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auto" w:fill="FFFFFF" w:themeFill="background1"/>
            <w:hideMark/>
          </w:tcPr>
          <w:p w14:paraId="09F813D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hideMark/>
          </w:tcPr>
          <w:p w14:paraId="0D1ED7E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66" w:type="dxa"/>
            <w:hideMark/>
          </w:tcPr>
          <w:p w14:paraId="734EACB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941" w:type="dxa"/>
            <w:hideMark/>
          </w:tcPr>
          <w:p w14:paraId="2C44A77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r>
      <w:tr w:rsidR="0036769C" w:rsidRPr="00226F9D" w14:paraId="262A9E6E" w14:textId="77777777" w:rsidTr="1539D093">
        <w:trPr>
          <w:trHeight w:val="20"/>
        </w:trPr>
        <w:tc>
          <w:tcPr>
            <w:tcW w:w="2270" w:type="dxa"/>
            <w:vMerge/>
            <w:hideMark/>
          </w:tcPr>
          <w:p w14:paraId="3A007445"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53" w:type="dxa"/>
            <w:vMerge/>
            <w:hideMark/>
          </w:tcPr>
          <w:p w14:paraId="3E795881"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51" w:type="dxa"/>
            <w:vMerge/>
            <w:hideMark/>
          </w:tcPr>
          <w:p w14:paraId="504513BF"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659" w:type="dxa"/>
            <w:gridSpan w:val="2"/>
            <w:vMerge/>
            <w:hideMark/>
          </w:tcPr>
          <w:p w14:paraId="051359C9"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2091" w:type="dxa"/>
            <w:shd w:val="clear" w:color="auto" w:fill="FFFFFF" w:themeFill="background1"/>
            <w:hideMark/>
          </w:tcPr>
          <w:p w14:paraId="52682DDD"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 - редовна издвајања</w:t>
            </w:r>
          </w:p>
        </w:tc>
        <w:tc>
          <w:tcPr>
            <w:tcW w:w="1311" w:type="dxa"/>
            <w:shd w:val="clear" w:color="auto" w:fill="FFFFFF" w:themeFill="background1"/>
            <w:hideMark/>
          </w:tcPr>
          <w:p w14:paraId="01B459D2"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shd w:val="clear" w:color="auto" w:fill="FFFFFF" w:themeFill="background1"/>
            <w:hideMark/>
          </w:tcPr>
          <w:p w14:paraId="7EE67B4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auto" w:fill="FFFFFF" w:themeFill="background1"/>
            <w:hideMark/>
          </w:tcPr>
          <w:p w14:paraId="6B14DA5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hideMark/>
          </w:tcPr>
          <w:p w14:paraId="1A083FC0"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66" w:type="dxa"/>
            <w:hideMark/>
          </w:tcPr>
          <w:p w14:paraId="498278F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941" w:type="dxa"/>
            <w:hideMark/>
          </w:tcPr>
          <w:p w14:paraId="2D68BD1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r>
      <w:tr w:rsidR="0036769C" w:rsidRPr="00226F9D" w14:paraId="3D1FBA31" w14:textId="77777777" w:rsidTr="1539D093">
        <w:trPr>
          <w:trHeight w:val="24"/>
        </w:trPr>
        <w:tc>
          <w:tcPr>
            <w:tcW w:w="2270" w:type="dxa"/>
            <w:vMerge w:val="restart"/>
            <w:shd w:val="clear" w:color="auto" w:fill="FFFFFF" w:themeFill="background1"/>
            <w:hideMark/>
          </w:tcPr>
          <w:p w14:paraId="4C0CA698"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3.2.2. Спровођење програма обука на тему Вредновање спроведених програма стручног усавршавања у ЈЛС - извештавање посредством МДУЛС</w:t>
            </w:r>
          </w:p>
        </w:tc>
        <w:tc>
          <w:tcPr>
            <w:tcW w:w="1553" w:type="dxa"/>
            <w:vMerge w:val="restart"/>
            <w:shd w:val="clear" w:color="auto" w:fill="FFFFFF" w:themeFill="background1"/>
            <w:hideMark/>
          </w:tcPr>
          <w:p w14:paraId="1C5FFDB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МДУЛС</w:t>
            </w:r>
          </w:p>
        </w:tc>
        <w:tc>
          <w:tcPr>
            <w:tcW w:w="1451" w:type="dxa"/>
            <w:vMerge w:val="restart"/>
            <w:hideMark/>
          </w:tcPr>
          <w:p w14:paraId="29964AC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НАЈУ, Савет за стручно усавршавање запослених у ЈЛС, СКГО</w:t>
            </w:r>
          </w:p>
        </w:tc>
        <w:tc>
          <w:tcPr>
            <w:tcW w:w="2659" w:type="dxa"/>
            <w:gridSpan w:val="2"/>
            <w:vMerge w:val="restart"/>
            <w:hideMark/>
          </w:tcPr>
          <w:p w14:paraId="05BF653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 IV квартал 2030.</w:t>
            </w:r>
          </w:p>
        </w:tc>
        <w:tc>
          <w:tcPr>
            <w:tcW w:w="2091" w:type="dxa"/>
            <w:hideMark/>
          </w:tcPr>
          <w:p w14:paraId="1A9B06A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СКГО – ЕУ ХРМ 3</w:t>
            </w:r>
          </w:p>
        </w:tc>
        <w:tc>
          <w:tcPr>
            <w:tcW w:w="1311" w:type="dxa"/>
            <w:hideMark/>
          </w:tcPr>
          <w:p w14:paraId="485A6744"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4F38838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1,252</w:t>
            </w:r>
          </w:p>
        </w:tc>
        <w:tc>
          <w:tcPr>
            <w:tcW w:w="850" w:type="dxa"/>
            <w:shd w:val="clear" w:color="auto" w:fill="FFFFFF" w:themeFill="background1"/>
            <w:hideMark/>
          </w:tcPr>
          <w:p w14:paraId="461BAEF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2F14CF9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4C6BB53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5B14842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6769C" w:rsidRPr="00226F9D" w14:paraId="2C106A23" w14:textId="77777777" w:rsidTr="1539D093">
        <w:trPr>
          <w:trHeight w:val="1003"/>
        </w:trPr>
        <w:tc>
          <w:tcPr>
            <w:tcW w:w="2270" w:type="dxa"/>
            <w:vMerge/>
            <w:hideMark/>
          </w:tcPr>
          <w:p w14:paraId="0536CFB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53" w:type="dxa"/>
            <w:vMerge/>
            <w:hideMark/>
          </w:tcPr>
          <w:p w14:paraId="22CB076E"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451" w:type="dxa"/>
            <w:vMerge/>
            <w:hideMark/>
          </w:tcPr>
          <w:p w14:paraId="61E8D509"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59" w:type="dxa"/>
            <w:gridSpan w:val="2"/>
            <w:vMerge/>
            <w:hideMark/>
          </w:tcPr>
          <w:p w14:paraId="3C419E73"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091" w:type="dxa"/>
            <w:shd w:val="clear" w:color="auto" w:fill="FFFFFF" w:themeFill="background1"/>
            <w:hideMark/>
          </w:tcPr>
          <w:p w14:paraId="3C6875F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311" w:type="dxa"/>
            <w:shd w:val="clear" w:color="auto" w:fill="FFFFFF" w:themeFill="background1"/>
            <w:hideMark/>
          </w:tcPr>
          <w:p w14:paraId="0E8397C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69623C2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78A9967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1CFEB40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724CD44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08792F1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500*</w:t>
            </w:r>
          </w:p>
        </w:tc>
      </w:tr>
      <w:tr w:rsidR="0036769C" w:rsidRPr="00226F9D" w14:paraId="6E8D88A6" w14:textId="77777777" w:rsidTr="1539D093">
        <w:trPr>
          <w:trHeight w:val="406"/>
        </w:trPr>
        <w:tc>
          <w:tcPr>
            <w:tcW w:w="2270" w:type="dxa"/>
            <w:shd w:val="clear" w:color="auto" w:fill="FFFFFF" w:themeFill="background1"/>
            <w:hideMark/>
          </w:tcPr>
          <w:p w14:paraId="0CC47FF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3.2.3. Спровођење пакета стручне подршке за унапређење функције стручног усавршавања у 7</w:t>
            </w:r>
            <w:r w:rsidRPr="00226F9D">
              <w:rPr>
                <w:rFonts w:ascii="Times New Roman" w:eastAsia="Times New Roman" w:hAnsi="Times New Roman" w:cs="Times New Roman"/>
                <w:color w:val="000000"/>
                <w:kern w:val="0"/>
                <w:sz w:val="16"/>
                <w:szCs w:val="16"/>
                <w:lang w:val="sr-Cyrl-RS" w:eastAsia="en-GB"/>
                <w14:ligatures w14:val="none"/>
              </w:rPr>
              <w:t>7</w:t>
            </w:r>
            <w:r w:rsidRPr="00226F9D">
              <w:rPr>
                <w:rFonts w:ascii="Times New Roman" w:eastAsia="Times New Roman" w:hAnsi="Times New Roman" w:cs="Times New Roman"/>
                <w:color w:val="000000"/>
                <w:kern w:val="0"/>
                <w:sz w:val="16"/>
                <w:szCs w:val="16"/>
                <w:lang w:eastAsia="en-GB"/>
                <w14:ligatures w14:val="none"/>
              </w:rPr>
              <w:t xml:space="preserve"> ЛС</w:t>
            </w:r>
          </w:p>
        </w:tc>
        <w:tc>
          <w:tcPr>
            <w:tcW w:w="1553" w:type="dxa"/>
            <w:shd w:val="clear" w:color="auto" w:fill="FFFFFF" w:themeFill="background1"/>
            <w:hideMark/>
          </w:tcPr>
          <w:p w14:paraId="696D992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51" w:type="dxa"/>
            <w:shd w:val="clear" w:color="auto" w:fill="FFFFFF" w:themeFill="background1"/>
            <w:hideMark/>
          </w:tcPr>
          <w:p w14:paraId="2C99E52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59" w:type="dxa"/>
            <w:gridSpan w:val="2"/>
            <w:hideMark/>
          </w:tcPr>
          <w:p w14:paraId="26F9F8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 II квартал 2027.</w:t>
            </w:r>
          </w:p>
        </w:tc>
        <w:tc>
          <w:tcPr>
            <w:tcW w:w="2091" w:type="dxa"/>
            <w:hideMark/>
          </w:tcPr>
          <w:p w14:paraId="5EBAF6A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СКГО – ЕУ ХРМ 3</w:t>
            </w:r>
          </w:p>
        </w:tc>
        <w:tc>
          <w:tcPr>
            <w:tcW w:w="1311" w:type="dxa"/>
            <w:hideMark/>
          </w:tcPr>
          <w:p w14:paraId="45948AA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6E99094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8,666</w:t>
            </w:r>
          </w:p>
        </w:tc>
        <w:tc>
          <w:tcPr>
            <w:tcW w:w="850" w:type="dxa"/>
            <w:shd w:val="clear" w:color="auto" w:fill="FFFFFF" w:themeFill="background1"/>
            <w:hideMark/>
          </w:tcPr>
          <w:p w14:paraId="0005E15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4,333</w:t>
            </w:r>
          </w:p>
        </w:tc>
        <w:tc>
          <w:tcPr>
            <w:tcW w:w="851" w:type="dxa"/>
            <w:hideMark/>
          </w:tcPr>
          <w:p w14:paraId="7CA31D9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18B26F1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105D839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6769C" w:rsidRPr="00226F9D" w14:paraId="4F9228B6" w14:textId="77777777" w:rsidTr="1539D093">
        <w:trPr>
          <w:trHeight w:val="223"/>
        </w:trPr>
        <w:tc>
          <w:tcPr>
            <w:tcW w:w="2270" w:type="dxa"/>
            <w:hideMark/>
          </w:tcPr>
          <w:p w14:paraId="46C037DF"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3.2.4. Спровођење e-learning програма за стручно усавршавање у ЈЛС</w:t>
            </w:r>
          </w:p>
        </w:tc>
        <w:tc>
          <w:tcPr>
            <w:tcW w:w="1553" w:type="dxa"/>
            <w:shd w:val="clear" w:color="auto" w:fill="FFFFFF" w:themeFill="background1"/>
            <w:hideMark/>
          </w:tcPr>
          <w:p w14:paraId="572C51A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НАЈУ</w:t>
            </w:r>
          </w:p>
        </w:tc>
        <w:tc>
          <w:tcPr>
            <w:tcW w:w="1451" w:type="dxa"/>
            <w:shd w:val="clear" w:color="auto" w:fill="FFFFFF" w:themeFill="background1"/>
            <w:hideMark/>
          </w:tcPr>
          <w:p w14:paraId="5A46811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59" w:type="dxa"/>
            <w:gridSpan w:val="2"/>
            <w:hideMark/>
          </w:tcPr>
          <w:p w14:paraId="5DD3130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2028. - II квартал 2028.</w:t>
            </w:r>
          </w:p>
        </w:tc>
        <w:tc>
          <w:tcPr>
            <w:tcW w:w="2091" w:type="dxa"/>
            <w:hideMark/>
          </w:tcPr>
          <w:p w14:paraId="058D5B1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СКГО – ЕУ ХРМ 3</w:t>
            </w:r>
          </w:p>
        </w:tc>
        <w:tc>
          <w:tcPr>
            <w:tcW w:w="1311" w:type="dxa"/>
            <w:hideMark/>
          </w:tcPr>
          <w:p w14:paraId="1AED5F7F"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1F755D8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7493094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47D873F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1,406</w:t>
            </w:r>
          </w:p>
        </w:tc>
        <w:tc>
          <w:tcPr>
            <w:tcW w:w="866" w:type="dxa"/>
            <w:hideMark/>
          </w:tcPr>
          <w:p w14:paraId="55E6806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06D90B4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bl>
    <w:p w14:paraId="3530B55F" w14:textId="77777777" w:rsidR="00FB70CD" w:rsidRPr="00226F9D" w:rsidRDefault="00FB70CD" w:rsidP="005B0999">
      <w:pPr>
        <w:spacing w:after="0" w:line="240" w:lineRule="auto"/>
        <w:rPr>
          <w:rFonts w:ascii="Times New Roman" w:hAnsi="Times New Roman" w:cs="Times New Roman"/>
        </w:rPr>
      </w:pPr>
    </w:p>
    <w:p w14:paraId="28AABC87" w14:textId="52122E40" w:rsidR="00FB70CD" w:rsidRDefault="00FB70CD" w:rsidP="005B0999">
      <w:pPr>
        <w:spacing w:after="0" w:line="240" w:lineRule="auto"/>
        <w:rPr>
          <w:rFonts w:ascii="Times New Roman" w:hAnsi="Times New Roman" w:cs="Times New Roman"/>
        </w:rPr>
      </w:pPr>
    </w:p>
    <w:p w14:paraId="1E8533FB" w14:textId="77777777" w:rsidR="00226F9D" w:rsidRPr="00226F9D" w:rsidRDefault="00226F9D" w:rsidP="005B0999">
      <w:pPr>
        <w:spacing w:after="0" w:line="240" w:lineRule="auto"/>
        <w:rPr>
          <w:rFonts w:ascii="Times New Roman" w:hAnsi="Times New Roman" w:cs="Times New Roman"/>
        </w:rPr>
      </w:pPr>
    </w:p>
    <w:p w14:paraId="390F57AB" w14:textId="77777777" w:rsidR="00FB70CD" w:rsidRPr="00226F9D" w:rsidRDefault="00FB70CD" w:rsidP="005B0999">
      <w:pPr>
        <w:spacing w:after="0" w:line="240" w:lineRule="auto"/>
        <w:rPr>
          <w:rFonts w:ascii="Times New Roman" w:hAnsi="Times New Roman" w:cs="Times New Roman"/>
        </w:rPr>
      </w:pP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2270"/>
        <w:gridCol w:w="1553"/>
        <w:gridCol w:w="1417"/>
        <w:gridCol w:w="1134"/>
        <w:gridCol w:w="1559"/>
        <w:gridCol w:w="2127"/>
        <w:gridCol w:w="1275"/>
        <w:gridCol w:w="851"/>
        <w:gridCol w:w="850"/>
        <w:gridCol w:w="851"/>
        <w:gridCol w:w="866"/>
        <w:gridCol w:w="941"/>
      </w:tblGrid>
      <w:tr w:rsidR="00FB70CD" w:rsidRPr="00226F9D" w14:paraId="343797C5" w14:textId="77777777">
        <w:trPr>
          <w:trHeight w:val="24"/>
        </w:trPr>
        <w:tc>
          <w:tcPr>
            <w:tcW w:w="15694" w:type="dxa"/>
            <w:gridSpan w:val="12"/>
            <w:shd w:val="clear" w:color="000000" w:fill="F7CAAC"/>
            <w:noWrap/>
            <w:hideMark/>
          </w:tcPr>
          <w:p w14:paraId="1CA2FFAF"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lastRenderedPageBreak/>
              <w:t>Мера 3.3: Унапређење правног оквира за уређивање система плата запослених у ЈЛС</w:t>
            </w:r>
          </w:p>
        </w:tc>
      </w:tr>
      <w:tr w:rsidR="00FB70CD" w:rsidRPr="00226F9D" w14:paraId="73D5DAD1" w14:textId="77777777">
        <w:trPr>
          <w:trHeight w:val="24"/>
        </w:trPr>
        <w:tc>
          <w:tcPr>
            <w:tcW w:w="15694" w:type="dxa"/>
            <w:gridSpan w:val="12"/>
            <w:shd w:val="clear" w:color="000000" w:fill="F7CAAC"/>
            <w:hideMark/>
          </w:tcPr>
          <w:p w14:paraId="53C62713"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Институција одговорна за праћење и контролу реализације: МДУЛС</w:t>
            </w:r>
          </w:p>
        </w:tc>
      </w:tr>
      <w:tr w:rsidR="00FB70CD" w:rsidRPr="00226F9D" w14:paraId="5993A859" w14:textId="77777777">
        <w:trPr>
          <w:trHeight w:val="24"/>
        </w:trPr>
        <w:tc>
          <w:tcPr>
            <w:tcW w:w="5240" w:type="dxa"/>
            <w:gridSpan w:val="3"/>
            <w:shd w:val="clear" w:color="000000" w:fill="F7CAAC"/>
            <w:hideMark/>
          </w:tcPr>
          <w:p w14:paraId="6E3878BD"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Период спровођења: </w:t>
            </w:r>
            <w:r w:rsidRPr="00226F9D">
              <w:rPr>
                <w:rFonts w:ascii="Times New Roman" w:eastAsia="Times New Roman" w:hAnsi="Times New Roman" w:cs="Times New Roman"/>
                <w:color w:val="000000"/>
                <w:kern w:val="0"/>
                <w:sz w:val="16"/>
                <w:szCs w:val="16"/>
                <w:lang w:eastAsia="en-GB"/>
                <w14:ligatures w14:val="none"/>
              </w:rPr>
              <w:t>2026</w:t>
            </w:r>
            <w:r w:rsidRPr="00226F9D">
              <w:rPr>
                <w:rFonts w:ascii="Times New Roman" w:eastAsia="Times New Roman" w:hAnsi="Times New Roman" w:cs="Times New Roman"/>
                <w:color w:val="222222"/>
                <w:kern w:val="0"/>
                <w:sz w:val="16"/>
                <w:szCs w:val="16"/>
                <w:lang w:eastAsia="en-GB"/>
                <w14:ligatures w14:val="none"/>
              </w:rPr>
              <w:t>-2030.</w:t>
            </w:r>
          </w:p>
        </w:tc>
        <w:tc>
          <w:tcPr>
            <w:tcW w:w="10454" w:type="dxa"/>
            <w:gridSpan w:val="9"/>
            <w:shd w:val="clear" w:color="000000" w:fill="F7CAAC"/>
            <w:hideMark/>
          </w:tcPr>
          <w:p w14:paraId="077CCB65"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Тип мере: Регулаторна</w:t>
            </w:r>
          </w:p>
        </w:tc>
      </w:tr>
      <w:tr w:rsidR="00FB70CD" w:rsidRPr="00226F9D" w14:paraId="08544EA6" w14:textId="77777777">
        <w:trPr>
          <w:trHeight w:val="24"/>
        </w:trPr>
        <w:tc>
          <w:tcPr>
            <w:tcW w:w="15694" w:type="dxa"/>
            <w:gridSpan w:val="12"/>
            <w:shd w:val="clear" w:color="000000" w:fill="F7CAAC"/>
            <w:hideMark/>
          </w:tcPr>
          <w:p w14:paraId="10AE4330"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Прописи које је потребно изменити/усвојити за спровођење мере: Закон који уређује плате и друга примања запослених у ЈЛС</w:t>
            </w:r>
          </w:p>
        </w:tc>
      </w:tr>
      <w:tr w:rsidR="003F4ABA" w:rsidRPr="00226F9D" w14:paraId="456F237D" w14:textId="77777777">
        <w:trPr>
          <w:trHeight w:val="340"/>
        </w:trPr>
        <w:tc>
          <w:tcPr>
            <w:tcW w:w="5240" w:type="dxa"/>
            <w:gridSpan w:val="3"/>
            <w:shd w:val="clear" w:color="000000" w:fill="B4C6E7"/>
            <w:vAlign w:val="center"/>
            <w:hideMark/>
          </w:tcPr>
          <w:p w14:paraId="2559F15A"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мере (показатељ резултата)</w:t>
            </w:r>
          </w:p>
        </w:tc>
        <w:tc>
          <w:tcPr>
            <w:tcW w:w="1134" w:type="dxa"/>
            <w:shd w:val="clear" w:color="000000" w:fill="B4C6E7"/>
            <w:vAlign w:val="center"/>
          </w:tcPr>
          <w:p w14:paraId="068CC24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000000" w:fill="B4C6E7"/>
            <w:vAlign w:val="center"/>
          </w:tcPr>
          <w:p w14:paraId="610589D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B4C6E7"/>
            <w:vAlign w:val="center"/>
          </w:tcPr>
          <w:p w14:paraId="2C86B0F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000000" w:fill="B4C6E7"/>
            <w:vAlign w:val="center"/>
            <w:hideMark/>
          </w:tcPr>
          <w:p w14:paraId="46409B3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000000" w:fill="B4C6E7"/>
            <w:vAlign w:val="center"/>
            <w:hideMark/>
          </w:tcPr>
          <w:p w14:paraId="3790A8B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ЦВ у </w:t>
            </w:r>
            <w:r w:rsidRPr="00226F9D">
              <w:rPr>
                <w:rFonts w:ascii="Times New Roman" w:eastAsia="Times New Roman" w:hAnsi="Times New Roman" w:cs="Times New Roman"/>
                <w:b/>
                <w:bCs/>
                <w:color w:val="000000"/>
                <w:kern w:val="0"/>
                <w:sz w:val="16"/>
                <w:szCs w:val="16"/>
                <w:lang w:eastAsia="en-GB"/>
                <w14:ligatures w14:val="none"/>
              </w:rPr>
              <w:br/>
              <w:t>2026. години</w:t>
            </w:r>
          </w:p>
        </w:tc>
        <w:tc>
          <w:tcPr>
            <w:tcW w:w="850" w:type="dxa"/>
            <w:shd w:val="clear" w:color="000000" w:fill="B4C6E7"/>
            <w:vAlign w:val="center"/>
            <w:hideMark/>
          </w:tcPr>
          <w:p w14:paraId="43A52C6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B4C6E7"/>
            <w:vAlign w:val="center"/>
            <w:hideMark/>
          </w:tcPr>
          <w:p w14:paraId="32A44C0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6" w:type="dxa"/>
            <w:shd w:val="clear" w:color="000000" w:fill="B4C6E7"/>
            <w:vAlign w:val="center"/>
            <w:hideMark/>
          </w:tcPr>
          <w:p w14:paraId="640634C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41" w:type="dxa"/>
            <w:shd w:val="clear" w:color="000000" w:fill="B4C6E7"/>
            <w:vAlign w:val="center"/>
            <w:hideMark/>
          </w:tcPr>
          <w:p w14:paraId="5D23E75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3F4ABA" w:rsidRPr="00226F9D" w14:paraId="525E0221" w14:textId="77777777">
        <w:trPr>
          <w:trHeight w:val="151"/>
        </w:trPr>
        <w:tc>
          <w:tcPr>
            <w:tcW w:w="5240" w:type="dxa"/>
            <w:gridSpan w:val="3"/>
            <w:vAlign w:val="center"/>
            <w:hideMark/>
          </w:tcPr>
          <w:p w14:paraId="53B14A4D"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 запослених у ЈЛС који су обучени за примену новог правног оквира за плате и друга примања запослених у ЈЛС (кумулативно)</w:t>
            </w:r>
          </w:p>
        </w:tc>
        <w:tc>
          <w:tcPr>
            <w:tcW w:w="1134" w:type="dxa"/>
            <w:shd w:val="clear" w:color="000000" w:fill="FFFFFF"/>
          </w:tcPr>
          <w:p w14:paraId="537C484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000000" w:fill="FFFFFF"/>
          </w:tcPr>
          <w:p w14:paraId="61EDE9F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СКГО</w:t>
            </w:r>
          </w:p>
        </w:tc>
        <w:tc>
          <w:tcPr>
            <w:tcW w:w="2127" w:type="dxa"/>
            <w:shd w:val="clear" w:color="000000" w:fill="FFFFFF"/>
          </w:tcPr>
          <w:p w14:paraId="7F35939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shd w:val="clear" w:color="000000" w:fill="FFFFFF"/>
            <w:hideMark/>
          </w:tcPr>
          <w:p w14:paraId="456B6F5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000000" w:fill="FFFFFF"/>
            <w:noWrap/>
            <w:hideMark/>
          </w:tcPr>
          <w:p w14:paraId="459BC0C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000000" w:fill="FFFFFF"/>
            <w:hideMark/>
          </w:tcPr>
          <w:p w14:paraId="033ED65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150</w:t>
            </w:r>
          </w:p>
        </w:tc>
        <w:tc>
          <w:tcPr>
            <w:tcW w:w="851" w:type="dxa"/>
            <w:shd w:val="clear" w:color="000000" w:fill="FFFFFF"/>
            <w:noWrap/>
            <w:hideMark/>
          </w:tcPr>
          <w:p w14:paraId="1CB2088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250</w:t>
            </w:r>
          </w:p>
        </w:tc>
        <w:tc>
          <w:tcPr>
            <w:tcW w:w="866" w:type="dxa"/>
            <w:shd w:val="clear" w:color="000000" w:fill="FFFFFF"/>
            <w:noWrap/>
            <w:hideMark/>
          </w:tcPr>
          <w:p w14:paraId="74FEB22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250</w:t>
            </w:r>
          </w:p>
        </w:tc>
        <w:tc>
          <w:tcPr>
            <w:tcW w:w="941" w:type="dxa"/>
            <w:shd w:val="clear" w:color="000000" w:fill="FFFFFF"/>
            <w:hideMark/>
          </w:tcPr>
          <w:p w14:paraId="6A04B9E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250</w:t>
            </w:r>
          </w:p>
        </w:tc>
      </w:tr>
      <w:tr w:rsidR="00741988" w:rsidRPr="00226F9D" w14:paraId="473B2C18" w14:textId="77777777">
        <w:trPr>
          <w:trHeight w:val="20"/>
        </w:trPr>
        <w:tc>
          <w:tcPr>
            <w:tcW w:w="5240" w:type="dxa"/>
            <w:gridSpan w:val="3"/>
            <w:vMerge w:val="restart"/>
            <w:shd w:val="clear" w:color="000000" w:fill="A9D08E"/>
            <w:noWrap/>
            <w:vAlign w:val="center"/>
            <w:hideMark/>
          </w:tcPr>
          <w:p w14:paraId="7B8492F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5" w:type="dxa"/>
            <w:gridSpan w:val="4"/>
            <w:vMerge w:val="restart"/>
            <w:shd w:val="clear" w:color="000000" w:fill="A9D08E"/>
            <w:noWrap/>
            <w:vAlign w:val="center"/>
            <w:hideMark/>
          </w:tcPr>
          <w:p w14:paraId="2805F10F" w14:textId="77777777" w:rsidR="00FB70CD" w:rsidRPr="00226F9D" w:rsidRDefault="00D155C4"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29"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59" w:type="dxa"/>
            <w:gridSpan w:val="5"/>
            <w:shd w:val="clear" w:color="000000" w:fill="A8D08D"/>
            <w:vAlign w:val="center"/>
            <w:hideMark/>
          </w:tcPr>
          <w:p w14:paraId="06FD874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у 000 дин</w:t>
            </w:r>
          </w:p>
        </w:tc>
      </w:tr>
      <w:tr w:rsidR="003F4ABA" w:rsidRPr="00226F9D" w14:paraId="0BEDC9FE" w14:textId="77777777">
        <w:trPr>
          <w:trHeight w:val="20"/>
        </w:trPr>
        <w:tc>
          <w:tcPr>
            <w:tcW w:w="5240" w:type="dxa"/>
            <w:gridSpan w:val="3"/>
            <w:vMerge/>
            <w:vAlign w:val="center"/>
            <w:hideMark/>
          </w:tcPr>
          <w:p w14:paraId="4417803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p>
        </w:tc>
        <w:tc>
          <w:tcPr>
            <w:tcW w:w="6095" w:type="dxa"/>
            <w:gridSpan w:val="4"/>
            <w:vMerge/>
            <w:vAlign w:val="center"/>
            <w:hideMark/>
          </w:tcPr>
          <w:p w14:paraId="549F971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p>
        </w:tc>
        <w:tc>
          <w:tcPr>
            <w:tcW w:w="851" w:type="dxa"/>
            <w:shd w:val="clear" w:color="000000" w:fill="A8D08D"/>
            <w:vAlign w:val="center"/>
            <w:hideMark/>
          </w:tcPr>
          <w:p w14:paraId="09748C5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A8D08D"/>
            <w:vAlign w:val="center"/>
            <w:hideMark/>
          </w:tcPr>
          <w:p w14:paraId="57390C3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A8D08D"/>
            <w:vAlign w:val="center"/>
            <w:hideMark/>
          </w:tcPr>
          <w:p w14:paraId="4297A58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000000" w:fill="A8D08D"/>
            <w:vAlign w:val="center"/>
            <w:hideMark/>
          </w:tcPr>
          <w:p w14:paraId="4EB6015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000000" w:fill="A8D08D"/>
            <w:vAlign w:val="center"/>
            <w:hideMark/>
          </w:tcPr>
          <w:p w14:paraId="375D28A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3F4ABA" w:rsidRPr="00226F9D" w14:paraId="21D50529" w14:textId="77777777">
        <w:trPr>
          <w:trHeight w:val="24"/>
        </w:trPr>
        <w:tc>
          <w:tcPr>
            <w:tcW w:w="5240" w:type="dxa"/>
            <w:gridSpan w:val="3"/>
            <w:shd w:val="clear" w:color="000000" w:fill="FFFFFF"/>
            <w:hideMark/>
          </w:tcPr>
          <w:p w14:paraId="3C6ACCA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000000" w:fill="FFFFFF"/>
            <w:hideMark/>
          </w:tcPr>
          <w:p w14:paraId="6839B8B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096F6DF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600</w:t>
            </w:r>
          </w:p>
        </w:tc>
        <w:tc>
          <w:tcPr>
            <w:tcW w:w="850" w:type="dxa"/>
            <w:shd w:val="clear" w:color="000000" w:fill="FFFFFF"/>
            <w:hideMark/>
          </w:tcPr>
          <w:p w14:paraId="12D971E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2.344</w:t>
            </w:r>
          </w:p>
        </w:tc>
        <w:tc>
          <w:tcPr>
            <w:tcW w:w="851" w:type="dxa"/>
            <w:shd w:val="clear" w:color="000000" w:fill="FFFFFF"/>
            <w:hideMark/>
          </w:tcPr>
          <w:p w14:paraId="3AF332A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500</w:t>
            </w:r>
          </w:p>
        </w:tc>
        <w:tc>
          <w:tcPr>
            <w:tcW w:w="866" w:type="dxa"/>
            <w:shd w:val="clear" w:color="000000" w:fill="FFFFFF"/>
            <w:hideMark/>
          </w:tcPr>
          <w:p w14:paraId="1EEA65E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c>
          <w:tcPr>
            <w:tcW w:w="941" w:type="dxa"/>
            <w:shd w:val="clear" w:color="000000" w:fill="FFFFFF"/>
            <w:hideMark/>
          </w:tcPr>
          <w:p w14:paraId="2153AB0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r>
      <w:tr w:rsidR="0036769C" w:rsidRPr="00226F9D" w14:paraId="53CF8F8E" w14:textId="77777777">
        <w:trPr>
          <w:trHeight w:val="24"/>
        </w:trPr>
        <w:tc>
          <w:tcPr>
            <w:tcW w:w="2270" w:type="dxa"/>
            <w:shd w:val="clear" w:color="000000" w:fill="FFF2CC"/>
            <w:vAlign w:val="center"/>
            <w:hideMark/>
          </w:tcPr>
          <w:p w14:paraId="0433B2AA"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53" w:type="dxa"/>
            <w:shd w:val="clear" w:color="000000" w:fill="FFF2CC"/>
            <w:vAlign w:val="center"/>
            <w:hideMark/>
          </w:tcPr>
          <w:p w14:paraId="4E59E32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000000" w:fill="FFF2CC"/>
            <w:vAlign w:val="center"/>
            <w:hideMark/>
          </w:tcPr>
          <w:p w14:paraId="696BF5E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Oргани и партнери у спровођењу активности</w:t>
            </w:r>
          </w:p>
        </w:tc>
        <w:tc>
          <w:tcPr>
            <w:tcW w:w="2693" w:type="dxa"/>
            <w:gridSpan w:val="2"/>
            <w:shd w:val="clear" w:color="000000" w:fill="FFF2CC"/>
            <w:vAlign w:val="center"/>
            <w:hideMark/>
          </w:tcPr>
          <w:p w14:paraId="6DC59B9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000000" w:fill="FFF2CC"/>
            <w:vAlign w:val="center"/>
            <w:hideMark/>
          </w:tcPr>
          <w:p w14:paraId="50EF200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000000" w:fill="FFF2CC"/>
            <w:vAlign w:val="center"/>
            <w:hideMark/>
          </w:tcPr>
          <w:p w14:paraId="00ABEE6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59" w:type="dxa"/>
            <w:gridSpan w:val="5"/>
            <w:shd w:val="clear" w:color="000000" w:fill="FFF2CC"/>
            <w:vAlign w:val="center"/>
            <w:hideMark/>
          </w:tcPr>
          <w:p w14:paraId="5EE6B58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по изворима у 000 дин</w:t>
            </w:r>
          </w:p>
        </w:tc>
      </w:tr>
      <w:tr w:rsidR="0036769C" w:rsidRPr="00226F9D" w14:paraId="5F85AF45" w14:textId="77777777">
        <w:trPr>
          <w:trHeight w:val="24"/>
        </w:trPr>
        <w:tc>
          <w:tcPr>
            <w:tcW w:w="2270" w:type="dxa"/>
            <w:shd w:val="clear" w:color="000000" w:fill="FFF2CC"/>
            <w:hideMark/>
          </w:tcPr>
          <w:p w14:paraId="5CC31BC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553" w:type="dxa"/>
            <w:shd w:val="clear" w:color="000000" w:fill="FFF2CC"/>
            <w:hideMark/>
          </w:tcPr>
          <w:p w14:paraId="440D1E9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417" w:type="dxa"/>
            <w:shd w:val="clear" w:color="000000" w:fill="FFF2CC"/>
            <w:hideMark/>
          </w:tcPr>
          <w:p w14:paraId="465B98B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693" w:type="dxa"/>
            <w:gridSpan w:val="2"/>
            <w:shd w:val="clear" w:color="000000" w:fill="FFF2CC"/>
            <w:hideMark/>
          </w:tcPr>
          <w:p w14:paraId="42FF7D9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127" w:type="dxa"/>
            <w:shd w:val="clear" w:color="000000" w:fill="FFF2CC"/>
            <w:hideMark/>
          </w:tcPr>
          <w:p w14:paraId="5E8248D9"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275" w:type="dxa"/>
            <w:shd w:val="clear" w:color="000000" w:fill="FFF2CC"/>
            <w:hideMark/>
          </w:tcPr>
          <w:p w14:paraId="473186BF"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851" w:type="dxa"/>
            <w:shd w:val="clear" w:color="000000" w:fill="FFF2CC"/>
            <w:hideMark/>
          </w:tcPr>
          <w:p w14:paraId="520B260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FFF2CC"/>
            <w:hideMark/>
          </w:tcPr>
          <w:p w14:paraId="10BEAFD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FFF2CC"/>
            <w:hideMark/>
          </w:tcPr>
          <w:p w14:paraId="7E6B8D2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000000" w:fill="FFF2CC"/>
            <w:hideMark/>
          </w:tcPr>
          <w:p w14:paraId="7F134C7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000000" w:fill="FFF2CC"/>
            <w:hideMark/>
          </w:tcPr>
          <w:p w14:paraId="226A352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36769C" w:rsidRPr="00226F9D" w14:paraId="184095BF" w14:textId="77777777">
        <w:trPr>
          <w:trHeight w:val="24"/>
        </w:trPr>
        <w:tc>
          <w:tcPr>
            <w:tcW w:w="2270" w:type="dxa"/>
            <w:hideMark/>
          </w:tcPr>
          <w:p w14:paraId="26A1DA50"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3.3.1. Припрема предлога прописа којим се системски уређују питања плата и других примања запослених у ЈЛС</w:t>
            </w:r>
          </w:p>
        </w:tc>
        <w:tc>
          <w:tcPr>
            <w:tcW w:w="1553" w:type="dxa"/>
            <w:hideMark/>
          </w:tcPr>
          <w:p w14:paraId="2A40E64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16CF5357" w14:textId="2A5F5D7F"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 СКГО</w:t>
            </w:r>
          </w:p>
        </w:tc>
        <w:tc>
          <w:tcPr>
            <w:tcW w:w="2693" w:type="dxa"/>
            <w:gridSpan w:val="2"/>
            <w:hideMark/>
          </w:tcPr>
          <w:p w14:paraId="2ABCFBC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II квартал 2026.- IV квартал 2026. </w:t>
            </w:r>
          </w:p>
        </w:tc>
        <w:tc>
          <w:tcPr>
            <w:tcW w:w="2127" w:type="dxa"/>
            <w:shd w:val="clear" w:color="000000" w:fill="FFFFFF"/>
            <w:hideMark/>
          </w:tcPr>
          <w:p w14:paraId="2F13226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Буџет РС – редовна издвајања</w:t>
            </w:r>
          </w:p>
        </w:tc>
        <w:tc>
          <w:tcPr>
            <w:tcW w:w="1275" w:type="dxa"/>
            <w:shd w:val="clear" w:color="000000" w:fill="FFFFFF"/>
            <w:hideMark/>
          </w:tcPr>
          <w:p w14:paraId="0C1CD7D1" w14:textId="31233755"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0613 – 0003 – 111 </w:t>
            </w:r>
          </w:p>
        </w:tc>
        <w:tc>
          <w:tcPr>
            <w:tcW w:w="851" w:type="dxa"/>
            <w:shd w:val="clear" w:color="000000" w:fill="FFFFFF"/>
            <w:noWrap/>
            <w:hideMark/>
          </w:tcPr>
          <w:p w14:paraId="4990181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hideMark/>
          </w:tcPr>
          <w:p w14:paraId="37F8CF7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5F3B1EE1"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7A1C8F1A"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34AAD1D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6769C" w:rsidRPr="00226F9D" w14:paraId="7D770FD9" w14:textId="77777777">
        <w:trPr>
          <w:trHeight w:val="507"/>
        </w:trPr>
        <w:tc>
          <w:tcPr>
            <w:tcW w:w="2270" w:type="dxa"/>
            <w:shd w:val="clear" w:color="000000" w:fill="FFFFFF"/>
            <w:hideMark/>
          </w:tcPr>
          <w:p w14:paraId="00BD912A"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3.3.2. Израда модела аката за примену новог правног оквира за уређивање плата и других примања запослених</w:t>
            </w:r>
          </w:p>
        </w:tc>
        <w:tc>
          <w:tcPr>
            <w:tcW w:w="1553" w:type="dxa"/>
            <w:hideMark/>
          </w:tcPr>
          <w:p w14:paraId="0376A4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hideMark/>
          </w:tcPr>
          <w:p w14:paraId="798D69A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 СКГО</w:t>
            </w:r>
          </w:p>
        </w:tc>
        <w:tc>
          <w:tcPr>
            <w:tcW w:w="2693" w:type="dxa"/>
            <w:gridSpan w:val="2"/>
            <w:hideMark/>
          </w:tcPr>
          <w:p w14:paraId="411AB1B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 IV квартал 2026.</w:t>
            </w:r>
          </w:p>
        </w:tc>
        <w:tc>
          <w:tcPr>
            <w:tcW w:w="2127" w:type="dxa"/>
            <w:hideMark/>
          </w:tcPr>
          <w:p w14:paraId="381FFE8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Подршка из донације: (СДЦ-СКГО-Партнерство за добру локалну самоуправу)</w:t>
            </w:r>
          </w:p>
        </w:tc>
        <w:tc>
          <w:tcPr>
            <w:tcW w:w="1275" w:type="dxa"/>
            <w:hideMark/>
          </w:tcPr>
          <w:p w14:paraId="3E73C34D"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7A1847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600</w:t>
            </w:r>
          </w:p>
        </w:tc>
        <w:tc>
          <w:tcPr>
            <w:tcW w:w="850" w:type="dxa"/>
            <w:shd w:val="clear" w:color="000000" w:fill="FFFFFF"/>
            <w:noWrap/>
            <w:hideMark/>
          </w:tcPr>
          <w:p w14:paraId="1077F98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65ABC7D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0A1D83B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29535881"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6769C" w:rsidRPr="00226F9D" w14:paraId="05A73351" w14:textId="77777777">
        <w:trPr>
          <w:trHeight w:val="20"/>
        </w:trPr>
        <w:tc>
          <w:tcPr>
            <w:tcW w:w="2270" w:type="dxa"/>
            <w:vMerge w:val="restart"/>
            <w:shd w:val="clear" w:color="000000" w:fill="FFFFFF"/>
            <w:hideMark/>
          </w:tcPr>
          <w:p w14:paraId="5BA7E081"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3.3.3. Организација обука за примену новог правног оквира за плате и друга примања запослених у ЈЛС (6 регионалних обука годишње)</w:t>
            </w:r>
          </w:p>
        </w:tc>
        <w:tc>
          <w:tcPr>
            <w:tcW w:w="1553" w:type="dxa"/>
            <w:vMerge w:val="restart"/>
            <w:shd w:val="clear" w:color="000000" w:fill="FFFFFF"/>
            <w:hideMark/>
          </w:tcPr>
          <w:p w14:paraId="525CABA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vMerge w:val="restart"/>
            <w:shd w:val="clear" w:color="000000" w:fill="FFFFFF"/>
            <w:hideMark/>
          </w:tcPr>
          <w:p w14:paraId="4830EF2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 СКГО</w:t>
            </w:r>
          </w:p>
        </w:tc>
        <w:tc>
          <w:tcPr>
            <w:tcW w:w="2693" w:type="dxa"/>
            <w:gridSpan w:val="2"/>
            <w:vMerge w:val="restart"/>
            <w:shd w:val="clear" w:color="000000" w:fill="FFFFFF"/>
            <w:hideMark/>
          </w:tcPr>
          <w:p w14:paraId="1853260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2027. -  IV квартал 2028</w:t>
            </w:r>
          </w:p>
        </w:tc>
        <w:tc>
          <w:tcPr>
            <w:tcW w:w="2127" w:type="dxa"/>
            <w:shd w:val="clear" w:color="000000" w:fill="FFFFFF"/>
            <w:hideMark/>
          </w:tcPr>
          <w:p w14:paraId="48E5936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СКГО – ЕУ ХРМ 3</w:t>
            </w:r>
          </w:p>
        </w:tc>
        <w:tc>
          <w:tcPr>
            <w:tcW w:w="1275" w:type="dxa"/>
            <w:shd w:val="clear" w:color="000000" w:fill="FFFFFF"/>
            <w:hideMark/>
          </w:tcPr>
          <w:p w14:paraId="2A53F81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noWrap/>
            <w:hideMark/>
          </w:tcPr>
          <w:p w14:paraId="7261238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hideMark/>
          </w:tcPr>
          <w:p w14:paraId="139CF37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2,344</w:t>
            </w:r>
          </w:p>
        </w:tc>
        <w:tc>
          <w:tcPr>
            <w:tcW w:w="851" w:type="dxa"/>
            <w:shd w:val="clear" w:color="000000" w:fill="FFFFFF"/>
            <w:hideMark/>
          </w:tcPr>
          <w:p w14:paraId="07342A9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shd w:val="clear" w:color="000000" w:fill="FFFFFF"/>
            <w:hideMark/>
          </w:tcPr>
          <w:p w14:paraId="7751C17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shd w:val="clear" w:color="000000" w:fill="FFFFFF"/>
            <w:hideMark/>
          </w:tcPr>
          <w:p w14:paraId="16779BF8"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36769C" w:rsidRPr="00226F9D" w14:paraId="69DC121A" w14:textId="77777777">
        <w:trPr>
          <w:trHeight w:val="752"/>
        </w:trPr>
        <w:tc>
          <w:tcPr>
            <w:tcW w:w="2270" w:type="dxa"/>
            <w:vMerge/>
            <w:hideMark/>
          </w:tcPr>
          <w:p w14:paraId="7A686311"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53" w:type="dxa"/>
            <w:vMerge/>
            <w:hideMark/>
          </w:tcPr>
          <w:p w14:paraId="11AD8FA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4A6D5CC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vMerge/>
            <w:hideMark/>
          </w:tcPr>
          <w:p w14:paraId="608D06F9"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shd w:val="clear" w:color="000000" w:fill="FFFFFF"/>
            <w:hideMark/>
          </w:tcPr>
          <w:p w14:paraId="1D515FA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shd w:val="clear" w:color="000000" w:fill="FFFFFF"/>
            <w:hideMark/>
          </w:tcPr>
          <w:p w14:paraId="55CEE09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noWrap/>
            <w:hideMark/>
          </w:tcPr>
          <w:p w14:paraId="7C8B85D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hideMark/>
          </w:tcPr>
          <w:p w14:paraId="0F9A08F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23566AE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500*</w:t>
            </w:r>
          </w:p>
        </w:tc>
        <w:tc>
          <w:tcPr>
            <w:tcW w:w="866" w:type="dxa"/>
            <w:shd w:val="clear" w:color="000000" w:fill="FFFFFF"/>
            <w:hideMark/>
          </w:tcPr>
          <w:p w14:paraId="4550203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shd w:val="clear" w:color="000000" w:fill="FFFFFF"/>
            <w:hideMark/>
          </w:tcPr>
          <w:p w14:paraId="2DEFF6C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bl>
    <w:p w14:paraId="3AAF6469" w14:textId="77777777" w:rsidR="00FB70CD" w:rsidRPr="00226F9D" w:rsidRDefault="00FB70CD" w:rsidP="005B0999">
      <w:pPr>
        <w:spacing w:after="0" w:line="240" w:lineRule="auto"/>
        <w:rPr>
          <w:rFonts w:ascii="Times New Roman" w:hAnsi="Times New Roman" w:cs="Times New Roman"/>
        </w:rPr>
      </w:pPr>
    </w:p>
    <w:p w14:paraId="75ABD85F" w14:textId="77777777" w:rsidR="00FB70CD" w:rsidRPr="00226F9D" w:rsidRDefault="00FB70CD" w:rsidP="005B0999">
      <w:pPr>
        <w:spacing w:after="0" w:line="240" w:lineRule="auto"/>
        <w:rPr>
          <w:rFonts w:ascii="Times New Roman" w:hAnsi="Times New Roman" w:cs="Times New Roman"/>
        </w:rPr>
      </w:pPr>
    </w:p>
    <w:p w14:paraId="5C98B89C" w14:textId="77777777" w:rsidR="00FB70CD" w:rsidRPr="00226F9D" w:rsidRDefault="00FB70CD" w:rsidP="005B0999">
      <w:pPr>
        <w:spacing w:after="0" w:line="240" w:lineRule="auto"/>
        <w:rPr>
          <w:rFonts w:ascii="Times New Roman" w:hAnsi="Times New Roman" w:cs="Times New Roman"/>
        </w:rPr>
      </w:pPr>
    </w:p>
    <w:p w14:paraId="69EF1B80" w14:textId="77777777" w:rsidR="00FB70CD" w:rsidRPr="00226F9D" w:rsidRDefault="00FB70CD" w:rsidP="005B0999">
      <w:pPr>
        <w:spacing w:after="0" w:line="240" w:lineRule="auto"/>
        <w:rPr>
          <w:rFonts w:ascii="Times New Roman" w:hAnsi="Times New Roman" w:cs="Times New Roman"/>
        </w:rPr>
      </w:pPr>
    </w:p>
    <w:p w14:paraId="14FEEDBF" w14:textId="77777777" w:rsidR="00FB70CD" w:rsidRPr="00226F9D" w:rsidRDefault="00FB70CD" w:rsidP="005B0999">
      <w:pPr>
        <w:spacing w:after="0" w:line="240" w:lineRule="auto"/>
        <w:rPr>
          <w:rFonts w:ascii="Times New Roman" w:hAnsi="Times New Roman" w:cs="Times New Roman"/>
        </w:rPr>
      </w:pPr>
    </w:p>
    <w:p w14:paraId="12F36F9D" w14:textId="77777777" w:rsidR="00FB70CD" w:rsidRPr="00226F9D" w:rsidRDefault="00FB70CD" w:rsidP="005B0999">
      <w:pPr>
        <w:spacing w:after="0" w:line="240" w:lineRule="auto"/>
        <w:rPr>
          <w:rFonts w:ascii="Times New Roman" w:hAnsi="Times New Roman" w:cs="Times New Roman"/>
        </w:rPr>
      </w:pPr>
    </w:p>
    <w:p w14:paraId="200D887E" w14:textId="3902F781" w:rsidR="00FB70CD" w:rsidRDefault="00FB70CD" w:rsidP="005B0999">
      <w:pPr>
        <w:spacing w:after="0" w:line="240" w:lineRule="auto"/>
        <w:rPr>
          <w:rFonts w:ascii="Times New Roman" w:hAnsi="Times New Roman" w:cs="Times New Roman"/>
        </w:rPr>
      </w:pPr>
    </w:p>
    <w:p w14:paraId="41DDE129" w14:textId="77777777" w:rsidR="00226F9D" w:rsidRPr="00226F9D" w:rsidRDefault="00226F9D" w:rsidP="005B0999">
      <w:pPr>
        <w:spacing w:after="0" w:line="240" w:lineRule="auto"/>
        <w:rPr>
          <w:rFonts w:ascii="Times New Roman" w:hAnsi="Times New Roman" w:cs="Times New Roman"/>
        </w:rPr>
      </w:pPr>
    </w:p>
    <w:p w14:paraId="4AC26C8C" w14:textId="77777777" w:rsidR="007E6EB3" w:rsidRPr="00226F9D" w:rsidRDefault="007E6EB3" w:rsidP="005B0999">
      <w:pPr>
        <w:spacing w:after="0" w:line="240" w:lineRule="auto"/>
        <w:rPr>
          <w:rFonts w:ascii="Times New Roman" w:hAnsi="Times New Roman" w:cs="Times New Roman"/>
        </w:rPr>
      </w:pPr>
    </w:p>
    <w:p w14:paraId="423A14ED" w14:textId="77777777" w:rsidR="00FB70CD" w:rsidRPr="00226F9D" w:rsidRDefault="00FB70CD" w:rsidP="005B0999">
      <w:pPr>
        <w:spacing w:after="0" w:line="240" w:lineRule="auto"/>
        <w:rPr>
          <w:rFonts w:ascii="Times New Roman" w:hAnsi="Times New Roman" w:cs="Times New Roman"/>
        </w:rPr>
      </w:pP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70"/>
        <w:gridCol w:w="1553"/>
        <w:gridCol w:w="1417"/>
        <w:gridCol w:w="1134"/>
        <w:gridCol w:w="1559"/>
        <w:gridCol w:w="2127"/>
        <w:gridCol w:w="1275"/>
        <w:gridCol w:w="851"/>
        <w:gridCol w:w="850"/>
        <w:gridCol w:w="851"/>
        <w:gridCol w:w="866"/>
        <w:gridCol w:w="941"/>
      </w:tblGrid>
      <w:tr w:rsidR="00FB70CD" w:rsidRPr="00226F9D" w14:paraId="76FF5992" w14:textId="77777777" w:rsidTr="40162187">
        <w:trPr>
          <w:trHeight w:val="49"/>
        </w:trPr>
        <w:tc>
          <w:tcPr>
            <w:tcW w:w="15694" w:type="dxa"/>
            <w:gridSpan w:val="12"/>
            <w:shd w:val="clear" w:color="auto" w:fill="F7CAAC"/>
            <w:noWrap/>
            <w:hideMark/>
          </w:tcPr>
          <w:p w14:paraId="4941A90E"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lastRenderedPageBreak/>
              <w:t>Мера 3.4: Унапређење система планирања развоја локалне самоуправе </w:t>
            </w:r>
          </w:p>
        </w:tc>
      </w:tr>
      <w:tr w:rsidR="00FB70CD" w:rsidRPr="00226F9D" w14:paraId="7D1AA88C" w14:textId="77777777" w:rsidTr="40162187">
        <w:trPr>
          <w:trHeight w:val="24"/>
        </w:trPr>
        <w:tc>
          <w:tcPr>
            <w:tcW w:w="15694" w:type="dxa"/>
            <w:gridSpan w:val="12"/>
            <w:shd w:val="clear" w:color="auto" w:fill="F7CAAC"/>
            <w:hideMark/>
          </w:tcPr>
          <w:p w14:paraId="3D1C2DED"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Институција одговорна за праћење и контролу реализације: МДУЛС</w:t>
            </w:r>
          </w:p>
        </w:tc>
      </w:tr>
      <w:tr w:rsidR="00FB70CD" w:rsidRPr="00226F9D" w14:paraId="3532275C" w14:textId="77777777" w:rsidTr="40162187">
        <w:trPr>
          <w:trHeight w:val="142"/>
        </w:trPr>
        <w:tc>
          <w:tcPr>
            <w:tcW w:w="5240" w:type="dxa"/>
            <w:gridSpan w:val="3"/>
            <w:shd w:val="clear" w:color="auto" w:fill="F7CAAC"/>
            <w:hideMark/>
          </w:tcPr>
          <w:p w14:paraId="02C0FFB2"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Период спровођења: </w:t>
            </w:r>
            <w:r w:rsidRPr="00226F9D">
              <w:rPr>
                <w:rFonts w:ascii="Times New Roman" w:eastAsia="Times New Roman" w:hAnsi="Times New Roman" w:cs="Times New Roman"/>
                <w:color w:val="000000"/>
                <w:kern w:val="0"/>
                <w:sz w:val="16"/>
                <w:szCs w:val="16"/>
                <w:lang w:eastAsia="en-GB"/>
                <w14:ligatures w14:val="none"/>
              </w:rPr>
              <w:t>2026</w:t>
            </w:r>
            <w:r w:rsidRPr="00226F9D">
              <w:rPr>
                <w:rFonts w:ascii="Times New Roman" w:eastAsia="Times New Roman" w:hAnsi="Times New Roman" w:cs="Times New Roman"/>
                <w:color w:val="222222"/>
                <w:kern w:val="0"/>
                <w:sz w:val="16"/>
                <w:szCs w:val="16"/>
                <w:lang w:eastAsia="en-GB"/>
                <w14:ligatures w14:val="none"/>
              </w:rPr>
              <w:t>-2030.</w:t>
            </w:r>
          </w:p>
        </w:tc>
        <w:tc>
          <w:tcPr>
            <w:tcW w:w="10454" w:type="dxa"/>
            <w:gridSpan w:val="9"/>
            <w:shd w:val="clear" w:color="auto" w:fill="F7CAAC"/>
            <w:hideMark/>
          </w:tcPr>
          <w:p w14:paraId="411DF44E"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Тип мере: Институционално управљачко организациона</w:t>
            </w:r>
          </w:p>
        </w:tc>
      </w:tr>
      <w:tr w:rsidR="00FB70CD" w:rsidRPr="00226F9D" w14:paraId="4B4FDB74" w14:textId="77777777" w:rsidTr="40162187">
        <w:trPr>
          <w:trHeight w:val="24"/>
        </w:trPr>
        <w:tc>
          <w:tcPr>
            <w:tcW w:w="15694" w:type="dxa"/>
            <w:gridSpan w:val="12"/>
            <w:shd w:val="clear" w:color="auto" w:fill="F7CAAC"/>
            <w:hideMark/>
          </w:tcPr>
          <w:p w14:paraId="601CC8CA"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Прописи које је потребно изменити/усвојити за спровођење мере: </w:t>
            </w:r>
          </w:p>
        </w:tc>
      </w:tr>
      <w:tr w:rsidR="00FB70CD" w:rsidRPr="00226F9D" w14:paraId="79C12D46" w14:textId="77777777" w:rsidTr="40162187">
        <w:trPr>
          <w:trHeight w:val="236"/>
        </w:trPr>
        <w:tc>
          <w:tcPr>
            <w:tcW w:w="5240" w:type="dxa"/>
            <w:gridSpan w:val="3"/>
            <w:shd w:val="clear" w:color="auto" w:fill="B4C6E7"/>
            <w:vAlign w:val="center"/>
            <w:hideMark/>
          </w:tcPr>
          <w:p w14:paraId="51A2C476"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мере (показатељ резултата)</w:t>
            </w:r>
          </w:p>
        </w:tc>
        <w:tc>
          <w:tcPr>
            <w:tcW w:w="1134" w:type="dxa"/>
            <w:shd w:val="clear" w:color="auto" w:fill="B4C6E7"/>
            <w:vAlign w:val="center"/>
          </w:tcPr>
          <w:p w14:paraId="6C57BC1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auto" w:fill="B4C6E7"/>
            <w:vAlign w:val="center"/>
          </w:tcPr>
          <w:p w14:paraId="7CD83E7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auto" w:fill="B4C6E7"/>
            <w:vAlign w:val="center"/>
          </w:tcPr>
          <w:p w14:paraId="0EE108D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auto" w:fill="B4C6E7"/>
            <w:vAlign w:val="center"/>
            <w:hideMark/>
          </w:tcPr>
          <w:p w14:paraId="6A1DD19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auto" w:fill="B4C6E7"/>
            <w:vAlign w:val="center"/>
            <w:hideMark/>
          </w:tcPr>
          <w:p w14:paraId="14FE566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auto" w:fill="B4C6E7"/>
            <w:vAlign w:val="center"/>
            <w:hideMark/>
          </w:tcPr>
          <w:p w14:paraId="7C44E73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auto" w:fill="B4C6E7"/>
            <w:vAlign w:val="center"/>
            <w:hideMark/>
          </w:tcPr>
          <w:p w14:paraId="7A66D4E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6" w:type="dxa"/>
            <w:shd w:val="clear" w:color="auto" w:fill="B4C6E7"/>
            <w:vAlign w:val="center"/>
            <w:hideMark/>
          </w:tcPr>
          <w:p w14:paraId="5601F33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41" w:type="dxa"/>
            <w:shd w:val="clear" w:color="auto" w:fill="B4C6E7"/>
            <w:vAlign w:val="center"/>
            <w:hideMark/>
          </w:tcPr>
          <w:p w14:paraId="23DD3ED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0CF51C84" w14:textId="77777777" w:rsidTr="40162187">
        <w:trPr>
          <w:trHeight w:val="133"/>
        </w:trPr>
        <w:tc>
          <w:tcPr>
            <w:tcW w:w="5240" w:type="dxa"/>
            <w:gridSpan w:val="3"/>
            <w:shd w:val="clear" w:color="auto" w:fill="FFFFFF" w:themeFill="background1"/>
            <w:vAlign w:val="center"/>
            <w:hideMark/>
          </w:tcPr>
          <w:p w14:paraId="02F2CED8"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Број ЈЛС чија је скупштина усвојила извештај о учинцима спровођења плана развоја (кумулатив)</w:t>
            </w:r>
          </w:p>
        </w:tc>
        <w:tc>
          <w:tcPr>
            <w:tcW w:w="1134" w:type="dxa"/>
            <w:shd w:val="clear" w:color="auto" w:fill="FFFFFF" w:themeFill="background1"/>
          </w:tcPr>
          <w:p w14:paraId="37F5E40D"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број</w:t>
            </w:r>
          </w:p>
        </w:tc>
        <w:tc>
          <w:tcPr>
            <w:tcW w:w="1559" w:type="dxa"/>
            <w:shd w:val="clear" w:color="auto" w:fill="FFFFFF" w:themeFill="background1"/>
          </w:tcPr>
          <w:p w14:paraId="6F3A8750"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Интернет портали ЈЛС, подаци РСЈП</w:t>
            </w:r>
          </w:p>
        </w:tc>
        <w:tc>
          <w:tcPr>
            <w:tcW w:w="2127" w:type="dxa"/>
            <w:shd w:val="clear" w:color="auto" w:fill="FFFFFF" w:themeFill="background1"/>
          </w:tcPr>
          <w:p w14:paraId="3365E89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w:t>
            </w:r>
          </w:p>
        </w:tc>
        <w:tc>
          <w:tcPr>
            <w:tcW w:w="1275" w:type="dxa"/>
            <w:shd w:val="clear" w:color="auto" w:fill="FFFFFF" w:themeFill="background1"/>
            <w:hideMark/>
          </w:tcPr>
          <w:p w14:paraId="6798011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2025</w:t>
            </w:r>
          </w:p>
        </w:tc>
        <w:tc>
          <w:tcPr>
            <w:tcW w:w="851" w:type="dxa"/>
            <w:shd w:val="clear" w:color="auto" w:fill="FFFFFF" w:themeFill="background1"/>
            <w:hideMark/>
          </w:tcPr>
          <w:p w14:paraId="4D6E468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10</w:t>
            </w:r>
          </w:p>
        </w:tc>
        <w:tc>
          <w:tcPr>
            <w:tcW w:w="850" w:type="dxa"/>
            <w:shd w:val="clear" w:color="auto" w:fill="FFFFFF" w:themeFill="background1"/>
            <w:noWrap/>
            <w:hideMark/>
          </w:tcPr>
          <w:p w14:paraId="1A93FF2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w:t>
            </w:r>
          </w:p>
        </w:tc>
        <w:tc>
          <w:tcPr>
            <w:tcW w:w="851" w:type="dxa"/>
            <w:shd w:val="clear" w:color="auto" w:fill="FFFFFF" w:themeFill="background1"/>
            <w:hideMark/>
          </w:tcPr>
          <w:p w14:paraId="3AB08D2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30</w:t>
            </w:r>
          </w:p>
        </w:tc>
        <w:tc>
          <w:tcPr>
            <w:tcW w:w="866" w:type="dxa"/>
            <w:shd w:val="clear" w:color="auto" w:fill="FFFFFF" w:themeFill="background1"/>
            <w:hideMark/>
          </w:tcPr>
          <w:p w14:paraId="2222FE8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40</w:t>
            </w:r>
          </w:p>
        </w:tc>
        <w:tc>
          <w:tcPr>
            <w:tcW w:w="941" w:type="dxa"/>
            <w:shd w:val="clear" w:color="auto" w:fill="FFFFFF" w:themeFill="background1"/>
            <w:hideMark/>
          </w:tcPr>
          <w:p w14:paraId="338B958D"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50</w:t>
            </w:r>
          </w:p>
        </w:tc>
      </w:tr>
      <w:tr w:rsidR="00FB70CD" w:rsidRPr="00226F9D" w14:paraId="047FB3FA" w14:textId="77777777" w:rsidTr="40162187">
        <w:trPr>
          <w:trHeight w:val="20"/>
        </w:trPr>
        <w:tc>
          <w:tcPr>
            <w:tcW w:w="5240" w:type="dxa"/>
            <w:gridSpan w:val="3"/>
            <w:vMerge w:val="restart"/>
            <w:shd w:val="clear" w:color="auto" w:fill="A9D08E"/>
            <w:noWrap/>
            <w:vAlign w:val="center"/>
            <w:hideMark/>
          </w:tcPr>
          <w:p w14:paraId="3253A2B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5" w:type="dxa"/>
            <w:gridSpan w:val="4"/>
            <w:vMerge w:val="restart"/>
            <w:shd w:val="clear" w:color="auto" w:fill="A9D08E"/>
            <w:noWrap/>
            <w:vAlign w:val="center"/>
            <w:hideMark/>
          </w:tcPr>
          <w:p w14:paraId="4D95E0C8" w14:textId="77777777" w:rsidR="00FB70CD" w:rsidRPr="00226F9D" w:rsidRDefault="00D155C4"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30"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59" w:type="dxa"/>
            <w:gridSpan w:val="5"/>
            <w:shd w:val="clear" w:color="auto" w:fill="A8D08D"/>
            <w:hideMark/>
          </w:tcPr>
          <w:p w14:paraId="09DD292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у 000 дин</w:t>
            </w:r>
          </w:p>
        </w:tc>
      </w:tr>
      <w:tr w:rsidR="00FB70CD" w:rsidRPr="00226F9D" w14:paraId="247D8D43" w14:textId="77777777" w:rsidTr="40162187">
        <w:trPr>
          <w:trHeight w:val="20"/>
        </w:trPr>
        <w:tc>
          <w:tcPr>
            <w:tcW w:w="5240" w:type="dxa"/>
            <w:gridSpan w:val="3"/>
            <w:vMerge/>
            <w:hideMark/>
          </w:tcPr>
          <w:p w14:paraId="32284142"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p>
        </w:tc>
        <w:tc>
          <w:tcPr>
            <w:tcW w:w="6095" w:type="dxa"/>
            <w:gridSpan w:val="4"/>
            <w:vMerge/>
            <w:hideMark/>
          </w:tcPr>
          <w:p w14:paraId="4D5C46BC"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p>
        </w:tc>
        <w:tc>
          <w:tcPr>
            <w:tcW w:w="851" w:type="dxa"/>
            <w:shd w:val="clear" w:color="auto" w:fill="A8D08D"/>
            <w:hideMark/>
          </w:tcPr>
          <w:p w14:paraId="6812784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A8D08D"/>
            <w:hideMark/>
          </w:tcPr>
          <w:p w14:paraId="279C4D4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A8D08D"/>
            <w:hideMark/>
          </w:tcPr>
          <w:p w14:paraId="324D535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auto" w:fill="A8D08D"/>
            <w:hideMark/>
          </w:tcPr>
          <w:p w14:paraId="5B83136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auto" w:fill="A8D08D"/>
            <w:hideMark/>
          </w:tcPr>
          <w:p w14:paraId="4E8D799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2274C53D" w14:textId="77777777" w:rsidTr="40162187">
        <w:trPr>
          <w:trHeight w:val="24"/>
        </w:trPr>
        <w:tc>
          <w:tcPr>
            <w:tcW w:w="5240" w:type="dxa"/>
            <w:gridSpan w:val="3"/>
            <w:shd w:val="clear" w:color="auto" w:fill="FFFFFF" w:themeFill="background1"/>
            <w:hideMark/>
          </w:tcPr>
          <w:p w14:paraId="7FA1182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auto" w:fill="FFFFFF" w:themeFill="background1"/>
            <w:hideMark/>
          </w:tcPr>
          <w:p w14:paraId="6228A80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hideMark/>
          </w:tcPr>
          <w:p w14:paraId="4CC3B56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c>
          <w:tcPr>
            <w:tcW w:w="850" w:type="dxa"/>
            <w:shd w:val="clear" w:color="auto" w:fill="FFFFFF" w:themeFill="background1"/>
            <w:hideMark/>
          </w:tcPr>
          <w:p w14:paraId="0B129FC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1.000</w:t>
            </w:r>
          </w:p>
        </w:tc>
        <w:tc>
          <w:tcPr>
            <w:tcW w:w="851" w:type="dxa"/>
            <w:shd w:val="clear" w:color="auto" w:fill="FFFFFF" w:themeFill="background1"/>
            <w:hideMark/>
          </w:tcPr>
          <w:p w14:paraId="6488AF6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c>
          <w:tcPr>
            <w:tcW w:w="866" w:type="dxa"/>
            <w:shd w:val="clear" w:color="auto" w:fill="FFFFFF" w:themeFill="background1"/>
            <w:hideMark/>
          </w:tcPr>
          <w:p w14:paraId="6ABE8E0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600</w:t>
            </w:r>
          </w:p>
        </w:tc>
        <w:tc>
          <w:tcPr>
            <w:tcW w:w="941" w:type="dxa"/>
            <w:shd w:val="clear" w:color="auto" w:fill="FFFFFF" w:themeFill="background1"/>
            <w:hideMark/>
          </w:tcPr>
          <w:p w14:paraId="2B5CCEC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600</w:t>
            </w:r>
          </w:p>
        </w:tc>
      </w:tr>
      <w:tr w:rsidR="00FB70CD" w:rsidRPr="00226F9D" w14:paraId="375E2ADA" w14:textId="77777777" w:rsidTr="40162187">
        <w:trPr>
          <w:trHeight w:val="24"/>
        </w:trPr>
        <w:tc>
          <w:tcPr>
            <w:tcW w:w="2270" w:type="dxa"/>
            <w:shd w:val="clear" w:color="auto" w:fill="FFF2CC"/>
            <w:vAlign w:val="center"/>
            <w:hideMark/>
          </w:tcPr>
          <w:p w14:paraId="74BF8A0D"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53" w:type="dxa"/>
            <w:shd w:val="clear" w:color="auto" w:fill="FFF2CC"/>
            <w:vAlign w:val="center"/>
            <w:hideMark/>
          </w:tcPr>
          <w:p w14:paraId="73200D3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auto" w:fill="FFF2CC"/>
            <w:vAlign w:val="center"/>
            <w:hideMark/>
          </w:tcPr>
          <w:p w14:paraId="2FA7871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Oргани и партнери у спровођењу активности</w:t>
            </w:r>
          </w:p>
        </w:tc>
        <w:tc>
          <w:tcPr>
            <w:tcW w:w="2693" w:type="dxa"/>
            <w:gridSpan w:val="2"/>
            <w:shd w:val="clear" w:color="auto" w:fill="FFF2CC"/>
            <w:vAlign w:val="center"/>
            <w:hideMark/>
          </w:tcPr>
          <w:p w14:paraId="48F6594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auto" w:fill="FFF2CC"/>
            <w:vAlign w:val="center"/>
            <w:hideMark/>
          </w:tcPr>
          <w:p w14:paraId="2DCC673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auto" w:fill="FFF2CC"/>
            <w:vAlign w:val="center"/>
            <w:hideMark/>
          </w:tcPr>
          <w:p w14:paraId="15A0821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59" w:type="dxa"/>
            <w:gridSpan w:val="5"/>
            <w:shd w:val="clear" w:color="auto" w:fill="FFF2CC"/>
            <w:vAlign w:val="center"/>
            <w:hideMark/>
          </w:tcPr>
          <w:p w14:paraId="49AAC54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по изворима у 000 дин</w:t>
            </w:r>
          </w:p>
        </w:tc>
      </w:tr>
      <w:tr w:rsidR="00FB70CD" w:rsidRPr="00226F9D" w14:paraId="49976B9D" w14:textId="77777777" w:rsidTr="40162187">
        <w:trPr>
          <w:trHeight w:val="24"/>
        </w:trPr>
        <w:tc>
          <w:tcPr>
            <w:tcW w:w="2270" w:type="dxa"/>
            <w:shd w:val="clear" w:color="auto" w:fill="FFF2CC"/>
            <w:hideMark/>
          </w:tcPr>
          <w:p w14:paraId="329EB7A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553" w:type="dxa"/>
            <w:shd w:val="clear" w:color="auto" w:fill="FFF2CC"/>
            <w:hideMark/>
          </w:tcPr>
          <w:p w14:paraId="0DF9307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417" w:type="dxa"/>
            <w:shd w:val="clear" w:color="auto" w:fill="FFF2CC"/>
            <w:hideMark/>
          </w:tcPr>
          <w:p w14:paraId="2BC4AC5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693" w:type="dxa"/>
            <w:gridSpan w:val="2"/>
            <w:shd w:val="clear" w:color="auto" w:fill="FFF2CC"/>
            <w:hideMark/>
          </w:tcPr>
          <w:p w14:paraId="3314ED3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127" w:type="dxa"/>
            <w:shd w:val="clear" w:color="auto" w:fill="FFF2CC"/>
            <w:hideMark/>
          </w:tcPr>
          <w:p w14:paraId="44DCF567"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275" w:type="dxa"/>
            <w:shd w:val="clear" w:color="auto" w:fill="FFF2CC"/>
            <w:hideMark/>
          </w:tcPr>
          <w:p w14:paraId="6BBF4084"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851" w:type="dxa"/>
            <w:shd w:val="clear" w:color="auto" w:fill="FFF2CC"/>
            <w:hideMark/>
          </w:tcPr>
          <w:p w14:paraId="231AE87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FFF2CC"/>
            <w:hideMark/>
          </w:tcPr>
          <w:p w14:paraId="5A54CEE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FFF2CC"/>
            <w:hideMark/>
          </w:tcPr>
          <w:p w14:paraId="0292848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auto" w:fill="FFF2CC"/>
            <w:hideMark/>
          </w:tcPr>
          <w:p w14:paraId="49F31E9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auto" w:fill="FFF2CC"/>
            <w:hideMark/>
          </w:tcPr>
          <w:p w14:paraId="0EEA324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5D167457" w14:textId="77777777" w:rsidTr="40162187">
        <w:trPr>
          <w:trHeight w:val="20"/>
        </w:trPr>
        <w:tc>
          <w:tcPr>
            <w:tcW w:w="2270" w:type="dxa"/>
            <w:vMerge w:val="restart"/>
            <w:shd w:val="clear" w:color="auto" w:fill="FFFFFF" w:themeFill="background1"/>
            <w:hideMark/>
          </w:tcPr>
          <w:p w14:paraId="51084B1D"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3.4.1. Подршка ЈЛС за праћење спровођења и извештавањe о резултатима планова развоја </w:t>
            </w:r>
          </w:p>
        </w:tc>
        <w:tc>
          <w:tcPr>
            <w:tcW w:w="1553" w:type="dxa"/>
            <w:vMerge w:val="restart"/>
            <w:hideMark/>
          </w:tcPr>
          <w:p w14:paraId="463672A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РСЈП</w:t>
            </w:r>
          </w:p>
        </w:tc>
        <w:tc>
          <w:tcPr>
            <w:tcW w:w="1417" w:type="dxa"/>
            <w:vMerge w:val="restart"/>
            <w:hideMark/>
          </w:tcPr>
          <w:p w14:paraId="31D91F5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СКГО</w:t>
            </w:r>
          </w:p>
        </w:tc>
        <w:tc>
          <w:tcPr>
            <w:tcW w:w="2693" w:type="dxa"/>
            <w:gridSpan w:val="2"/>
            <w:vMerge w:val="restart"/>
            <w:hideMark/>
          </w:tcPr>
          <w:p w14:paraId="7194796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2030.</w:t>
            </w:r>
          </w:p>
        </w:tc>
        <w:tc>
          <w:tcPr>
            <w:tcW w:w="2127" w:type="dxa"/>
            <w:shd w:val="clear" w:color="auto" w:fill="FFFFFF" w:themeFill="background1"/>
            <w:hideMark/>
          </w:tcPr>
          <w:p w14:paraId="6801C5E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auto" w:fill="FFFFFF" w:themeFill="background1"/>
            <w:hideMark/>
          </w:tcPr>
          <w:p w14:paraId="2712CB6C"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0610-0006</w:t>
            </w:r>
          </w:p>
        </w:tc>
        <w:tc>
          <w:tcPr>
            <w:tcW w:w="851" w:type="dxa"/>
            <w:noWrap/>
            <w:hideMark/>
          </w:tcPr>
          <w:p w14:paraId="1712BC2A"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hideMark/>
          </w:tcPr>
          <w:p w14:paraId="44C94723"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78BAE62C"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351D2BB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3B23879D"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435B150" w14:textId="77777777" w:rsidTr="40162187">
        <w:trPr>
          <w:trHeight w:val="634"/>
        </w:trPr>
        <w:tc>
          <w:tcPr>
            <w:tcW w:w="2270" w:type="dxa"/>
            <w:vMerge/>
            <w:hideMark/>
          </w:tcPr>
          <w:p w14:paraId="417A136F"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53" w:type="dxa"/>
            <w:vMerge/>
            <w:hideMark/>
          </w:tcPr>
          <w:p w14:paraId="03485D6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0A33BDE4"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vMerge/>
            <w:hideMark/>
          </w:tcPr>
          <w:p w14:paraId="7E08914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shd w:val="clear" w:color="auto" w:fill="FFFFFF" w:themeFill="background1"/>
            <w:hideMark/>
          </w:tcPr>
          <w:p w14:paraId="29B9F2C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shd w:val="clear" w:color="auto" w:fill="FFFFFF" w:themeFill="background1"/>
            <w:hideMark/>
          </w:tcPr>
          <w:p w14:paraId="5DA47EDC"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0AA3965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850" w:type="dxa"/>
            <w:shd w:val="clear" w:color="auto" w:fill="FFFFFF" w:themeFill="background1"/>
            <w:noWrap/>
            <w:hideMark/>
          </w:tcPr>
          <w:p w14:paraId="40CB47F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500*</w:t>
            </w:r>
          </w:p>
        </w:tc>
        <w:tc>
          <w:tcPr>
            <w:tcW w:w="851" w:type="dxa"/>
            <w:shd w:val="clear" w:color="auto" w:fill="FFFFFF" w:themeFill="background1"/>
            <w:hideMark/>
          </w:tcPr>
          <w:p w14:paraId="5194D00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shd w:val="clear" w:color="auto" w:fill="FFFFFF" w:themeFill="background1"/>
            <w:hideMark/>
          </w:tcPr>
          <w:p w14:paraId="54FE968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600*</w:t>
            </w:r>
          </w:p>
        </w:tc>
        <w:tc>
          <w:tcPr>
            <w:tcW w:w="941" w:type="dxa"/>
            <w:shd w:val="clear" w:color="auto" w:fill="FFFFFF" w:themeFill="background1"/>
            <w:hideMark/>
          </w:tcPr>
          <w:p w14:paraId="45E2ADE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622BF3" w:rsidRPr="00226F9D" w14:paraId="6D2872DB" w14:textId="77777777" w:rsidTr="007F294C">
        <w:trPr>
          <w:trHeight w:val="2970"/>
        </w:trPr>
        <w:tc>
          <w:tcPr>
            <w:tcW w:w="2270" w:type="dxa"/>
            <w:hideMark/>
          </w:tcPr>
          <w:p w14:paraId="083FF87D" w14:textId="1FD358E4" w:rsidR="00FB70CD" w:rsidRPr="00226F9D" w:rsidRDefault="00FB70CD" w:rsidP="40162187">
            <w:pPr>
              <w:spacing w:after="0" w:line="240" w:lineRule="auto"/>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kern w:val="0"/>
                <w:sz w:val="16"/>
                <w:szCs w:val="16"/>
                <w:lang w:eastAsia="en-GB"/>
                <w14:ligatures w14:val="none"/>
              </w:rPr>
              <w:t>3.4.2. Спровођење програма обука за примену планског система на локалном нивоу из Секторског континуираног програма стручног усавршавања у ЈЛС - извештавање посредством НАЈУ</w:t>
            </w:r>
          </w:p>
          <w:p w14:paraId="15C335D9" w14:textId="3BF1D92E" w:rsidR="00FB70CD" w:rsidRPr="00226F9D" w:rsidRDefault="00FB70CD" w:rsidP="40162187">
            <w:pPr>
              <w:spacing w:after="0" w:line="240" w:lineRule="auto"/>
              <w:rPr>
                <w:rFonts w:ascii="Times New Roman" w:eastAsia="Times New Roman" w:hAnsi="Times New Roman" w:cs="Times New Roman"/>
                <w:color w:val="000000" w:themeColor="text1"/>
                <w:sz w:val="16"/>
                <w:szCs w:val="16"/>
                <w:lang w:eastAsia="en-GB"/>
              </w:rPr>
            </w:pPr>
          </w:p>
          <w:p w14:paraId="61D51712" w14:textId="78FAAE86" w:rsidR="00FB70CD" w:rsidRPr="00226F9D" w:rsidRDefault="00FB70CD" w:rsidP="40162187">
            <w:pPr>
              <w:spacing w:after="0" w:line="240" w:lineRule="auto"/>
              <w:rPr>
                <w:rFonts w:ascii="Times New Roman" w:eastAsia="Times New Roman" w:hAnsi="Times New Roman" w:cs="Times New Roman"/>
                <w:color w:val="000000" w:themeColor="text1"/>
                <w:sz w:val="16"/>
                <w:szCs w:val="16"/>
                <w:lang w:eastAsia="en-GB"/>
              </w:rPr>
            </w:pPr>
          </w:p>
          <w:p w14:paraId="3AF29A79" w14:textId="582DFD0E" w:rsidR="00FB70CD" w:rsidRPr="00226F9D" w:rsidRDefault="00FB70CD" w:rsidP="40162187">
            <w:pPr>
              <w:spacing w:after="0" w:line="240" w:lineRule="auto"/>
              <w:rPr>
                <w:rFonts w:ascii="Times New Roman" w:eastAsia="Times New Roman" w:hAnsi="Times New Roman" w:cs="Times New Roman"/>
                <w:color w:val="000000" w:themeColor="text1"/>
                <w:sz w:val="16"/>
                <w:szCs w:val="16"/>
                <w:lang w:eastAsia="en-GB"/>
              </w:rPr>
            </w:pPr>
          </w:p>
          <w:p w14:paraId="3AE0075B" w14:textId="6B88E27C"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53" w:type="dxa"/>
            <w:hideMark/>
          </w:tcPr>
          <w:p w14:paraId="3F86F7D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НАЈУ</w:t>
            </w:r>
          </w:p>
        </w:tc>
        <w:tc>
          <w:tcPr>
            <w:tcW w:w="1417" w:type="dxa"/>
            <w:hideMark/>
          </w:tcPr>
          <w:p w14:paraId="37DFAFE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 РСЈП, МДУЛС, Савет за стручно усавршавање запослених у ЈЛС, СКГО</w:t>
            </w:r>
          </w:p>
        </w:tc>
        <w:tc>
          <w:tcPr>
            <w:tcW w:w="2693" w:type="dxa"/>
            <w:gridSpan w:val="2"/>
            <w:hideMark/>
          </w:tcPr>
          <w:p w14:paraId="1B6C09D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2030.</w:t>
            </w:r>
          </w:p>
        </w:tc>
        <w:tc>
          <w:tcPr>
            <w:tcW w:w="2127" w:type="dxa"/>
            <w:shd w:val="clear" w:color="auto" w:fill="FFFFFF" w:themeFill="background1"/>
            <w:hideMark/>
          </w:tcPr>
          <w:p w14:paraId="1AC307B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shd w:val="clear" w:color="auto" w:fill="FFFFFF" w:themeFill="background1"/>
            <w:hideMark/>
          </w:tcPr>
          <w:p w14:paraId="470B428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noWrap/>
            <w:hideMark/>
          </w:tcPr>
          <w:p w14:paraId="16033EF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hideMark/>
          </w:tcPr>
          <w:p w14:paraId="15930CA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500*</w:t>
            </w:r>
          </w:p>
        </w:tc>
        <w:tc>
          <w:tcPr>
            <w:tcW w:w="851" w:type="dxa"/>
            <w:shd w:val="clear" w:color="auto" w:fill="FFFFFF" w:themeFill="background1"/>
            <w:hideMark/>
          </w:tcPr>
          <w:p w14:paraId="45593FB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shd w:val="clear" w:color="auto" w:fill="FFFFFF" w:themeFill="background1"/>
            <w:hideMark/>
          </w:tcPr>
          <w:p w14:paraId="0BEEB35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shd w:val="clear" w:color="auto" w:fill="FFFFFF" w:themeFill="background1"/>
            <w:hideMark/>
          </w:tcPr>
          <w:p w14:paraId="5F62D23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600*</w:t>
            </w:r>
          </w:p>
        </w:tc>
      </w:tr>
    </w:tbl>
    <w:p w14:paraId="08B180C9" w14:textId="3EA5F5F4" w:rsidR="00FB70CD" w:rsidRDefault="00FB70CD" w:rsidP="005B0999">
      <w:pPr>
        <w:spacing w:after="0" w:line="240" w:lineRule="auto"/>
        <w:rPr>
          <w:rFonts w:ascii="Times New Roman" w:hAnsi="Times New Roman" w:cs="Times New Roman"/>
          <w:lang w:val="sr-Cyrl-RS"/>
        </w:rPr>
      </w:pPr>
    </w:p>
    <w:p w14:paraId="7FD9634F" w14:textId="08B76E13" w:rsidR="00226F9D" w:rsidRDefault="00226F9D" w:rsidP="005B0999">
      <w:pPr>
        <w:spacing w:after="0" w:line="240" w:lineRule="auto"/>
        <w:rPr>
          <w:rFonts w:ascii="Times New Roman" w:hAnsi="Times New Roman" w:cs="Times New Roman"/>
          <w:lang w:val="sr-Cyrl-RS"/>
        </w:rPr>
      </w:pPr>
    </w:p>
    <w:p w14:paraId="00068142" w14:textId="21B095FA" w:rsidR="00226F9D" w:rsidRDefault="00226F9D" w:rsidP="005B0999">
      <w:pPr>
        <w:spacing w:after="0" w:line="240" w:lineRule="auto"/>
        <w:rPr>
          <w:rFonts w:ascii="Times New Roman" w:hAnsi="Times New Roman" w:cs="Times New Roman"/>
          <w:lang w:val="sr-Cyrl-RS"/>
        </w:rPr>
      </w:pPr>
    </w:p>
    <w:p w14:paraId="0E764B99" w14:textId="45B7DC58" w:rsidR="00226F9D" w:rsidRDefault="00226F9D" w:rsidP="005B0999">
      <w:pPr>
        <w:spacing w:after="0" w:line="240" w:lineRule="auto"/>
        <w:rPr>
          <w:rFonts w:ascii="Times New Roman" w:hAnsi="Times New Roman" w:cs="Times New Roman"/>
          <w:lang w:val="sr-Cyrl-RS"/>
        </w:rPr>
      </w:pPr>
    </w:p>
    <w:p w14:paraId="398CF37C" w14:textId="77777777" w:rsidR="00226F9D" w:rsidRPr="00226F9D" w:rsidRDefault="00226F9D" w:rsidP="005B0999">
      <w:pPr>
        <w:spacing w:after="0" w:line="240" w:lineRule="auto"/>
        <w:rPr>
          <w:rFonts w:ascii="Times New Roman" w:hAnsi="Times New Roman" w:cs="Times New Roman"/>
          <w:lang w:val="sr-Cyrl-RS"/>
        </w:rPr>
      </w:pPr>
    </w:p>
    <w:p w14:paraId="1CA65CB0" w14:textId="77777777" w:rsidR="00FB70CD" w:rsidRPr="00226F9D" w:rsidRDefault="00FB70CD" w:rsidP="005B0999">
      <w:pPr>
        <w:spacing w:after="0" w:line="240" w:lineRule="auto"/>
        <w:rPr>
          <w:rFonts w:ascii="Times New Roman" w:hAnsi="Times New Roman" w:cs="Times New Roman"/>
        </w:rPr>
      </w:pP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70"/>
        <w:gridCol w:w="1553"/>
        <w:gridCol w:w="1417"/>
        <w:gridCol w:w="1134"/>
        <w:gridCol w:w="1559"/>
        <w:gridCol w:w="2127"/>
        <w:gridCol w:w="1275"/>
        <w:gridCol w:w="851"/>
        <w:gridCol w:w="850"/>
        <w:gridCol w:w="851"/>
        <w:gridCol w:w="866"/>
        <w:gridCol w:w="941"/>
      </w:tblGrid>
      <w:tr w:rsidR="00FB70CD" w:rsidRPr="00226F9D" w14:paraId="3C7C56B8" w14:textId="77777777">
        <w:trPr>
          <w:trHeight w:val="24"/>
        </w:trPr>
        <w:tc>
          <w:tcPr>
            <w:tcW w:w="15694" w:type="dxa"/>
            <w:gridSpan w:val="12"/>
            <w:shd w:val="clear" w:color="000000" w:fill="F7CAAC"/>
            <w:noWrap/>
            <w:hideMark/>
          </w:tcPr>
          <w:p w14:paraId="353E9239"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lastRenderedPageBreak/>
              <w:t xml:space="preserve">Мера 3.5. Унапређење капацитета локалне самоуправе за примену правног оквира ЕУ и кохезионе политике ЕУ </w:t>
            </w:r>
          </w:p>
        </w:tc>
      </w:tr>
      <w:tr w:rsidR="00FB70CD" w:rsidRPr="00226F9D" w14:paraId="6C212B90" w14:textId="77777777">
        <w:trPr>
          <w:trHeight w:val="24"/>
        </w:trPr>
        <w:tc>
          <w:tcPr>
            <w:tcW w:w="15694" w:type="dxa"/>
            <w:gridSpan w:val="12"/>
            <w:shd w:val="clear" w:color="000000" w:fill="F7CAAC"/>
            <w:hideMark/>
          </w:tcPr>
          <w:p w14:paraId="0917ABA9"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Институција одговорна за праћење и контролу реализације: МЕИ</w:t>
            </w:r>
          </w:p>
        </w:tc>
      </w:tr>
      <w:tr w:rsidR="00FB70CD" w:rsidRPr="00226F9D" w14:paraId="7DDE005D" w14:textId="77777777">
        <w:trPr>
          <w:trHeight w:val="24"/>
        </w:trPr>
        <w:tc>
          <w:tcPr>
            <w:tcW w:w="5240" w:type="dxa"/>
            <w:gridSpan w:val="3"/>
            <w:shd w:val="clear" w:color="000000" w:fill="F7CAAC"/>
            <w:hideMark/>
          </w:tcPr>
          <w:p w14:paraId="4F9123DB"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Период спровођења: </w:t>
            </w:r>
            <w:r w:rsidRPr="00226F9D">
              <w:rPr>
                <w:rFonts w:ascii="Times New Roman" w:eastAsia="Times New Roman" w:hAnsi="Times New Roman" w:cs="Times New Roman"/>
                <w:color w:val="000000"/>
                <w:kern w:val="0"/>
                <w:sz w:val="16"/>
                <w:szCs w:val="16"/>
                <w:lang w:eastAsia="en-GB"/>
                <w14:ligatures w14:val="none"/>
              </w:rPr>
              <w:t>2026</w:t>
            </w:r>
            <w:r w:rsidRPr="00226F9D">
              <w:rPr>
                <w:rFonts w:ascii="Times New Roman" w:eastAsia="Times New Roman" w:hAnsi="Times New Roman" w:cs="Times New Roman"/>
                <w:color w:val="222222"/>
                <w:kern w:val="0"/>
                <w:sz w:val="16"/>
                <w:szCs w:val="16"/>
                <w:lang w:eastAsia="en-GB"/>
                <w14:ligatures w14:val="none"/>
              </w:rPr>
              <w:t>-2030.</w:t>
            </w:r>
          </w:p>
        </w:tc>
        <w:tc>
          <w:tcPr>
            <w:tcW w:w="10454" w:type="dxa"/>
            <w:gridSpan w:val="9"/>
            <w:shd w:val="clear" w:color="000000" w:fill="F7CAAC"/>
            <w:hideMark/>
          </w:tcPr>
          <w:p w14:paraId="0E195BA8"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Тип мере: Информативно-едукативна </w:t>
            </w:r>
          </w:p>
        </w:tc>
      </w:tr>
      <w:tr w:rsidR="00FB70CD" w:rsidRPr="00226F9D" w14:paraId="2AC9A56B" w14:textId="77777777">
        <w:trPr>
          <w:trHeight w:val="24"/>
        </w:trPr>
        <w:tc>
          <w:tcPr>
            <w:tcW w:w="15694" w:type="dxa"/>
            <w:gridSpan w:val="12"/>
            <w:shd w:val="clear" w:color="000000" w:fill="F7CAAC"/>
            <w:hideMark/>
          </w:tcPr>
          <w:p w14:paraId="48C0E2CD"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Прописи које је потребно изменити/усвојити за спровођење мере: </w:t>
            </w:r>
          </w:p>
        </w:tc>
      </w:tr>
      <w:tr w:rsidR="00FB70CD" w:rsidRPr="00226F9D" w14:paraId="62464917" w14:textId="77777777">
        <w:trPr>
          <w:trHeight w:val="340"/>
        </w:trPr>
        <w:tc>
          <w:tcPr>
            <w:tcW w:w="5240" w:type="dxa"/>
            <w:gridSpan w:val="3"/>
            <w:shd w:val="clear" w:color="000000" w:fill="B4C6E7"/>
            <w:vAlign w:val="center"/>
            <w:hideMark/>
          </w:tcPr>
          <w:p w14:paraId="14DBD6A3"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мере (показатељ резултата)</w:t>
            </w:r>
          </w:p>
        </w:tc>
        <w:tc>
          <w:tcPr>
            <w:tcW w:w="1134" w:type="dxa"/>
            <w:shd w:val="clear" w:color="000000" w:fill="B4C6E7"/>
            <w:vAlign w:val="center"/>
          </w:tcPr>
          <w:p w14:paraId="50C5D9B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000000" w:fill="B4C6E7"/>
            <w:vAlign w:val="center"/>
          </w:tcPr>
          <w:p w14:paraId="513F468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B4C6E7"/>
            <w:vAlign w:val="center"/>
          </w:tcPr>
          <w:p w14:paraId="0380C61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000000" w:fill="B4C6E7"/>
            <w:vAlign w:val="center"/>
            <w:hideMark/>
          </w:tcPr>
          <w:p w14:paraId="7E3B2FA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000000" w:fill="B4C6E7"/>
            <w:vAlign w:val="center"/>
            <w:hideMark/>
          </w:tcPr>
          <w:p w14:paraId="3FA0CDD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000000" w:fill="B4C6E7"/>
            <w:vAlign w:val="center"/>
            <w:hideMark/>
          </w:tcPr>
          <w:p w14:paraId="1705DB1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B4C6E7"/>
            <w:vAlign w:val="center"/>
            <w:hideMark/>
          </w:tcPr>
          <w:p w14:paraId="56B3ED3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66" w:type="dxa"/>
            <w:shd w:val="clear" w:color="000000" w:fill="B4C6E7"/>
            <w:vAlign w:val="center"/>
            <w:hideMark/>
          </w:tcPr>
          <w:p w14:paraId="4F9FE5E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41" w:type="dxa"/>
            <w:shd w:val="clear" w:color="000000" w:fill="B4C6E7"/>
            <w:vAlign w:val="center"/>
            <w:hideMark/>
          </w:tcPr>
          <w:p w14:paraId="44433B4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3E066646" w14:textId="77777777">
        <w:trPr>
          <w:trHeight w:val="24"/>
        </w:trPr>
        <w:tc>
          <w:tcPr>
            <w:tcW w:w="5240" w:type="dxa"/>
            <w:gridSpan w:val="3"/>
            <w:shd w:val="clear" w:color="000000" w:fill="FFFFFF"/>
            <w:vAlign w:val="center"/>
            <w:hideMark/>
          </w:tcPr>
          <w:p w14:paraId="3D6EF4F0"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ЛС које су подржане у изградњи капацитета за примену кохезионе политике ЕУ</w:t>
            </w:r>
          </w:p>
        </w:tc>
        <w:tc>
          <w:tcPr>
            <w:tcW w:w="1134" w:type="dxa"/>
            <w:shd w:val="clear" w:color="000000" w:fill="FFFFFF"/>
          </w:tcPr>
          <w:p w14:paraId="64B75F2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59" w:type="dxa"/>
            <w:shd w:val="clear" w:color="000000" w:fill="FFFFFF"/>
          </w:tcPr>
          <w:p w14:paraId="69CA04F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Извештаји МЕИ, СКГО</w:t>
            </w:r>
          </w:p>
        </w:tc>
        <w:tc>
          <w:tcPr>
            <w:tcW w:w="2127" w:type="dxa"/>
            <w:shd w:val="clear" w:color="000000" w:fill="FFFFFF"/>
          </w:tcPr>
          <w:p w14:paraId="062DD24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w:t>
            </w:r>
          </w:p>
        </w:tc>
        <w:tc>
          <w:tcPr>
            <w:tcW w:w="1275" w:type="dxa"/>
            <w:shd w:val="clear" w:color="000000" w:fill="FFFFFF"/>
            <w:hideMark/>
          </w:tcPr>
          <w:p w14:paraId="26E9818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000000" w:fill="FFFFFF"/>
            <w:noWrap/>
            <w:hideMark/>
          </w:tcPr>
          <w:p w14:paraId="671B02A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w:t>
            </w:r>
          </w:p>
        </w:tc>
        <w:tc>
          <w:tcPr>
            <w:tcW w:w="850" w:type="dxa"/>
            <w:shd w:val="clear" w:color="000000" w:fill="FFFFFF"/>
            <w:noWrap/>
            <w:hideMark/>
          </w:tcPr>
          <w:p w14:paraId="12421FC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50%</w:t>
            </w:r>
          </w:p>
        </w:tc>
        <w:tc>
          <w:tcPr>
            <w:tcW w:w="851" w:type="dxa"/>
            <w:shd w:val="clear" w:color="000000" w:fill="FFFFFF"/>
            <w:hideMark/>
          </w:tcPr>
          <w:p w14:paraId="0DCAF8D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65%</w:t>
            </w:r>
          </w:p>
        </w:tc>
        <w:tc>
          <w:tcPr>
            <w:tcW w:w="866" w:type="dxa"/>
            <w:shd w:val="clear" w:color="000000" w:fill="FFFFFF"/>
            <w:noWrap/>
            <w:hideMark/>
          </w:tcPr>
          <w:p w14:paraId="3EB8B26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67%</w:t>
            </w:r>
          </w:p>
        </w:tc>
        <w:tc>
          <w:tcPr>
            <w:tcW w:w="941" w:type="dxa"/>
            <w:shd w:val="clear" w:color="000000" w:fill="FFFFFF"/>
            <w:hideMark/>
          </w:tcPr>
          <w:p w14:paraId="4EA228D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70%</w:t>
            </w:r>
          </w:p>
        </w:tc>
      </w:tr>
      <w:tr w:rsidR="00FB70CD" w:rsidRPr="00226F9D" w14:paraId="066D8A99" w14:textId="77777777">
        <w:trPr>
          <w:trHeight w:val="20"/>
        </w:trPr>
        <w:tc>
          <w:tcPr>
            <w:tcW w:w="5240" w:type="dxa"/>
            <w:gridSpan w:val="3"/>
            <w:vMerge w:val="restart"/>
            <w:shd w:val="clear" w:color="000000" w:fill="A9D08E"/>
            <w:noWrap/>
            <w:vAlign w:val="center"/>
            <w:hideMark/>
          </w:tcPr>
          <w:p w14:paraId="168E69E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5" w:type="dxa"/>
            <w:gridSpan w:val="4"/>
            <w:vMerge w:val="restart"/>
            <w:shd w:val="clear" w:color="000000" w:fill="A9D08E"/>
            <w:noWrap/>
            <w:vAlign w:val="center"/>
            <w:hideMark/>
          </w:tcPr>
          <w:p w14:paraId="708211B8" w14:textId="77777777" w:rsidR="00FB70CD" w:rsidRPr="00226F9D" w:rsidRDefault="00D155C4"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31"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59" w:type="dxa"/>
            <w:gridSpan w:val="5"/>
            <w:shd w:val="clear" w:color="000000" w:fill="A8D08D"/>
            <w:hideMark/>
          </w:tcPr>
          <w:p w14:paraId="48EEA64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у 000 дин</w:t>
            </w:r>
          </w:p>
        </w:tc>
      </w:tr>
      <w:tr w:rsidR="00FB70CD" w:rsidRPr="00226F9D" w14:paraId="6E8BC3FF" w14:textId="77777777">
        <w:trPr>
          <w:trHeight w:val="20"/>
        </w:trPr>
        <w:tc>
          <w:tcPr>
            <w:tcW w:w="5240" w:type="dxa"/>
            <w:gridSpan w:val="3"/>
            <w:vMerge/>
            <w:hideMark/>
          </w:tcPr>
          <w:p w14:paraId="336AC7C8"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p>
        </w:tc>
        <w:tc>
          <w:tcPr>
            <w:tcW w:w="6095" w:type="dxa"/>
            <w:gridSpan w:val="4"/>
            <w:vMerge/>
            <w:hideMark/>
          </w:tcPr>
          <w:p w14:paraId="227EFFFA"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p>
        </w:tc>
        <w:tc>
          <w:tcPr>
            <w:tcW w:w="851" w:type="dxa"/>
            <w:shd w:val="clear" w:color="000000" w:fill="A8D08D"/>
            <w:hideMark/>
          </w:tcPr>
          <w:p w14:paraId="7D2ED5C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A8D08D"/>
            <w:hideMark/>
          </w:tcPr>
          <w:p w14:paraId="08CB7FA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A8D08D"/>
            <w:hideMark/>
          </w:tcPr>
          <w:p w14:paraId="01ED974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000000" w:fill="A8D08D"/>
            <w:hideMark/>
          </w:tcPr>
          <w:p w14:paraId="12D0E4D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000000" w:fill="A8D08D"/>
            <w:hideMark/>
          </w:tcPr>
          <w:p w14:paraId="72E8F85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434BCF17" w14:textId="77777777">
        <w:trPr>
          <w:trHeight w:val="24"/>
        </w:trPr>
        <w:tc>
          <w:tcPr>
            <w:tcW w:w="5240" w:type="dxa"/>
            <w:gridSpan w:val="3"/>
            <w:shd w:val="clear" w:color="000000" w:fill="FFFFFF"/>
            <w:hideMark/>
          </w:tcPr>
          <w:p w14:paraId="02EAF5D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000000" w:fill="FFFFFF"/>
            <w:hideMark/>
          </w:tcPr>
          <w:p w14:paraId="0AE6EC3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hideMark/>
          </w:tcPr>
          <w:p w14:paraId="5801A88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6.310</w:t>
            </w:r>
          </w:p>
        </w:tc>
        <w:tc>
          <w:tcPr>
            <w:tcW w:w="850" w:type="dxa"/>
            <w:shd w:val="clear" w:color="000000" w:fill="FFFFFF"/>
            <w:hideMark/>
          </w:tcPr>
          <w:p w14:paraId="52ABB8C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41.529,4</w:t>
            </w:r>
          </w:p>
        </w:tc>
        <w:tc>
          <w:tcPr>
            <w:tcW w:w="851" w:type="dxa"/>
            <w:shd w:val="clear" w:color="000000" w:fill="FFFFFF"/>
            <w:hideMark/>
          </w:tcPr>
          <w:p w14:paraId="20DD52A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20.605,1</w:t>
            </w:r>
          </w:p>
        </w:tc>
        <w:tc>
          <w:tcPr>
            <w:tcW w:w="866" w:type="dxa"/>
            <w:shd w:val="clear" w:color="000000" w:fill="FFFFFF"/>
            <w:hideMark/>
          </w:tcPr>
          <w:p w14:paraId="65B7F99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c>
          <w:tcPr>
            <w:tcW w:w="941" w:type="dxa"/>
            <w:shd w:val="clear" w:color="000000" w:fill="FFFFFF"/>
            <w:hideMark/>
          </w:tcPr>
          <w:p w14:paraId="5DEF603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0</w:t>
            </w:r>
          </w:p>
        </w:tc>
      </w:tr>
      <w:tr w:rsidR="00FB70CD" w:rsidRPr="00226F9D" w14:paraId="01DAC0A9" w14:textId="77777777">
        <w:trPr>
          <w:trHeight w:val="272"/>
        </w:trPr>
        <w:tc>
          <w:tcPr>
            <w:tcW w:w="2270" w:type="dxa"/>
            <w:shd w:val="clear" w:color="000000" w:fill="FFF2CC"/>
            <w:vAlign w:val="center"/>
            <w:hideMark/>
          </w:tcPr>
          <w:p w14:paraId="4E547168"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53" w:type="dxa"/>
            <w:shd w:val="clear" w:color="000000" w:fill="FFF2CC"/>
            <w:vAlign w:val="center"/>
            <w:hideMark/>
          </w:tcPr>
          <w:p w14:paraId="188F8AA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000000" w:fill="FFF2CC"/>
            <w:vAlign w:val="center"/>
            <w:hideMark/>
          </w:tcPr>
          <w:p w14:paraId="55C6394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Oргани и партнери у спровођењу активности</w:t>
            </w:r>
          </w:p>
        </w:tc>
        <w:tc>
          <w:tcPr>
            <w:tcW w:w="2693" w:type="dxa"/>
            <w:gridSpan w:val="2"/>
            <w:shd w:val="clear" w:color="000000" w:fill="FFF2CC"/>
            <w:vAlign w:val="center"/>
            <w:hideMark/>
          </w:tcPr>
          <w:p w14:paraId="308F224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000000" w:fill="FFF2CC"/>
            <w:vAlign w:val="center"/>
            <w:hideMark/>
          </w:tcPr>
          <w:p w14:paraId="7E22789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000000" w:fill="FFF2CC"/>
            <w:vAlign w:val="center"/>
            <w:hideMark/>
          </w:tcPr>
          <w:p w14:paraId="0B7A578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59" w:type="dxa"/>
            <w:gridSpan w:val="5"/>
            <w:shd w:val="clear" w:color="000000" w:fill="FFF2CC"/>
            <w:vAlign w:val="center"/>
            <w:hideMark/>
          </w:tcPr>
          <w:p w14:paraId="6F7BF7B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по изворима у 000 дин</w:t>
            </w:r>
          </w:p>
        </w:tc>
      </w:tr>
      <w:tr w:rsidR="00FB70CD" w:rsidRPr="00226F9D" w14:paraId="0C9A799D" w14:textId="77777777">
        <w:trPr>
          <w:trHeight w:val="24"/>
        </w:trPr>
        <w:tc>
          <w:tcPr>
            <w:tcW w:w="2270" w:type="dxa"/>
            <w:shd w:val="clear" w:color="000000" w:fill="FFF2CC"/>
            <w:hideMark/>
          </w:tcPr>
          <w:p w14:paraId="401DC81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553" w:type="dxa"/>
            <w:shd w:val="clear" w:color="000000" w:fill="FFF2CC"/>
            <w:hideMark/>
          </w:tcPr>
          <w:p w14:paraId="5191289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417" w:type="dxa"/>
            <w:shd w:val="clear" w:color="000000" w:fill="FFF2CC"/>
            <w:hideMark/>
          </w:tcPr>
          <w:p w14:paraId="48D00A3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693" w:type="dxa"/>
            <w:gridSpan w:val="2"/>
            <w:shd w:val="clear" w:color="000000" w:fill="FFF2CC"/>
            <w:hideMark/>
          </w:tcPr>
          <w:p w14:paraId="7024D17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127" w:type="dxa"/>
            <w:shd w:val="clear" w:color="000000" w:fill="FFF2CC"/>
            <w:hideMark/>
          </w:tcPr>
          <w:p w14:paraId="4F85D618"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275" w:type="dxa"/>
            <w:shd w:val="clear" w:color="000000" w:fill="FFF2CC"/>
            <w:hideMark/>
          </w:tcPr>
          <w:p w14:paraId="5C733234"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851" w:type="dxa"/>
            <w:shd w:val="clear" w:color="000000" w:fill="FFF2CC"/>
            <w:hideMark/>
          </w:tcPr>
          <w:p w14:paraId="4A59ECC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FFF2CC"/>
            <w:hideMark/>
          </w:tcPr>
          <w:p w14:paraId="76DD59B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FFF2CC"/>
            <w:hideMark/>
          </w:tcPr>
          <w:p w14:paraId="24C8CAD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66" w:type="dxa"/>
            <w:shd w:val="clear" w:color="000000" w:fill="FFF2CC"/>
            <w:hideMark/>
          </w:tcPr>
          <w:p w14:paraId="461AFE9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41" w:type="dxa"/>
            <w:shd w:val="clear" w:color="000000" w:fill="FFF2CC"/>
            <w:hideMark/>
          </w:tcPr>
          <w:p w14:paraId="14A4AD5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746F130D" w14:textId="77777777">
        <w:trPr>
          <w:trHeight w:val="1670"/>
        </w:trPr>
        <w:tc>
          <w:tcPr>
            <w:tcW w:w="2270" w:type="dxa"/>
            <w:hideMark/>
          </w:tcPr>
          <w:p w14:paraId="1D38267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3.5.1. Спровођење 50 пакета стручне подршке за унапређење капацитета ЛС за управљање пројектима и кохезиону политику ЕУ и за спровођење секторских политика које су повезане са процесом европских интеграција.</w:t>
            </w:r>
          </w:p>
        </w:tc>
        <w:tc>
          <w:tcPr>
            <w:tcW w:w="1553" w:type="dxa"/>
            <w:shd w:val="clear" w:color="000000" w:fill="FFFFFF"/>
            <w:hideMark/>
          </w:tcPr>
          <w:p w14:paraId="0E27B5E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000000" w:fill="FFFFFF"/>
            <w:hideMark/>
          </w:tcPr>
          <w:p w14:paraId="247A84F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 МЕИ</w:t>
            </w:r>
          </w:p>
        </w:tc>
        <w:tc>
          <w:tcPr>
            <w:tcW w:w="2693" w:type="dxa"/>
            <w:gridSpan w:val="2"/>
            <w:hideMark/>
          </w:tcPr>
          <w:p w14:paraId="0B4B98A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2027. - IV квартал 2028.</w:t>
            </w:r>
          </w:p>
        </w:tc>
        <w:tc>
          <w:tcPr>
            <w:tcW w:w="2127" w:type="dxa"/>
            <w:hideMark/>
          </w:tcPr>
          <w:p w14:paraId="6E2B01F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СКГО – ЕУ ХРМ 3</w:t>
            </w:r>
          </w:p>
        </w:tc>
        <w:tc>
          <w:tcPr>
            <w:tcW w:w="1275" w:type="dxa"/>
            <w:hideMark/>
          </w:tcPr>
          <w:p w14:paraId="02F8859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132A496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hideMark/>
          </w:tcPr>
          <w:p w14:paraId="584FA45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36,412</w:t>
            </w:r>
          </w:p>
        </w:tc>
        <w:tc>
          <w:tcPr>
            <w:tcW w:w="851" w:type="dxa"/>
            <w:hideMark/>
          </w:tcPr>
          <w:p w14:paraId="0260112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17,924</w:t>
            </w:r>
          </w:p>
        </w:tc>
        <w:tc>
          <w:tcPr>
            <w:tcW w:w="866" w:type="dxa"/>
            <w:hideMark/>
          </w:tcPr>
          <w:p w14:paraId="3A7F729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465CE2A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6B3E07C0" w14:textId="77777777">
        <w:trPr>
          <w:trHeight w:val="357"/>
        </w:trPr>
        <w:tc>
          <w:tcPr>
            <w:tcW w:w="2270" w:type="dxa"/>
            <w:hideMark/>
          </w:tcPr>
          <w:p w14:paraId="643ACE6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3.5.2. Обука запослених у ЈЛС и РРА за припрему пројеката за фондове Европске уније (четири регионалне радионице)</w:t>
            </w:r>
          </w:p>
        </w:tc>
        <w:tc>
          <w:tcPr>
            <w:tcW w:w="1553" w:type="dxa"/>
            <w:hideMark/>
          </w:tcPr>
          <w:p w14:paraId="3F0C7EC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МЕИ</w:t>
            </w:r>
          </w:p>
        </w:tc>
        <w:tc>
          <w:tcPr>
            <w:tcW w:w="1417" w:type="dxa"/>
            <w:hideMark/>
          </w:tcPr>
          <w:p w14:paraId="5D67CDA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СКГО</w:t>
            </w:r>
          </w:p>
        </w:tc>
        <w:tc>
          <w:tcPr>
            <w:tcW w:w="2693" w:type="dxa"/>
            <w:gridSpan w:val="2"/>
            <w:hideMark/>
          </w:tcPr>
          <w:p w14:paraId="7249CFE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2028.</w:t>
            </w:r>
          </w:p>
        </w:tc>
        <w:tc>
          <w:tcPr>
            <w:tcW w:w="2127" w:type="dxa"/>
            <w:hideMark/>
          </w:tcPr>
          <w:p w14:paraId="14B9559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СКГО-ЕУ (ЕУ Интегра)</w:t>
            </w:r>
          </w:p>
        </w:tc>
        <w:tc>
          <w:tcPr>
            <w:tcW w:w="1275" w:type="dxa"/>
            <w:hideMark/>
          </w:tcPr>
          <w:p w14:paraId="2514593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18AE8B8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1.452,6</w:t>
            </w:r>
          </w:p>
        </w:tc>
        <w:tc>
          <w:tcPr>
            <w:tcW w:w="850" w:type="dxa"/>
            <w:hideMark/>
          </w:tcPr>
          <w:p w14:paraId="7B2AEAD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hideMark/>
          </w:tcPr>
          <w:p w14:paraId="38803A8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hideMark/>
          </w:tcPr>
          <w:p w14:paraId="2A5259F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hideMark/>
          </w:tcPr>
          <w:p w14:paraId="3452E59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718DA13B" w14:textId="77777777">
        <w:trPr>
          <w:trHeight w:val="138"/>
        </w:trPr>
        <w:tc>
          <w:tcPr>
            <w:tcW w:w="2270" w:type="dxa"/>
            <w:tcBorders>
              <w:bottom w:val="single" w:sz="4" w:space="0" w:color="auto"/>
            </w:tcBorders>
            <w:hideMark/>
          </w:tcPr>
          <w:p w14:paraId="45BC384D"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3.5.3. Размена знања о имплементацији пројеката заснованих на територијалном приступу Европске уније (две регионалне радионице)</w:t>
            </w:r>
          </w:p>
        </w:tc>
        <w:tc>
          <w:tcPr>
            <w:tcW w:w="1553" w:type="dxa"/>
            <w:tcBorders>
              <w:bottom w:val="single" w:sz="4" w:space="0" w:color="auto"/>
            </w:tcBorders>
            <w:hideMark/>
          </w:tcPr>
          <w:p w14:paraId="60C8BCD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МЕИ</w:t>
            </w:r>
          </w:p>
        </w:tc>
        <w:tc>
          <w:tcPr>
            <w:tcW w:w="1417" w:type="dxa"/>
            <w:tcBorders>
              <w:bottom w:val="single" w:sz="4" w:space="0" w:color="auto"/>
            </w:tcBorders>
            <w:hideMark/>
          </w:tcPr>
          <w:p w14:paraId="10022A6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СКГО</w:t>
            </w:r>
          </w:p>
        </w:tc>
        <w:tc>
          <w:tcPr>
            <w:tcW w:w="2693" w:type="dxa"/>
            <w:gridSpan w:val="2"/>
            <w:tcBorders>
              <w:bottom w:val="single" w:sz="4" w:space="0" w:color="auto"/>
            </w:tcBorders>
            <w:hideMark/>
          </w:tcPr>
          <w:p w14:paraId="3E225DA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 IV квартал 2028. </w:t>
            </w:r>
          </w:p>
        </w:tc>
        <w:tc>
          <w:tcPr>
            <w:tcW w:w="2127" w:type="dxa"/>
            <w:tcBorders>
              <w:bottom w:val="single" w:sz="4" w:space="0" w:color="auto"/>
            </w:tcBorders>
            <w:hideMark/>
          </w:tcPr>
          <w:p w14:paraId="476FC98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СКГО-ЕУ (ЕУ Интегра)</w:t>
            </w:r>
          </w:p>
        </w:tc>
        <w:tc>
          <w:tcPr>
            <w:tcW w:w="1275" w:type="dxa"/>
            <w:tcBorders>
              <w:bottom w:val="single" w:sz="4" w:space="0" w:color="auto"/>
            </w:tcBorders>
            <w:hideMark/>
          </w:tcPr>
          <w:p w14:paraId="26921AA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tcBorders>
              <w:bottom w:val="single" w:sz="4" w:space="0" w:color="auto"/>
            </w:tcBorders>
            <w:noWrap/>
            <w:hideMark/>
          </w:tcPr>
          <w:p w14:paraId="4E163D4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1.172,1</w:t>
            </w:r>
          </w:p>
        </w:tc>
        <w:tc>
          <w:tcPr>
            <w:tcW w:w="850" w:type="dxa"/>
            <w:tcBorders>
              <w:bottom w:val="single" w:sz="4" w:space="0" w:color="auto"/>
            </w:tcBorders>
            <w:noWrap/>
            <w:hideMark/>
          </w:tcPr>
          <w:p w14:paraId="4638E1B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1.172,1</w:t>
            </w:r>
          </w:p>
        </w:tc>
        <w:tc>
          <w:tcPr>
            <w:tcW w:w="851" w:type="dxa"/>
            <w:tcBorders>
              <w:bottom w:val="single" w:sz="4" w:space="0" w:color="auto"/>
            </w:tcBorders>
            <w:hideMark/>
          </w:tcPr>
          <w:p w14:paraId="0F383A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66" w:type="dxa"/>
            <w:tcBorders>
              <w:bottom w:val="single" w:sz="4" w:space="0" w:color="auto"/>
            </w:tcBorders>
            <w:hideMark/>
          </w:tcPr>
          <w:p w14:paraId="7B24F36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tcBorders>
              <w:bottom w:val="single" w:sz="4" w:space="0" w:color="auto"/>
            </w:tcBorders>
            <w:hideMark/>
          </w:tcPr>
          <w:p w14:paraId="539AB7E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bl>
    <w:p w14:paraId="30625B8B" w14:textId="6685F345" w:rsidR="007E6EB3" w:rsidRPr="00226F9D" w:rsidRDefault="007E6EB3" w:rsidP="005B0999">
      <w:pPr>
        <w:spacing w:after="0" w:line="240" w:lineRule="auto"/>
        <w:rPr>
          <w:rFonts w:ascii="Times New Roman" w:hAnsi="Times New Roman" w:cs="Times New Roman"/>
          <w:lang w:val="sr-Cyrl-RS"/>
        </w:rPr>
      </w:pPr>
    </w:p>
    <w:tbl>
      <w:tblPr>
        <w:tblW w:w="15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70"/>
        <w:gridCol w:w="1553"/>
        <w:gridCol w:w="1417"/>
        <w:gridCol w:w="2693"/>
        <w:gridCol w:w="2127"/>
        <w:gridCol w:w="1275"/>
        <w:gridCol w:w="851"/>
        <w:gridCol w:w="850"/>
        <w:gridCol w:w="851"/>
        <w:gridCol w:w="866"/>
        <w:gridCol w:w="941"/>
      </w:tblGrid>
      <w:tr w:rsidR="00FB70CD" w:rsidRPr="00226F9D" w14:paraId="79A5E5BD" w14:textId="77777777">
        <w:trPr>
          <w:trHeight w:val="24"/>
        </w:trPr>
        <w:tc>
          <w:tcPr>
            <w:tcW w:w="2270" w:type="dxa"/>
            <w:tcBorders>
              <w:top w:val="single" w:sz="4" w:space="0" w:color="auto"/>
              <w:left w:val="single" w:sz="4" w:space="0" w:color="auto"/>
              <w:bottom w:val="single" w:sz="4" w:space="0" w:color="auto"/>
              <w:right w:val="single" w:sz="4" w:space="0" w:color="auto"/>
            </w:tcBorders>
            <w:hideMark/>
          </w:tcPr>
          <w:p w14:paraId="75C57C64"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 xml:space="preserve">3.5.4. Подршка ЈЛС и РРА за изградњу капацитета за успостављање корелације између територијалних стратегија за имплементацију кохезионе политке ЕУ и локалног система планирања и буџетирања (саветодавна и менторска подршка и </w:t>
            </w:r>
            <w:r w:rsidRPr="00226F9D">
              <w:rPr>
                <w:rFonts w:ascii="Times New Roman" w:eastAsia="Times New Roman" w:hAnsi="Times New Roman" w:cs="Times New Roman"/>
                <w:color w:val="000000"/>
                <w:kern w:val="0"/>
                <w:sz w:val="16"/>
                <w:szCs w:val="16"/>
                <w:lang w:val="sr-Cyrl-RS" w:eastAsia="en-GB"/>
                <w14:ligatures w14:val="none"/>
              </w:rPr>
              <w:lastRenderedPageBreak/>
              <w:t xml:space="preserve">директна подршка за пилот групу ЈЛС и РРА) </w:t>
            </w:r>
          </w:p>
        </w:tc>
        <w:tc>
          <w:tcPr>
            <w:tcW w:w="1553" w:type="dxa"/>
            <w:tcBorders>
              <w:top w:val="single" w:sz="4" w:space="0" w:color="auto"/>
              <w:left w:val="single" w:sz="4" w:space="0" w:color="auto"/>
              <w:bottom w:val="single" w:sz="4" w:space="0" w:color="auto"/>
              <w:right w:val="single" w:sz="4" w:space="0" w:color="auto"/>
            </w:tcBorders>
            <w:hideMark/>
          </w:tcPr>
          <w:p w14:paraId="3442082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lastRenderedPageBreak/>
              <w:t>МЕИ</w:t>
            </w:r>
          </w:p>
        </w:tc>
        <w:tc>
          <w:tcPr>
            <w:tcW w:w="1417" w:type="dxa"/>
            <w:tcBorders>
              <w:top w:val="single" w:sz="4" w:space="0" w:color="auto"/>
              <w:left w:val="single" w:sz="4" w:space="0" w:color="auto"/>
              <w:bottom w:val="single" w:sz="4" w:space="0" w:color="auto"/>
              <w:right w:val="single" w:sz="4" w:space="0" w:color="auto"/>
            </w:tcBorders>
            <w:hideMark/>
          </w:tcPr>
          <w:p w14:paraId="643FBBB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СКГО</w:t>
            </w:r>
          </w:p>
        </w:tc>
        <w:tc>
          <w:tcPr>
            <w:tcW w:w="2693" w:type="dxa"/>
            <w:tcBorders>
              <w:top w:val="single" w:sz="4" w:space="0" w:color="auto"/>
              <w:left w:val="single" w:sz="4" w:space="0" w:color="auto"/>
              <w:bottom w:val="single" w:sz="4" w:space="0" w:color="auto"/>
              <w:right w:val="single" w:sz="4" w:space="0" w:color="auto"/>
            </w:tcBorders>
            <w:hideMark/>
          </w:tcPr>
          <w:p w14:paraId="7C11963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IV квартал 2028. </w:t>
            </w:r>
          </w:p>
        </w:tc>
        <w:tc>
          <w:tcPr>
            <w:tcW w:w="2127" w:type="dxa"/>
            <w:tcBorders>
              <w:top w:val="single" w:sz="4" w:space="0" w:color="auto"/>
              <w:left w:val="single" w:sz="4" w:space="0" w:color="auto"/>
              <w:bottom w:val="single" w:sz="4" w:space="0" w:color="auto"/>
              <w:right w:val="single" w:sz="4" w:space="0" w:color="auto"/>
            </w:tcBorders>
            <w:hideMark/>
          </w:tcPr>
          <w:p w14:paraId="49BC153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Подршка из донације: СКГО-ЕУ (ЕУ Интегра)</w:t>
            </w:r>
          </w:p>
        </w:tc>
        <w:tc>
          <w:tcPr>
            <w:tcW w:w="1275" w:type="dxa"/>
            <w:tcBorders>
              <w:top w:val="single" w:sz="4" w:space="0" w:color="auto"/>
              <w:left w:val="single" w:sz="4" w:space="0" w:color="auto"/>
              <w:bottom w:val="single" w:sz="4" w:space="0" w:color="auto"/>
              <w:right w:val="single" w:sz="4" w:space="0" w:color="auto"/>
            </w:tcBorders>
            <w:hideMark/>
          </w:tcPr>
          <w:p w14:paraId="4F87C8F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tcBorders>
              <w:top w:val="single" w:sz="4" w:space="0" w:color="auto"/>
              <w:left w:val="single" w:sz="4" w:space="0" w:color="auto"/>
              <w:bottom w:val="single" w:sz="4" w:space="0" w:color="auto"/>
              <w:right w:val="single" w:sz="4" w:space="0" w:color="auto"/>
            </w:tcBorders>
            <w:noWrap/>
            <w:hideMark/>
          </w:tcPr>
          <w:p w14:paraId="27354C4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2.905,3</w:t>
            </w:r>
          </w:p>
        </w:tc>
        <w:tc>
          <w:tcPr>
            <w:tcW w:w="850" w:type="dxa"/>
            <w:tcBorders>
              <w:top w:val="single" w:sz="4" w:space="0" w:color="auto"/>
              <w:left w:val="single" w:sz="4" w:space="0" w:color="auto"/>
              <w:bottom w:val="single" w:sz="4" w:space="0" w:color="auto"/>
              <w:right w:val="single" w:sz="4" w:space="0" w:color="auto"/>
            </w:tcBorders>
            <w:noWrap/>
            <w:hideMark/>
          </w:tcPr>
          <w:p w14:paraId="42BB06A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2.905,3</w:t>
            </w:r>
          </w:p>
        </w:tc>
        <w:tc>
          <w:tcPr>
            <w:tcW w:w="851" w:type="dxa"/>
            <w:tcBorders>
              <w:top w:val="single" w:sz="4" w:space="0" w:color="auto"/>
              <w:left w:val="single" w:sz="4" w:space="0" w:color="auto"/>
              <w:bottom w:val="single" w:sz="4" w:space="0" w:color="auto"/>
              <w:right w:val="single" w:sz="4" w:space="0" w:color="auto"/>
            </w:tcBorders>
            <w:hideMark/>
          </w:tcPr>
          <w:p w14:paraId="1BFAC82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1.641,1</w:t>
            </w:r>
          </w:p>
        </w:tc>
        <w:tc>
          <w:tcPr>
            <w:tcW w:w="866" w:type="dxa"/>
            <w:tcBorders>
              <w:top w:val="single" w:sz="4" w:space="0" w:color="auto"/>
              <w:left w:val="single" w:sz="4" w:space="0" w:color="auto"/>
              <w:bottom w:val="single" w:sz="4" w:space="0" w:color="auto"/>
              <w:right w:val="single" w:sz="4" w:space="0" w:color="auto"/>
            </w:tcBorders>
            <w:hideMark/>
          </w:tcPr>
          <w:p w14:paraId="7EDD3C5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tcBorders>
              <w:top w:val="single" w:sz="4" w:space="0" w:color="auto"/>
              <w:left w:val="single" w:sz="4" w:space="0" w:color="auto"/>
              <w:bottom w:val="single" w:sz="4" w:space="0" w:color="auto"/>
              <w:right w:val="single" w:sz="4" w:space="0" w:color="auto"/>
            </w:tcBorders>
            <w:hideMark/>
          </w:tcPr>
          <w:p w14:paraId="0860839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5B73192A" w14:textId="77777777">
        <w:trPr>
          <w:trHeight w:val="696"/>
        </w:trPr>
        <w:tc>
          <w:tcPr>
            <w:tcW w:w="2270" w:type="dxa"/>
            <w:tcBorders>
              <w:top w:val="single" w:sz="4" w:space="0" w:color="auto"/>
              <w:left w:val="single" w:sz="4" w:space="0" w:color="auto"/>
              <w:bottom w:val="single" w:sz="4" w:space="0" w:color="auto"/>
              <w:right w:val="single" w:sz="4" w:space="0" w:color="auto"/>
            </w:tcBorders>
            <w:shd w:val="clear" w:color="000000" w:fill="FFFFFF"/>
            <w:hideMark/>
          </w:tcPr>
          <w:p w14:paraId="6C6B7D5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3.5.5. Спровођење програма за изградњу капацитета за партнере и кориснике за кохезиону политику</w:t>
            </w:r>
          </w:p>
        </w:tc>
        <w:tc>
          <w:tcPr>
            <w:tcW w:w="1553" w:type="dxa"/>
            <w:tcBorders>
              <w:top w:val="single" w:sz="4" w:space="0" w:color="auto"/>
              <w:left w:val="single" w:sz="4" w:space="0" w:color="auto"/>
              <w:bottom w:val="single" w:sz="4" w:space="0" w:color="auto"/>
              <w:right w:val="single" w:sz="4" w:space="0" w:color="auto"/>
            </w:tcBorders>
            <w:hideMark/>
          </w:tcPr>
          <w:p w14:paraId="72B4723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МЕИ</w:t>
            </w:r>
          </w:p>
        </w:tc>
        <w:tc>
          <w:tcPr>
            <w:tcW w:w="1417" w:type="dxa"/>
            <w:tcBorders>
              <w:top w:val="single" w:sz="4" w:space="0" w:color="auto"/>
              <w:left w:val="single" w:sz="4" w:space="0" w:color="auto"/>
              <w:bottom w:val="single" w:sz="4" w:space="0" w:color="auto"/>
              <w:right w:val="single" w:sz="4" w:space="0" w:color="auto"/>
            </w:tcBorders>
            <w:hideMark/>
          </w:tcPr>
          <w:p w14:paraId="0F8E41F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 НАЈУ, СКГО, РРА</w:t>
            </w:r>
          </w:p>
        </w:tc>
        <w:tc>
          <w:tcPr>
            <w:tcW w:w="2693" w:type="dxa"/>
            <w:tcBorders>
              <w:top w:val="single" w:sz="4" w:space="0" w:color="auto"/>
              <w:left w:val="single" w:sz="4" w:space="0" w:color="auto"/>
              <w:bottom w:val="single" w:sz="4" w:space="0" w:color="auto"/>
              <w:right w:val="single" w:sz="4" w:space="0" w:color="auto"/>
            </w:tcBorders>
            <w:hideMark/>
          </w:tcPr>
          <w:p w14:paraId="5F86153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 IV квартал 2028. </w:t>
            </w:r>
          </w:p>
        </w:tc>
        <w:tc>
          <w:tcPr>
            <w:tcW w:w="2127" w:type="dxa"/>
            <w:tcBorders>
              <w:top w:val="single" w:sz="4" w:space="0" w:color="auto"/>
              <w:left w:val="single" w:sz="4" w:space="0" w:color="auto"/>
              <w:bottom w:val="single" w:sz="4" w:space="0" w:color="auto"/>
              <w:right w:val="single" w:sz="4" w:space="0" w:color="auto"/>
            </w:tcBorders>
            <w:hideMark/>
          </w:tcPr>
          <w:p w14:paraId="35E8F9C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Подршка из донације: ИПА 2024-Подршка ЕУ Републици Србији у ефективном спровођењу кохезионе политике </w:t>
            </w:r>
          </w:p>
        </w:tc>
        <w:tc>
          <w:tcPr>
            <w:tcW w:w="1275" w:type="dxa"/>
            <w:tcBorders>
              <w:top w:val="single" w:sz="4" w:space="0" w:color="auto"/>
              <w:left w:val="single" w:sz="4" w:space="0" w:color="auto"/>
              <w:bottom w:val="single" w:sz="4" w:space="0" w:color="auto"/>
              <w:right w:val="single" w:sz="4" w:space="0" w:color="auto"/>
            </w:tcBorders>
            <w:hideMark/>
          </w:tcPr>
          <w:p w14:paraId="45C351D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tcBorders>
              <w:top w:val="single" w:sz="4" w:space="0" w:color="auto"/>
              <w:left w:val="single" w:sz="4" w:space="0" w:color="auto"/>
              <w:bottom w:val="single" w:sz="4" w:space="0" w:color="auto"/>
              <w:right w:val="single" w:sz="4" w:space="0" w:color="auto"/>
            </w:tcBorders>
            <w:noWrap/>
            <w:hideMark/>
          </w:tcPr>
          <w:p w14:paraId="712752F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780</w:t>
            </w:r>
          </w:p>
        </w:tc>
        <w:tc>
          <w:tcPr>
            <w:tcW w:w="850" w:type="dxa"/>
            <w:tcBorders>
              <w:top w:val="single" w:sz="4" w:space="0" w:color="auto"/>
              <w:left w:val="single" w:sz="4" w:space="0" w:color="auto"/>
              <w:bottom w:val="single" w:sz="4" w:space="0" w:color="auto"/>
              <w:right w:val="single" w:sz="4" w:space="0" w:color="auto"/>
            </w:tcBorders>
            <w:noWrap/>
            <w:hideMark/>
          </w:tcPr>
          <w:p w14:paraId="0CA6878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1.040</w:t>
            </w:r>
          </w:p>
        </w:tc>
        <w:tc>
          <w:tcPr>
            <w:tcW w:w="851" w:type="dxa"/>
            <w:tcBorders>
              <w:top w:val="single" w:sz="4" w:space="0" w:color="auto"/>
              <w:left w:val="single" w:sz="4" w:space="0" w:color="auto"/>
              <w:bottom w:val="single" w:sz="4" w:space="0" w:color="auto"/>
              <w:right w:val="single" w:sz="4" w:space="0" w:color="auto"/>
            </w:tcBorders>
            <w:noWrap/>
            <w:hideMark/>
          </w:tcPr>
          <w:p w14:paraId="6BA9152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1.040</w:t>
            </w:r>
          </w:p>
        </w:tc>
        <w:tc>
          <w:tcPr>
            <w:tcW w:w="866" w:type="dxa"/>
            <w:tcBorders>
              <w:top w:val="single" w:sz="4" w:space="0" w:color="auto"/>
              <w:left w:val="single" w:sz="4" w:space="0" w:color="auto"/>
              <w:bottom w:val="single" w:sz="4" w:space="0" w:color="auto"/>
              <w:right w:val="single" w:sz="4" w:space="0" w:color="auto"/>
            </w:tcBorders>
            <w:hideMark/>
          </w:tcPr>
          <w:p w14:paraId="509CBF2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41" w:type="dxa"/>
            <w:tcBorders>
              <w:top w:val="single" w:sz="4" w:space="0" w:color="auto"/>
              <w:left w:val="single" w:sz="4" w:space="0" w:color="auto"/>
              <w:bottom w:val="single" w:sz="4" w:space="0" w:color="auto"/>
              <w:right w:val="single" w:sz="4" w:space="0" w:color="auto"/>
            </w:tcBorders>
            <w:hideMark/>
          </w:tcPr>
          <w:p w14:paraId="285EE48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38CF064E" w14:textId="77777777">
        <w:trPr>
          <w:trHeight w:val="14"/>
        </w:trPr>
        <w:tc>
          <w:tcPr>
            <w:tcW w:w="15694" w:type="dxa"/>
            <w:gridSpan w:val="11"/>
            <w:tcBorders>
              <w:top w:val="single" w:sz="4" w:space="0" w:color="auto"/>
              <w:left w:val="single" w:sz="4" w:space="0" w:color="auto"/>
              <w:bottom w:val="single" w:sz="4" w:space="0" w:color="auto"/>
              <w:right w:val="single" w:sz="4" w:space="0" w:color="auto"/>
            </w:tcBorders>
            <w:shd w:val="clear" w:color="000000" w:fill="FFFFFF"/>
          </w:tcPr>
          <w:p w14:paraId="69994A94"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средства нису обезбеђена у тренутку израде АП</w:t>
            </w:r>
          </w:p>
        </w:tc>
      </w:tr>
    </w:tbl>
    <w:p w14:paraId="79319F72" w14:textId="77777777" w:rsidR="00FB70CD" w:rsidRPr="00226F9D" w:rsidRDefault="00FB70CD" w:rsidP="005B0999">
      <w:pPr>
        <w:spacing w:after="0" w:line="240" w:lineRule="auto"/>
        <w:rPr>
          <w:rFonts w:ascii="Times New Roman" w:hAnsi="Times New Roman" w:cs="Times New Roman"/>
        </w:rPr>
      </w:pPr>
    </w:p>
    <w:p w14:paraId="7FBED2B2" w14:textId="77777777" w:rsidR="00FB70CD" w:rsidRPr="00226F9D" w:rsidRDefault="00FB70CD" w:rsidP="005B0999">
      <w:pPr>
        <w:spacing w:after="0" w:line="240" w:lineRule="auto"/>
        <w:rPr>
          <w:rFonts w:ascii="Times New Roman" w:hAnsi="Times New Roman" w:cs="Times New Roman"/>
        </w:rPr>
      </w:pPr>
      <w:r w:rsidRPr="00226F9D">
        <w:rPr>
          <w:rFonts w:ascii="Times New Roman" w:hAnsi="Times New Roman" w:cs="Times New Roman"/>
        </w:rPr>
        <w:br w:type="page"/>
      </w:r>
    </w:p>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63"/>
        <w:gridCol w:w="1560"/>
        <w:gridCol w:w="1417"/>
        <w:gridCol w:w="1134"/>
        <w:gridCol w:w="1559"/>
        <w:gridCol w:w="2127"/>
        <w:gridCol w:w="1275"/>
        <w:gridCol w:w="851"/>
        <w:gridCol w:w="850"/>
        <w:gridCol w:w="851"/>
        <w:gridCol w:w="850"/>
        <w:gridCol w:w="969"/>
      </w:tblGrid>
      <w:tr w:rsidR="00FB70CD" w:rsidRPr="00226F9D" w14:paraId="34C099A4" w14:textId="77777777">
        <w:trPr>
          <w:trHeight w:val="24"/>
        </w:trPr>
        <w:tc>
          <w:tcPr>
            <w:tcW w:w="15706" w:type="dxa"/>
            <w:gridSpan w:val="12"/>
            <w:shd w:val="clear" w:color="000000" w:fill="C5E0B3"/>
            <w:noWrap/>
            <w:hideMark/>
          </w:tcPr>
          <w:p w14:paraId="56A5E14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lastRenderedPageBreak/>
              <w:t xml:space="preserve">Посебни циљ 4:  Унапређење квалитета и доступности услуга локалних органа управе, комуналних услуга и услуга јавних установа </w:t>
            </w:r>
          </w:p>
        </w:tc>
      </w:tr>
      <w:tr w:rsidR="00FB70CD" w:rsidRPr="00226F9D" w14:paraId="49AEAD6E" w14:textId="77777777">
        <w:trPr>
          <w:trHeight w:val="58"/>
        </w:trPr>
        <w:tc>
          <w:tcPr>
            <w:tcW w:w="15706" w:type="dxa"/>
            <w:gridSpan w:val="12"/>
            <w:shd w:val="clear" w:color="000000" w:fill="C5E0B3"/>
            <w:noWrap/>
            <w:hideMark/>
          </w:tcPr>
          <w:p w14:paraId="5BD30689"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Институција одговорна за праћење и контролу реализације: МДУЛС</w:t>
            </w:r>
          </w:p>
        </w:tc>
      </w:tr>
      <w:tr w:rsidR="00FB70CD" w:rsidRPr="00226F9D" w14:paraId="12B56588" w14:textId="77777777">
        <w:trPr>
          <w:trHeight w:val="175"/>
        </w:trPr>
        <w:tc>
          <w:tcPr>
            <w:tcW w:w="5240" w:type="dxa"/>
            <w:gridSpan w:val="3"/>
            <w:shd w:val="clear" w:color="000000" w:fill="D9D9D9"/>
            <w:noWrap/>
            <w:vAlign w:val="center"/>
            <w:hideMark/>
          </w:tcPr>
          <w:p w14:paraId="4D4031DF"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посебног циља (показатељ исхода)</w:t>
            </w:r>
          </w:p>
        </w:tc>
        <w:tc>
          <w:tcPr>
            <w:tcW w:w="1134" w:type="dxa"/>
            <w:shd w:val="clear" w:color="000000" w:fill="D9D9D9"/>
            <w:noWrap/>
            <w:vAlign w:val="center"/>
            <w:hideMark/>
          </w:tcPr>
          <w:p w14:paraId="32C61AD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000000" w:fill="D9D9D9"/>
            <w:noWrap/>
            <w:vAlign w:val="center"/>
            <w:hideMark/>
          </w:tcPr>
          <w:p w14:paraId="75009A5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D9D9D9"/>
            <w:noWrap/>
            <w:vAlign w:val="center"/>
            <w:hideMark/>
          </w:tcPr>
          <w:p w14:paraId="332E25E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000000" w:fill="D9D9D9"/>
            <w:noWrap/>
            <w:vAlign w:val="center"/>
            <w:hideMark/>
          </w:tcPr>
          <w:p w14:paraId="0C717D4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000000" w:fill="D9D9D9"/>
            <w:noWrap/>
            <w:vAlign w:val="center"/>
            <w:hideMark/>
          </w:tcPr>
          <w:p w14:paraId="78DF6BD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000000" w:fill="D9D9D9"/>
            <w:noWrap/>
            <w:vAlign w:val="center"/>
            <w:hideMark/>
          </w:tcPr>
          <w:p w14:paraId="2E385A7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D9D9D9"/>
            <w:noWrap/>
            <w:vAlign w:val="center"/>
            <w:hideMark/>
          </w:tcPr>
          <w:p w14:paraId="42F4495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50" w:type="dxa"/>
            <w:shd w:val="clear" w:color="000000" w:fill="D9D9D9"/>
            <w:noWrap/>
            <w:vAlign w:val="center"/>
            <w:hideMark/>
          </w:tcPr>
          <w:p w14:paraId="30AEB04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69" w:type="dxa"/>
            <w:shd w:val="clear" w:color="000000" w:fill="D9D9D9"/>
            <w:noWrap/>
            <w:vAlign w:val="center"/>
            <w:hideMark/>
          </w:tcPr>
          <w:p w14:paraId="38AE531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4D091ABB" w14:textId="77777777">
        <w:trPr>
          <w:trHeight w:val="24"/>
        </w:trPr>
        <w:tc>
          <w:tcPr>
            <w:tcW w:w="5240" w:type="dxa"/>
            <w:gridSpan w:val="3"/>
            <w:shd w:val="clear" w:color="000000" w:fill="FFFFFF"/>
            <w:noWrap/>
            <w:hideMark/>
          </w:tcPr>
          <w:p w14:paraId="5404C847" w14:textId="77777777" w:rsidR="00FB70CD" w:rsidRPr="00226F9D" w:rsidRDefault="00FB70CD" w:rsidP="005B0999">
            <w:pPr>
              <w:spacing w:after="0" w:line="240" w:lineRule="auto"/>
              <w:rPr>
                <w:rFonts w:ascii="Times New Roman" w:eastAsia="Times New Roman" w:hAnsi="Times New Roman" w:cs="Times New Roman"/>
                <w:i/>
                <w:iCs/>
                <w:color w:val="000000"/>
                <w:kern w:val="0"/>
                <w:sz w:val="16"/>
                <w:szCs w:val="16"/>
                <w:lang w:eastAsia="en-GB"/>
                <w14:ligatures w14:val="none"/>
              </w:rPr>
            </w:pPr>
            <w:r w:rsidRPr="00226F9D">
              <w:rPr>
                <w:rFonts w:ascii="Times New Roman" w:eastAsia="Times New Roman" w:hAnsi="Times New Roman" w:cs="Times New Roman"/>
                <w:i/>
                <w:iCs/>
                <w:color w:val="000000"/>
                <w:kern w:val="0"/>
                <w:sz w:val="16"/>
                <w:szCs w:val="16"/>
                <w:lang w:eastAsia="en-GB"/>
                <w14:ligatures w14:val="none"/>
              </w:rPr>
              <w:t xml:space="preserve">Ниво функција за које су ЈЛС преузеле одговорност </w:t>
            </w:r>
          </w:p>
        </w:tc>
        <w:tc>
          <w:tcPr>
            <w:tcW w:w="1134" w:type="dxa"/>
            <w:noWrap/>
            <w:hideMark/>
          </w:tcPr>
          <w:p w14:paraId="56843CA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Бод</w:t>
            </w:r>
          </w:p>
        </w:tc>
        <w:tc>
          <w:tcPr>
            <w:tcW w:w="1559" w:type="dxa"/>
            <w:shd w:val="clear" w:color="000000" w:fill="FFFFFF"/>
            <w:noWrap/>
            <w:hideMark/>
          </w:tcPr>
          <w:p w14:paraId="2A1701D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Анализа МДУЛС и СКГО</w:t>
            </w:r>
          </w:p>
        </w:tc>
        <w:tc>
          <w:tcPr>
            <w:tcW w:w="2127" w:type="dxa"/>
            <w:shd w:val="clear" w:color="000000" w:fill="FFFFFF"/>
            <w:noWrap/>
            <w:hideMark/>
          </w:tcPr>
          <w:p w14:paraId="4FADAF8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7,5</w:t>
            </w:r>
          </w:p>
        </w:tc>
        <w:tc>
          <w:tcPr>
            <w:tcW w:w="1275" w:type="dxa"/>
            <w:shd w:val="clear" w:color="000000" w:fill="FFFFFF"/>
            <w:noWrap/>
            <w:hideMark/>
          </w:tcPr>
          <w:p w14:paraId="5532B60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000000" w:fill="FFFFFF"/>
            <w:noWrap/>
            <w:hideMark/>
          </w:tcPr>
          <w:p w14:paraId="157D7C3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7,5</w:t>
            </w:r>
          </w:p>
        </w:tc>
        <w:tc>
          <w:tcPr>
            <w:tcW w:w="850" w:type="dxa"/>
            <w:shd w:val="clear" w:color="000000" w:fill="FFFFFF"/>
            <w:noWrap/>
            <w:hideMark/>
          </w:tcPr>
          <w:p w14:paraId="0A14004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7,5</w:t>
            </w:r>
          </w:p>
        </w:tc>
        <w:tc>
          <w:tcPr>
            <w:tcW w:w="851" w:type="dxa"/>
            <w:shd w:val="clear" w:color="000000" w:fill="FFFFFF"/>
            <w:noWrap/>
            <w:hideMark/>
          </w:tcPr>
          <w:p w14:paraId="3C5AC47C"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7,75</w:t>
            </w:r>
          </w:p>
        </w:tc>
        <w:tc>
          <w:tcPr>
            <w:tcW w:w="850" w:type="dxa"/>
            <w:noWrap/>
            <w:hideMark/>
          </w:tcPr>
          <w:p w14:paraId="0130A11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8</w:t>
            </w:r>
          </w:p>
        </w:tc>
        <w:tc>
          <w:tcPr>
            <w:tcW w:w="969" w:type="dxa"/>
            <w:shd w:val="clear" w:color="000000" w:fill="FFFFFF"/>
            <w:noWrap/>
            <w:hideMark/>
          </w:tcPr>
          <w:p w14:paraId="41A0B33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8,5</w:t>
            </w:r>
          </w:p>
        </w:tc>
      </w:tr>
      <w:tr w:rsidR="00FB70CD" w:rsidRPr="00226F9D" w14:paraId="57865C4C" w14:textId="77777777">
        <w:trPr>
          <w:trHeight w:val="320"/>
        </w:trPr>
        <w:tc>
          <w:tcPr>
            <w:tcW w:w="5240" w:type="dxa"/>
            <w:gridSpan w:val="3"/>
            <w:noWrap/>
            <w:hideMark/>
          </w:tcPr>
          <w:p w14:paraId="715348A1" w14:textId="77777777" w:rsidR="00FB70CD" w:rsidRPr="00226F9D" w:rsidRDefault="00FB70CD" w:rsidP="005B0999">
            <w:pPr>
              <w:spacing w:after="0" w:line="240" w:lineRule="auto"/>
              <w:rPr>
                <w:rFonts w:ascii="Times New Roman" w:eastAsia="Times New Roman" w:hAnsi="Times New Roman" w:cs="Times New Roman"/>
                <w:i/>
                <w:color w:val="000000"/>
                <w:kern w:val="0"/>
                <w:sz w:val="16"/>
                <w:szCs w:val="16"/>
                <w:lang w:eastAsia="en-GB"/>
                <w14:ligatures w14:val="none"/>
              </w:rPr>
            </w:pPr>
            <w:r w:rsidRPr="00226F9D">
              <w:rPr>
                <w:rFonts w:ascii="Times New Roman" w:eastAsia="Times New Roman" w:hAnsi="Times New Roman" w:cs="Times New Roman"/>
                <w:i/>
                <w:color w:val="000000"/>
                <w:kern w:val="0"/>
                <w:sz w:val="16"/>
                <w:szCs w:val="16"/>
                <w:lang w:eastAsia="en-GB"/>
                <w14:ligatures w14:val="none"/>
              </w:rPr>
              <w:t>Удео ЈЛС које су успоставиле међуопштинску сарадњу у укупном броју ЈЛС</w:t>
            </w:r>
          </w:p>
        </w:tc>
        <w:tc>
          <w:tcPr>
            <w:tcW w:w="1134" w:type="dxa"/>
            <w:noWrap/>
            <w:hideMark/>
          </w:tcPr>
          <w:p w14:paraId="23163A6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59" w:type="dxa"/>
            <w:noWrap/>
            <w:hideMark/>
          </w:tcPr>
          <w:p w14:paraId="26CA78A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МДУЛС</w:t>
            </w:r>
          </w:p>
        </w:tc>
        <w:tc>
          <w:tcPr>
            <w:tcW w:w="2127" w:type="dxa"/>
            <w:shd w:val="clear" w:color="000000" w:fill="FFFFFF"/>
            <w:noWrap/>
            <w:hideMark/>
          </w:tcPr>
          <w:p w14:paraId="40844BBB" w14:textId="02B0CD9E"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w:t>
            </w:r>
            <w:r w:rsidR="00AF39A3" w:rsidRPr="00226F9D">
              <w:rPr>
                <w:rFonts w:ascii="Times New Roman" w:eastAsia="Times New Roman" w:hAnsi="Times New Roman" w:cs="Times New Roman"/>
                <w:color w:val="000000"/>
                <w:kern w:val="0"/>
                <w:sz w:val="16"/>
                <w:szCs w:val="16"/>
                <w:lang w:val="sr-Cyrl-RS" w:eastAsia="en-GB"/>
                <w14:ligatures w14:val="none"/>
              </w:rPr>
              <w:t>2</w:t>
            </w:r>
            <w:r w:rsidRPr="00226F9D">
              <w:rPr>
                <w:rFonts w:ascii="Times New Roman" w:eastAsia="Times New Roman" w:hAnsi="Times New Roman" w:cs="Times New Roman"/>
                <w:color w:val="000000"/>
                <w:kern w:val="0"/>
                <w:sz w:val="16"/>
                <w:szCs w:val="16"/>
                <w:lang w:eastAsia="en-GB"/>
                <w14:ligatures w14:val="none"/>
              </w:rPr>
              <w:t>%</w:t>
            </w:r>
          </w:p>
        </w:tc>
        <w:tc>
          <w:tcPr>
            <w:tcW w:w="1275" w:type="dxa"/>
            <w:shd w:val="clear" w:color="000000" w:fill="FFFFFF"/>
            <w:noWrap/>
            <w:hideMark/>
          </w:tcPr>
          <w:p w14:paraId="2E5A1855" w14:textId="53CCDB86" w:rsidR="00FB70CD" w:rsidRPr="00226F9D" w:rsidRDefault="00AF39A3"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2025</w:t>
            </w:r>
          </w:p>
        </w:tc>
        <w:tc>
          <w:tcPr>
            <w:tcW w:w="851" w:type="dxa"/>
            <w:shd w:val="clear" w:color="000000" w:fill="FFFFFF"/>
            <w:noWrap/>
            <w:hideMark/>
          </w:tcPr>
          <w:p w14:paraId="51642EB9" w14:textId="750E7533"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w:t>
            </w:r>
            <w:r w:rsidR="008960E8" w:rsidRPr="00226F9D">
              <w:rPr>
                <w:rFonts w:ascii="Times New Roman" w:eastAsia="Times New Roman" w:hAnsi="Times New Roman" w:cs="Times New Roman"/>
                <w:color w:val="000000"/>
                <w:kern w:val="0"/>
                <w:sz w:val="16"/>
                <w:szCs w:val="16"/>
                <w:lang w:val="sr-Cyrl-RS" w:eastAsia="en-GB"/>
                <w14:ligatures w14:val="none"/>
              </w:rPr>
              <w:t>3</w:t>
            </w:r>
            <w:r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000000" w:fill="FFFFFF"/>
            <w:noWrap/>
            <w:hideMark/>
          </w:tcPr>
          <w:p w14:paraId="0B6151BE" w14:textId="46B32E59"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w:t>
            </w:r>
            <w:r w:rsidR="008960E8" w:rsidRPr="00226F9D">
              <w:rPr>
                <w:rFonts w:ascii="Times New Roman" w:eastAsia="Times New Roman" w:hAnsi="Times New Roman" w:cs="Times New Roman"/>
                <w:color w:val="000000"/>
                <w:kern w:val="0"/>
                <w:sz w:val="16"/>
                <w:szCs w:val="16"/>
                <w:lang w:val="sr-Cyrl-RS" w:eastAsia="en-GB"/>
                <w14:ligatures w14:val="none"/>
              </w:rPr>
              <w:t>4</w:t>
            </w:r>
            <w:r w:rsidRPr="00226F9D">
              <w:rPr>
                <w:rFonts w:ascii="Times New Roman" w:eastAsia="Times New Roman" w:hAnsi="Times New Roman" w:cs="Times New Roman"/>
                <w:color w:val="000000"/>
                <w:kern w:val="0"/>
                <w:sz w:val="16"/>
                <w:szCs w:val="16"/>
                <w:lang w:eastAsia="en-GB"/>
                <w14:ligatures w14:val="none"/>
              </w:rPr>
              <w:t>%</w:t>
            </w:r>
          </w:p>
        </w:tc>
        <w:tc>
          <w:tcPr>
            <w:tcW w:w="851" w:type="dxa"/>
            <w:shd w:val="clear" w:color="000000" w:fill="FFFFFF"/>
            <w:noWrap/>
            <w:hideMark/>
          </w:tcPr>
          <w:p w14:paraId="2F899408" w14:textId="6305D9E2"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w:t>
            </w:r>
            <w:r w:rsidR="008960E8" w:rsidRPr="00226F9D">
              <w:rPr>
                <w:rFonts w:ascii="Times New Roman" w:eastAsia="Times New Roman" w:hAnsi="Times New Roman" w:cs="Times New Roman"/>
                <w:color w:val="000000"/>
                <w:kern w:val="0"/>
                <w:sz w:val="16"/>
                <w:szCs w:val="16"/>
                <w:lang w:val="sr-Cyrl-RS" w:eastAsia="en-GB"/>
                <w14:ligatures w14:val="none"/>
              </w:rPr>
              <w:t>5</w:t>
            </w:r>
            <w:r w:rsidRPr="00226F9D">
              <w:rPr>
                <w:rFonts w:ascii="Times New Roman" w:eastAsia="Times New Roman" w:hAnsi="Times New Roman" w:cs="Times New Roman"/>
                <w:color w:val="000000"/>
                <w:kern w:val="0"/>
                <w:sz w:val="16"/>
                <w:szCs w:val="16"/>
                <w:lang w:eastAsia="en-GB"/>
                <w14:ligatures w14:val="none"/>
              </w:rPr>
              <w:t>%</w:t>
            </w:r>
          </w:p>
        </w:tc>
        <w:tc>
          <w:tcPr>
            <w:tcW w:w="850" w:type="dxa"/>
            <w:shd w:val="clear" w:color="000000" w:fill="FFFFFF"/>
            <w:noWrap/>
            <w:hideMark/>
          </w:tcPr>
          <w:p w14:paraId="4C00BE9D" w14:textId="72848CDD"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w:t>
            </w:r>
            <w:r w:rsidR="008960E8" w:rsidRPr="00226F9D">
              <w:rPr>
                <w:rFonts w:ascii="Times New Roman" w:eastAsia="Times New Roman" w:hAnsi="Times New Roman" w:cs="Times New Roman"/>
                <w:color w:val="000000"/>
                <w:kern w:val="0"/>
                <w:sz w:val="16"/>
                <w:szCs w:val="16"/>
                <w:lang w:val="sr-Cyrl-RS" w:eastAsia="en-GB"/>
                <w14:ligatures w14:val="none"/>
              </w:rPr>
              <w:t>6</w:t>
            </w:r>
            <w:r w:rsidRPr="00226F9D">
              <w:rPr>
                <w:rFonts w:ascii="Times New Roman" w:eastAsia="Times New Roman" w:hAnsi="Times New Roman" w:cs="Times New Roman"/>
                <w:color w:val="000000"/>
                <w:kern w:val="0"/>
                <w:sz w:val="16"/>
                <w:szCs w:val="16"/>
                <w:lang w:eastAsia="en-GB"/>
                <w14:ligatures w14:val="none"/>
              </w:rPr>
              <w:t>%</w:t>
            </w:r>
          </w:p>
        </w:tc>
        <w:tc>
          <w:tcPr>
            <w:tcW w:w="969" w:type="dxa"/>
            <w:shd w:val="clear" w:color="000000" w:fill="FFFFFF"/>
            <w:noWrap/>
            <w:hideMark/>
          </w:tcPr>
          <w:p w14:paraId="539D605B" w14:textId="621CEB5A"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w:t>
            </w:r>
            <w:r w:rsidR="008960E8" w:rsidRPr="00226F9D">
              <w:rPr>
                <w:rFonts w:ascii="Times New Roman" w:eastAsia="Times New Roman" w:hAnsi="Times New Roman" w:cs="Times New Roman"/>
                <w:color w:val="000000"/>
                <w:kern w:val="0"/>
                <w:sz w:val="16"/>
                <w:szCs w:val="16"/>
                <w:lang w:val="sr-Cyrl-RS" w:eastAsia="en-GB"/>
                <w14:ligatures w14:val="none"/>
              </w:rPr>
              <w:t>7</w:t>
            </w:r>
            <w:r w:rsidRPr="00226F9D">
              <w:rPr>
                <w:rFonts w:ascii="Times New Roman" w:eastAsia="Times New Roman" w:hAnsi="Times New Roman" w:cs="Times New Roman"/>
                <w:color w:val="000000"/>
                <w:kern w:val="0"/>
                <w:sz w:val="16"/>
                <w:szCs w:val="16"/>
                <w:lang w:eastAsia="en-GB"/>
                <w14:ligatures w14:val="none"/>
              </w:rPr>
              <w:t>%</w:t>
            </w:r>
          </w:p>
        </w:tc>
      </w:tr>
      <w:tr w:rsidR="00FB70CD" w:rsidRPr="00226F9D" w14:paraId="1C4FFC56" w14:textId="77777777">
        <w:trPr>
          <w:trHeight w:val="71"/>
        </w:trPr>
        <w:tc>
          <w:tcPr>
            <w:tcW w:w="15706" w:type="dxa"/>
            <w:gridSpan w:val="12"/>
            <w:shd w:val="clear" w:color="000000" w:fill="F7CAAC"/>
            <w:noWrap/>
            <w:hideMark/>
          </w:tcPr>
          <w:p w14:paraId="588FB643"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Мера 4.1.:  Подршка ефикаснoм спровођењу услуга и послова локалне самоуправе</w:t>
            </w:r>
          </w:p>
        </w:tc>
      </w:tr>
      <w:tr w:rsidR="00FB70CD" w:rsidRPr="00226F9D" w14:paraId="0F1FF586" w14:textId="77777777">
        <w:trPr>
          <w:trHeight w:val="47"/>
        </w:trPr>
        <w:tc>
          <w:tcPr>
            <w:tcW w:w="15706" w:type="dxa"/>
            <w:gridSpan w:val="12"/>
            <w:shd w:val="clear" w:color="000000" w:fill="F7CAAC"/>
            <w:noWrap/>
            <w:hideMark/>
          </w:tcPr>
          <w:p w14:paraId="43903A78"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Институција одговорна за праћење и контролу реализације: МДУЛС</w:t>
            </w:r>
          </w:p>
        </w:tc>
      </w:tr>
      <w:tr w:rsidR="00FB70CD" w:rsidRPr="00226F9D" w14:paraId="6F235EE3" w14:textId="77777777">
        <w:trPr>
          <w:trHeight w:val="24"/>
        </w:trPr>
        <w:tc>
          <w:tcPr>
            <w:tcW w:w="3823" w:type="dxa"/>
            <w:gridSpan w:val="2"/>
            <w:shd w:val="clear" w:color="000000" w:fill="F7CAAC"/>
            <w:noWrap/>
            <w:hideMark/>
          </w:tcPr>
          <w:p w14:paraId="581AC6AF"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Период спровођења: 2026-2030.</w:t>
            </w:r>
          </w:p>
        </w:tc>
        <w:tc>
          <w:tcPr>
            <w:tcW w:w="11883" w:type="dxa"/>
            <w:gridSpan w:val="10"/>
            <w:shd w:val="clear" w:color="000000" w:fill="F7CAAC"/>
            <w:noWrap/>
            <w:hideMark/>
          </w:tcPr>
          <w:p w14:paraId="1644F979"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Тип мере: Институционално управљачко организациона</w:t>
            </w:r>
          </w:p>
        </w:tc>
      </w:tr>
      <w:tr w:rsidR="00FB70CD" w:rsidRPr="00226F9D" w14:paraId="7365DD40" w14:textId="77777777">
        <w:trPr>
          <w:trHeight w:val="24"/>
        </w:trPr>
        <w:tc>
          <w:tcPr>
            <w:tcW w:w="15706" w:type="dxa"/>
            <w:gridSpan w:val="12"/>
            <w:shd w:val="clear" w:color="000000" w:fill="F7CAAC"/>
            <w:noWrap/>
            <w:hideMark/>
          </w:tcPr>
          <w:p w14:paraId="3AFC12B1"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Прописи које је потребно изменити/усвојити за спровођење мере: </w:t>
            </w:r>
          </w:p>
        </w:tc>
      </w:tr>
      <w:tr w:rsidR="00FB70CD" w:rsidRPr="00226F9D" w14:paraId="1F1E73FC" w14:textId="77777777">
        <w:trPr>
          <w:trHeight w:val="259"/>
        </w:trPr>
        <w:tc>
          <w:tcPr>
            <w:tcW w:w="5240" w:type="dxa"/>
            <w:gridSpan w:val="3"/>
            <w:shd w:val="clear" w:color="000000" w:fill="B4C6E7"/>
            <w:noWrap/>
            <w:vAlign w:val="center"/>
            <w:hideMark/>
          </w:tcPr>
          <w:p w14:paraId="25E5CEF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мере (показатељ резултата)</w:t>
            </w:r>
          </w:p>
        </w:tc>
        <w:tc>
          <w:tcPr>
            <w:tcW w:w="1134" w:type="dxa"/>
            <w:shd w:val="clear" w:color="000000" w:fill="B4C6E7"/>
            <w:noWrap/>
            <w:vAlign w:val="center"/>
          </w:tcPr>
          <w:p w14:paraId="7C42D1F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000000" w:fill="B4C6E7"/>
            <w:vAlign w:val="center"/>
          </w:tcPr>
          <w:p w14:paraId="2A7D0B6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000000" w:fill="B4C6E7"/>
            <w:vAlign w:val="center"/>
          </w:tcPr>
          <w:p w14:paraId="1A2C3EA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000000" w:fill="B4C6E7"/>
            <w:noWrap/>
            <w:vAlign w:val="center"/>
            <w:hideMark/>
          </w:tcPr>
          <w:p w14:paraId="2E6B346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000000" w:fill="B4C6E7"/>
            <w:noWrap/>
            <w:vAlign w:val="center"/>
            <w:hideMark/>
          </w:tcPr>
          <w:p w14:paraId="61C70B3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000000" w:fill="B4C6E7"/>
            <w:noWrap/>
            <w:vAlign w:val="center"/>
            <w:hideMark/>
          </w:tcPr>
          <w:p w14:paraId="2C054F9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000000" w:fill="B4C6E7"/>
            <w:noWrap/>
            <w:vAlign w:val="center"/>
            <w:hideMark/>
          </w:tcPr>
          <w:p w14:paraId="62CAFFD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50" w:type="dxa"/>
            <w:shd w:val="clear" w:color="000000" w:fill="B4C6E7"/>
            <w:noWrap/>
            <w:vAlign w:val="center"/>
            <w:hideMark/>
          </w:tcPr>
          <w:p w14:paraId="20C5A67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69" w:type="dxa"/>
            <w:shd w:val="clear" w:color="000000" w:fill="B4C6E7"/>
            <w:noWrap/>
            <w:vAlign w:val="center"/>
            <w:hideMark/>
          </w:tcPr>
          <w:p w14:paraId="5990B28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65110FDA" w14:textId="77777777">
        <w:trPr>
          <w:trHeight w:val="580"/>
        </w:trPr>
        <w:tc>
          <w:tcPr>
            <w:tcW w:w="5240" w:type="dxa"/>
            <w:gridSpan w:val="3"/>
            <w:shd w:val="clear" w:color="000000" w:fill="FFFFFF"/>
            <w:noWrap/>
            <w:vAlign w:val="center"/>
            <w:hideMark/>
          </w:tcPr>
          <w:p w14:paraId="6E545D31"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Степен остварења препорука из мапе пута за успостављање ефикасније расподеле послова јавне управе и јачање значаја локалне самоуправе у систему јавне управе</w:t>
            </w:r>
          </w:p>
        </w:tc>
        <w:tc>
          <w:tcPr>
            <w:tcW w:w="1134" w:type="dxa"/>
            <w:shd w:val="clear" w:color="000000" w:fill="FFFFFF"/>
            <w:noWrap/>
          </w:tcPr>
          <w:p w14:paraId="0806A2E7" w14:textId="0A7DB949"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p w14:paraId="3588080E" w14:textId="593F8428" w:rsidR="005418AB" w:rsidRPr="00226F9D" w:rsidRDefault="005418AB"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59" w:type="dxa"/>
            <w:shd w:val="clear" w:color="000000" w:fill="FFFFFF"/>
          </w:tcPr>
          <w:p w14:paraId="3EA9C01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МДУЛС</w:t>
            </w:r>
          </w:p>
        </w:tc>
        <w:tc>
          <w:tcPr>
            <w:tcW w:w="2127" w:type="dxa"/>
            <w:shd w:val="clear" w:color="000000" w:fill="FFFFFF"/>
          </w:tcPr>
          <w:p w14:paraId="113B761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shd w:val="clear" w:color="000000" w:fill="FFFFFF"/>
            <w:noWrap/>
            <w:hideMark/>
          </w:tcPr>
          <w:p w14:paraId="312D551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2025</w:t>
            </w:r>
          </w:p>
        </w:tc>
        <w:tc>
          <w:tcPr>
            <w:tcW w:w="851" w:type="dxa"/>
            <w:shd w:val="clear" w:color="000000" w:fill="FFFFFF"/>
            <w:noWrap/>
            <w:hideMark/>
          </w:tcPr>
          <w:p w14:paraId="332681A4"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0%</w:t>
            </w:r>
          </w:p>
        </w:tc>
        <w:tc>
          <w:tcPr>
            <w:tcW w:w="850" w:type="dxa"/>
            <w:shd w:val="clear" w:color="000000" w:fill="FFFFFF"/>
            <w:noWrap/>
            <w:hideMark/>
          </w:tcPr>
          <w:p w14:paraId="6748371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0%</w:t>
            </w:r>
          </w:p>
        </w:tc>
        <w:tc>
          <w:tcPr>
            <w:tcW w:w="851" w:type="dxa"/>
            <w:shd w:val="clear" w:color="000000" w:fill="FFFFFF"/>
            <w:noWrap/>
            <w:hideMark/>
          </w:tcPr>
          <w:p w14:paraId="58761DE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w:t>
            </w:r>
          </w:p>
        </w:tc>
        <w:tc>
          <w:tcPr>
            <w:tcW w:w="850" w:type="dxa"/>
            <w:shd w:val="clear" w:color="000000" w:fill="FFFFFF"/>
            <w:noWrap/>
            <w:hideMark/>
          </w:tcPr>
          <w:p w14:paraId="4666421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40%</w:t>
            </w:r>
          </w:p>
        </w:tc>
        <w:tc>
          <w:tcPr>
            <w:tcW w:w="969" w:type="dxa"/>
            <w:noWrap/>
            <w:hideMark/>
          </w:tcPr>
          <w:p w14:paraId="5C027360"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60%</w:t>
            </w:r>
          </w:p>
        </w:tc>
      </w:tr>
      <w:tr w:rsidR="00FB70CD" w:rsidRPr="00226F9D" w14:paraId="4FE073A1" w14:textId="77777777">
        <w:trPr>
          <w:trHeight w:val="292"/>
        </w:trPr>
        <w:tc>
          <w:tcPr>
            <w:tcW w:w="5240" w:type="dxa"/>
            <w:gridSpan w:val="3"/>
            <w:noWrap/>
            <w:hideMark/>
          </w:tcPr>
          <w:p w14:paraId="1847ED54" w14:textId="77777777" w:rsidR="00FB7AEB" w:rsidRPr="00226F9D" w:rsidRDefault="00FB7AEB" w:rsidP="005B0999">
            <w:pPr>
              <w:spacing w:after="0" w:line="240" w:lineRule="auto"/>
              <w:rPr>
                <w:rFonts w:ascii="Times New Roman" w:eastAsia="Times New Roman" w:hAnsi="Times New Roman" w:cs="Times New Roman"/>
                <w:color w:val="000000"/>
                <w:kern w:val="0"/>
                <w:sz w:val="16"/>
                <w:szCs w:val="16"/>
                <w:lang w:val="sr-Cyrl-RS" w:eastAsia="en-GB"/>
                <w14:ligatures w14:val="none"/>
              </w:rPr>
            </w:pPr>
          </w:p>
          <w:p w14:paraId="5A9A0033" w14:textId="6B14CEA1" w:rsidR="00FB70CD" w:rsidRPr="00226F9D" w:rsidRDefault="00FB70CD" w:rsidP="005B0999">
            <w:pPr>
              <w:spacing w:after="0" w:line="240" w:lineRule="auto"/>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color w:val="000000"/>
                <w:kern w:val="0"/>
                <w:sz w:val="16"/>
                <w:szCs w:val="16"/>
                <w:lang w:val="sr-Cyrl-RS" w:eastAsia="en-GB"/>
                <w14:ligatures w14:val="none"/>
              </w:rPr>
              <w:t>% ЈЛС које су унеле своје поступке у Регистар административних поступака</w:t>
            </w:r>
          </w:p>
        </w:tc>
        <w:tc>
          <w:tcPr>
            <w:tcW w:w="1134" w:type="dxa"/>
            <w:shd w:val="clear" w:color="000000" w:fill="FFFFFF"/>
            <w:noWrap/>
          </w:tcPr>
          <w:p w14:paraId="610694D8"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59" w:type="dxa"/>
            <w:shd w:val="clear" w:color="000000" w:fill="FFFFFF"/>
          </w:tcPr>
          <w:p w14:paraId="54890706" w14:textId="0985E8FA"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Извештај РСЈП и Регистар администативних по</w:t>
            </w:r>
            <w:r w:rsidR="00FB7DC2" w:rsidRPr="00226F9D">
              <w:rPr>
                <w:rFonts w:ascii="Times New Roman" w:eastAsia="Times New Roman" w:hAnsi="Times New Roman" w:cs="Times New Roman"/>
                <w:kern w:val="0"/>
                <w:sz w:val="16"/>
                <w:szCs w:val="16"/>
                <w:lang w:val="sr-Cyrl-RS" w:eastAsia="en-GB"/>
                <w14:ligatures w14:val="none"/>
              </w:rPr>
              <w:t>ступак</w:t>
            </w:r>
            <w:r w:rsidRPr="00226F9D">
              <w:rPr>
                <w:rFonts w:ascii="Times New Roman" w:eastAsia="Times New Roman" w:hAnsi="Times New Roman" w:cs="Times New Roman"/>
                <w:kern w:val="0"/>
                <w:sz w:val="16"/>
                <w:szCs w:val="16"/>
                <w:lang w:eastAsia="en-GB"/>
                <w14:ligatures w14:val="none"/>
              </w:rPr>
              <w:t>а</w:t>
            </w:r>
          </w:p>
        </w:tc>
        <w:tc>
          <w:tcPr>
            <w:tcW w:w="2127" w:type="dxa"/>
            <w:shd w:val="clear" w:color="000000" w:fill="FFFFFF"/>
          </w:tcPr>
          <w:p w14:paraId="27DF41E1" w14:textId="71477969" w:rsidR="00FB70CD" w:rsidRPr="00226F9D" w:rsidRDefault="009610A5" w:rsidP="005B0999">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 xml:space="preserve"> 54,5 %</w:t>
            </w:r>
          </w:p>
        </w:tc>
        <w:tc>
          <w:tcPr>
            <w:tcW w:w="1275" w:type="dxa"/>
            <w:shd w:val="clear" w:color="000000" w:fill="FFFFFF"/>
            <w:noWrap/>
            <w:hideMark/>
          </w:tcPr>
          <w:p w14:paraId="3AEF2044" w14:textId="5E09B2FE" w:rsidR="00FB70CD" w:rsidRPr="00226F9D" w:rsidRDefault="009610A5" w:rsidP="005B0999">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 xml:space="preserve"> 2025</w:t>
            </w:r>
          </w:p>
        </w:tc>
        <w:tc>
          <w:tcPr>
            <w:tcW w:w="851" w:type="dxa"/>
            <w:shd w:val="clear" w:color="000000" w:fill="FFFFFF"/>
            <w:noWrap/>
            <w:hideMark/>
          </w:tcPr>
          <w:p w14:paraId="02B5AE25"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100%</w:t>
            </w:r>
          </w:p>
        </w:tc>
        <w:tc>
          <w:tcPr>
            <w:tcW w:w="850" w:type="dxa"/>
            <w:shd w:val="clear" w:color="000000" w:fill="FFFFFF"/>
            <w:noWrap/>
            <w:hideMark/>
          </w:tcPr>
          <w:p w14:paraId="0EE661F7"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1" w:type="dxa"/>
            <w:shd w:val="clear" w:color="000000" w:fill="FFFFFF"/>
            <w:noWrap/>
            <w:hideMark/>
          </w:tcPr>
          <w:p w14:paraId="3748EDC4"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850" w:type="dxa"/>
            <w:shd w:val="clear" w:color="000000" w:fill="FFFFFF"/>
            <w:noWrap/>
            <w:hideMark/>
          </w:tcPr>
          <w:p w14:paraId="03D6490E"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c>
          <w:tcPr>
            <w:tcW w:w="969" w:type="dxa"/>
            <w:shd w:val="clear" w:color="000000" w:fill="FFFFFF"/>
            <w:noWrap/>
            <w:hideMark/>
          </w:tcPr>
          <w:p w14:paraId="4EBD5130"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w:t>
            </w:r>
          </w:p>
        </w:tc>
      </w:tr>
      <w:tr w:rsidR="00FB70CD" w:rsidRPr="00226F9D" w14:paraId="6069C8A7" w14:textId="77777777">
        <w:trPr>
          <w:trHeight w:val="82"/>
        </w:trPr>
        <w:tc>
          <w:tcPr>
            <w:tcW w:w="5240" w:type="dxa"/>
            <w:gridSpan w:val="3"/>
            <w:vMerge w:val="restart"/>
            <w:shd w:val="clear" w:color="000000" w:fill="A9D08E"/>
            <w:noWrap/>
            <w:vAlign w:val="center"/>
            <w:hideMark/>
          </w:tcPr>
          <w:p w14:paraId="70C0D57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5" w:type="dxa"/>
            <w:gridSpan w:val="4"/>
            <w:vMerge w:val="restart"/>
            <w:shd w:val="clear" w:color="000000" w:fill="A9D08E"/>
            <w:noWrap/>
            <w:vAlign w:val="center"/>
            <w:hideMark/>
          </w:tcPr>
          <w:p w14:paraId="30CAC266" w14:textId="77777777" w:rsidR="00FB70CD" w:rsidRPr="00226F9D" w:rsidRDefault="00D155C4"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32"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71" w:type="dxa"/>
            <w:gridSpan w:val="5"/>
            <w:shd w:val="clear" w:color="000000" w:fill="A8D08D"/>
            <w:noWrap/>
            <w:vAlign w:val="center"/>
            <w:hideMark/>
          </w:tcPr>
          <w:p w14:paraId="6D90A07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у 000 дин</w:t>
            </w:r>
          </w:p>
        </w:tc>
      </w:tr>
      <w:tr w:rsidR="00FB70CD" w:rsidRPr="00226F9D" w14:paraId="2AB03F50" w14:textId="77777777">
        <w:trPr>
          <w:trHeight w:val="20"/>
        </w:trPr>
        <w:tc>
          <w:tcPr>
            <w:tcW w:w="5240" w:type="dxa"/>
            <w:gridSpan w:val="3"/>
            <w:vMerge/>
            <w:vAlign w:val="center"/>
            <w:hideMark/>
          </w:tcPr>
          <w:p w14:paraId="5543A86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p>
        </w:tc>
        <w:tc>
          <w:tcPr>
            <w:tcW w:w="6095" w:type="dxa"/>
            <w:gridSpan w:val="4"/>
            <w:vMerge/>
            <w:vAlign w:val="center"/>
            <w:hideMark/>
          </w:tcPr>
          <w:p w14:paraId="1FA13DC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p>
        </w:tc>
        <w:tc>
          <w:tcPr>
            <w:tcW w:w="851" w:type="dxa"/>
            <w:shd w:val="clear" w:color="000000" w:fill="A8D08D"/>
            <w:noWrap/>
            <w:vAlign w:val="center"/>
            <w:hideMark/>
          </w:tcPr>
          <w:p w14:paraId="07CCEA5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A8D08D"/>
            <w:noWrap/>
            <w:vAlign w:val="center"/>
            <w:hideMark/>
          </w:tcPr>
          <w:p w14:paraId="5B47EC8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A8D08D"/>
            <w:noWrap/>
            <w:vAlign w:val="center"/>
            <w:hideMark/>
          </w:tcPr>
          <w:p w14:paraId="7149720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50" w:type="dxa"/>
            <w:shd w:val="clear" w:color="000000" w:fill="A8D08D"/>
            <w:noWrap/>
            <w:vAlign w:val="center"/>
            <w:hideMark/>
          </w:tcPr>
          <w:p w14:paraId="29A8238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69" w:type="dxa"/>
            <w:shd w:val="clear" w:color="000000" w:fill="A8D08D"/>
            <w:noWrap/>
            <w:vAlign w:val="center"/>
            <w:hideMark/>
          </w:tcPr>
          <w:p w14:paraId="3266BEB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4604066E" w14:textId="77777777">
        <w:trPr>
          <w:trHeight w:val="24"/>
        </w:trPr>
        <w:tc>
          <w:tcPr>
            <w:tcW w:w="5240" w:type="dxa"/>
            <w:gridSpan w:val="3"/>
            <w:shd w:val="clear" w:color="000000" w:fill="FFFFFF"/>
            <w:noWrap/>
            <w:hideMark/>
          </w:tcPr>
          <w:p w14:paraId="4679B40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000000" w:fill="FFFFFF"/>
            <w:noWrap/>
            <w:hideMark/>
          </w:tcPr>
          <w:p w14:paraId="45FD6EA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noWrap/>
            <w:hideMark/>
          </w:tcPr>
          <w:p w14:paraId="268BCAC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13.630</w:t>
            </w:r>
          </w:p>
        </w:tc>
        <w:tc>
          <w:tcPr>
            <w:tcW w:w="850" w:type="dxa"/>
            <w:shd w:val="clear" w:color="000000" w:fill="FFFFFF"/>
            <w:noWrap/>
            <w:hideMark/>
          </w:tcPr>
          <w:p w14:paraId="5BEEE54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2.900</w:t>
            </w:r>
          </w:p>
        </w:tc>
        <w:tc>
          <w:tcPr>
            <w:tcW w:w="851" w:type="dxa"/>
            <w:shd w:val="clear" w:color="000000" w:fill="FFFFFF"/>
            <w:noWrap/>
            <w:hideMark/>
          </w:tcPr>
          <w:p w14:paraId="76DF668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2.360</w:t>
            </w:r>
          </w:p>
        </w:tc>
        <w:tc>
          <w:tcPr>
            <w:tcW w:w="850" w:type="dxa"/>
            <w:shd w:val="clear" w:color="000000" w:fill="FFFFFF"/>
            <w:noWrap/>
            <w:hideMark/>
          </w:tcPr>
          <w:p w14:paraId="736C512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2.720</w:t>
            </w:r>
          </w:p>
        </w:tc>
        <w:tc>
          <w:tcPr>
            <w:tcW w:w="969" w:type="dxa"/>
            <w:shd w:val="clear" w:color="000000" w:fill="FFFFFF"/>
            <w:noWrap/>
            <w:hideMark/>
          </w:tcPr>
          <w:p w14:paraId="1D7253C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2.000</w:t>
            </w:r>
          </w:p>
        </w:tc>
      </w:tr>
      <w:tr w:rsidR="00FB70CD" w:rsidRPr="00226F9D" w14:paraId="0EA5DD24" w14:textId="77777777">
        <w:trPr>
          <w:trHeight w:val="320"/>
        </w:trPr>
        <w:tc>
          <w:tcPr>
            <w:tcW w:w="2263" w:type="dxa"/>
            <w:shd w:val="clear" w:color="000000" w:fill="FFF2CC"/>
            <w:noWrap/>
            <w:vAlign w:val="center"/>
            <w:hideMark/>
          </w:tcPr>
          <w:p w14:paraId="23777258"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60" w:type="dxa"/>
            <w:shd w:val="clear" w:color="000000" w:fill="FFF2CC"/>
            <w:noWrap/>
            <w:vAlign w:val="center"/>
            <w:hideMark/>
          </w:tcPr>
          <w:p w14:paraId="386A5F4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000000" w:fill="FFF2CC"/>
            <w:noWrap/>
            <w:vAlign w:val="center"/>
            <w:hideMark/>
          </w:tcPr>
          <w:p w14:paraId="63D6014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Oргани и партнери у спровођењу активности</w:t>
            </w:r>
          </w:p>
        </w:tc>
        <w:tc>
          <w:tcPr>
            <w:tcW w:w="2693" w:type="dxa"/>
            <w:gridSpan w:val="2"/>
            <w:shd w:val="clear" w:color="000000" w:fill="FFF2CC"/>
            <w:noWrap/>
            <w:vAlign w:val="center"/>
            <w:hideMark/>
          </w:tcPr>
          <w:p w14:paraId="23FCF75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000000" w:fill="FFF2CC"/>
            <w:noWrap/>
            <w:vAlign w:val="center"/>
            <w:hideMark/>
          </w:tcPr>
          <w:p w14:paraId="3AAA5F1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000000" w:fill="FFF2CC"/>
            <w:noWrap/>
            <w:vAlign w:val="center"/>
            <w:hideMark/>
          </w:tcPr>
          <w:p w14:paraId="350EA09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71" w:type="dxa"/>
            <w:gridSpan w:val="5"/>
            <w:shd w:val="clear" w:color="000000" w:fill="FFF2CC"/>
            <w:noWrap/>
            <w:vAlign w:val="center"/>
            <w:hideMark/>
          </w:tcPr>
          <w:p w14:paraId="0D33934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по изворима у 000 дин</w:t>
            </w:r>
          </w:p>
        </w:tc>
      </w:tr>
      <w:tr w:rsidR="00FB70CD" w:rsidRPr="00226F9D" w14:paraId="40EAB02B" w14:textId="77777777">
        <w:trPr>
          <w:trHeight w:val="61"/>
        </w:trPr>
        <w:tc>
          <w:tcPr>
            <w:tcW w:w="2263" w:type="dxa"/>
            <w:shd w:val="clear" w:color="000000" w:fill="FFF2CC"/>
            <w:noWrap/>
            <w:hideMark/>
          </w:tcPr>
          <w:p w14:paraId="0C217976"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560" w:type="dxa"/>
            <w:shd w:val="clear" w:color="000000" w:fill="FFF2CC"/>
            <w:noWrap/>
            <w:hideMark/>
          </w:tcPr>
          <w:p w14:paraId="7B3D4D0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417" w:type="dxa"/>
            <w:shd w:val="clear" w:color="000000" w:fill="FFF2CC"/>
            <w:noWrap/>
            <w:hideMark/>
          </w:tcPr>
          <w:p w14:paraId="79BFEE7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693" w:type="dxa"/>
            <w:gridSpan w:val="2"/>
            <w:shd w:val="clear" w:color="000000" w:fill="FFF2CC"/>
            <w:noWrap/>
            <w:hideMark/>
          </w:tcPr>
          <w:p w14:paraId="532D040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127" w:type="dxa"/>
            <w:shd w:val="clear" w:color="000000" w:fill="FFF2CC"/>
            <w:noWrap/>
            <w:hideMark/>
          </w:tcPr>
          <w:p w14:paraId="0101746B" w14:textId="77777777" w:rsidR="00FB70CD" w:rsidRPr="00226F9D" w:rsidRDefault="00FB70CD" w:rsidP="005B0999">
            <w:pPr>
              <w:spacing w:after="0" w:line="240" w:lineRule="auto"/>
              <w:jc w:val="center"/>
              <w:rPr>
                <w:rFonts w:ascii="Times New Roman" w:eastAsia="Times New Roman" w:hAnsi="Times New Roman" w:cs="Times New Roman"/>
                <w:b/>
                <w:bCs/>
                <w:color w:val="0563C1"/>
                <w:kern w:val="0"/>
                <w:sz w:val="16"/>
                <w:szCs w:val="16"/>
                <w:u w:val="single"/>
                <w:lang w:eastAsia="en-GB"/>
                <w14:ligatures w14:val="none"/>
              </w:rPr>
            </w:pPr>
            <w:r w:rsidRPr="00226F9D">
              <w:rPr>
                <w:rFonts w:ascii="Times New Roman" w:eastAsia="Times New Roman" w:hAnsi="Times New Roman" w:cs="Times New Roman"/>
                <w:b/>
                <w:bCs/>
                <w:color w:val="0563C1"/>
                <w:kern w:val="0"/>
                <w:sz w:val="16"/>
                <w:szCs w:val="16"/>
                <w:u w:val="single"/>
                <w:lang w:eastAsia="en-GB"/>
                <w14:ligatures w14:val="none"/>
              </w:rPr>
              <w:t> </w:t>
            </w:r>
          </w:p>
        </w:tc>
        <w:tc>
          <w:tcPr>
            <w:tcW w:w="1275" w:type="dxa"/>
            <w:shd w:val="clear" w:color="000000" w:fill="FFF2CC"/>
            <w:noWrap/>
            <w:hideMark/>
          </w:tcPr>
          <w:p w14:paraId="2FDBCC7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851" w:type="dxa"/>
            <w:shd w:val="clear" w:color="000000" w:fill="FFF2CC"/>
            <w:noWrap/>
            <w:hideMark/>
          </w:tcPr>
          <w:p w14:paraId="1E40CA4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000000" w:fill="FFF2CC"/>
            <w:noWrap/>
            <w:hideMark/>
          </w:tcPr>
          <w:p w14:paraId="369CD63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000000" w:fill="FFF2CC"/>
            <w:noWrap/>
            <w:hideMark/>
          </w:tcPr>
          <w:p w14:paraId="39D35BC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50" w:type="dxa"/>
            <w:shd w:val="clear" w:color="000000" w:fill="FFF2CC"/>
            <w:noWrap/>
            <w:hideMark/>
          </w:tcPr>
          <w:p w14:paraId="7C73D3D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69" w:type="dxa"/>
            <w:shd w:val="clear" w:color="000000" w:fill="FFF2CC"/>
            <w:noWrap/>
            <w:hideMark/>
          </w:tcPr>
          <w:p w14:paraId="0292484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7A2BC5D2" w14:textId="77777777">
        <w:trPr>
          <w:trHeight w:val="320"/>
        </w:trPr>
        <w:tc>
          <w:tcPr>
            <w:tcW w:w="2263" w:type="dxa"/>
            <w:shd w:val="clear" w:color="000000" w:fill="FFFFFF"/>
            <w:noWrap/>
            <w:hideMark/>
          </w:tcPr>
          <w:p w14:paraId="06753133"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4.1.1. Израда компаративне анализе надлежности и послова локалне самоуправе (на адекватном узорку земаља из региона и ЕУ) и потенцијала за ефикаснију расподелу надлежности за јавне услуге и послове у Републици Србији</w:t>
            </w:r>
          </w:p>
        </w:tc>
        <w:tc>
          <w:tcPr>
            <w:tcW w:w="1560" w:type="dxa"/>
            <w:shd w:val="clear" w:color="000000" w:fill="FFFFFF"/>
            <w:noWrap/>
            <w:hideMark/>
          </w:tcPr>
          <w:p w14:paraId="58ED384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000000" w:fill="FFFFFF"/>
            <w:noWrap/>
            <w:hideMark/>
          </w:tcPr>
          <w:p w14:paraId="1F9427C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shd w:val="clear" w:color="000000" w:fill="FFFFFF"/>
            <w:noWrap/>
            <w:hideMark/>
          </w:tcPr>
          <w:p w14:paraId="11C7A59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 IV квартал 2026.</w:t>
            </w:r>
          </w:p>
        </w:tc>
        <w:tc>
          <w:tcPr>
            <w:tcW w:w="2127" w:type="dxa"/>
            <w:shd w:val="clear" w:color="000000" w:fill="FFFFFF"/>
            <w:noWrap/>
            <w:hideMark/>
          </w:tcPr>
          <w:p w14:paraId="332740B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Подршка из донације: </w:t>
            </w:r>
            <w:r w:rsidRPr="00226F9D">
              <w:rPr>
                <w:rFonts w:ascii="Times New Roman" w:eastAsia="Times New Roman" w:hAnsi="Times New Roman" w:cs="Times New Roman"/>
                <w:color w:val="000000"/>
                <w:kern w:val="0"/>
                <w:sz w:val="16"/>
                <w:szCs w:val="16"/>
                <w:lang w:eastAsia="en-GB"/>
                <w14:ligatures w14:val="none"/>
              </w:rPr>
              <w:br/>
              <w:t>(СДЦ-СКГО-Партнерство за добру локалну самоуправу)</w:t>
            </w:r>
          </w:p>
        </w:tc>
        <w:tc>
          <w:tcPr>
            <w:tcW w:w="1275" w:type="dxa"/>
            <w:shd w:val="clear" w:color="000000" w:fill="FFFFFF"/>
            <w:noWrap/>
            <w:hideMark/>
          </w:tcPr>
          <w:p w14:paraId="03EB215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noWrap/>
            <w:hideMark/>
          </w:tcPr>
          <w:p w14:paraId="6E6B1DE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720</w:t>
            </w:r>
          </w:p>
        </w:tc>
        <w:tc>
          <w:tcPr>
            <w:tcW w:w="850" w:type="dxa"/>
            <w:shd w:val="clear" w:color="000000" w:fill="FFFFFF"/>
            <w:noWrap/>
            <w:hideMark/>
          </w:tcPr>
          <w:p w14:paraId="1E665D0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noWrap/>
            <w:hideMark/>
          </w:tcPr>
          <w:p w14:paraId="580C1EB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noWrap/>
            <w:hideMark/>
          </w:tcPr>
          <w:p w14:paraId="6403941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shd w:val="clear" w:color="000000" w:fill="FFFFFF"/>
            <w:noWrap/>
            <w:hideMark/>
          </w:tcPr>
          <w:p w14:paraId="7855445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bl>
    <w:p w14:paraId="7C511208" w14:textId="0568B08F" w:rsidR="00FB70CD" w:rsidRDefault="00FB70CD" w:rsidP="005B0999">
      <w:pPr>
        <w:spacing w:after="0" w:line="240" w:lineRule="auto"/>
        <w:rPr>
          <w:rFonts w:ascii="Times New Roman" w:hAnsi="Times New Roman" w:cs="Times New Roman"/>
        </w:rPr>
      </w:pPr>
    </w:p>
    <w:p w14:paraId="1C4A0417" w14:textId="52EA4F33" w:rsidR="00226F9D" w:rsidRDefault="00226F9D" w:rsidP="005B0999">
      <w:pPr>
        <w:spacing w:after="0" w:line="240" w:lineRule="auto"/>
        <w:rPr>
          <w:rFonts w:ascii="Times New Roman" w:hAnsi="Times New Roman" w:cs="Times New Roman"/>
        </w:rPr>
      </w:pPr>
    </w:p>
    <w:p w14:paraId="01ED484C" w14:textId="77777777" w:rsidR="00226F9D" w:rsidRPr="00226F9D" w:rsidRDefault="00226F9D" w:rsidP="005B0999">
      <w:pPr>
        <w:spacing w:after="0" w:line="240" w:lineRule="auto"/>
        <w:rPr>
          <w:rFonts w:ascii="Times New Roman" w:hAnsi="Times New Roman" w:cs="Times New Roman"/>
        </w:rPr>
      </w:pPr>
    </w:p>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63"/>
        <w:gridCol w:w="1560"/>
        <w:gridCol w:w="1417"/>
        <w:gridCol w:w="2693"/>
        <w:gridCol w:w="2127"/>
        <w:gridCol w:w="1275"/>
        <w:gridCol w:w="851"/>
        <w:gridCol w:w="850"/>
        <w:gridCol w:w="851"/>
        <w:gridCol w:w="850"/>
        <w:gridCol w:w="969"/>
      </w:tblGrid>
      <w:tr w:rsidR="00FB70CD" w:rsidRPr="00226F9D" w14:paraId="65B0416B" w14:textId="77777777">
        <w:trPr>
          <w:trHeight w:val="320"/>
        </w:trPr>
        <w:tc>
          <w:tcPr>
            <w:tcW w:w="2263" w:type="dxa"/>
            <w:shd w:val="clear" w:color="000000" w:fill="FFFFFF"/>
            <w:noWrap/>
            <w:hideMark/>
          </w:tcPr>
          <w:p w14:paraId="4D2DA9C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lastRenderedPageBreak/>
              <w:t>4.1.2. Формирање дигиталне платформе за одржавање Јединственог пописа послова на локалном нивоу и праћење његове реализације (дигитализација Јединственог пописа послова на локалном нивоу)</w:t>
            </w:r>
          </w:p>
        </w:tc>
        <w:tc>
          <w:tcPr>
            <w:tcW w:w="1560" w:type="dxa"/>
            <w:shd w:val="clear" w:color="000000" w:fill="FFFFFF"/>
            <w:noWrap/>
            <w:hideMark/>
          </w:tcPr>
          <w:p w14:paraId="6BD70E4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000000" w:fill="FFFFFF"/>
            <w:noWrap/>
            <w:hideMark/>
          </w:tcPr>
          <w:p w14:paraId="344BDBF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shd w:val="clear" w:color="000000" w:fill="FFFFFF"/>
            <w:noWrap/>
            <w:hideMark/>
          </w:tcPr>
          <w:p w14:paraId="5D4162B9" w14:textId="07ADD125"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 20</w:t>
            </w:r>
            <w:r w:rsidR="004F4D86" w:rsidRPr="00226F9D">
              <w:rPr>
                <w:rFonts w:ascii="Times New Roman" w:eastAsia="Times New Roman" w:hAnsi="Times New Roman" w:cs="Times New Roman"/>
                <w:color w:val="000000"/>
                <w:kern w:val="0"/>
                <w:sz w:val="16"/>
                <w:szCs w:val="16"/>
                <w:lang w:val="sr-Cyrl-RS" w:eastAsia="en-GB"/>
                <w14:ligatures w14:val="none"/>
              </w:rPr>
              <w:t>30</w:t>
            </w:r>
            <w:r w:rsidRPr="00226F9D">
              <w:rPr>
                <w:rFonts w:ascii="Times New Roman" w:eastAsia="Times New Roman" w:hAnsi="Times New Roman" w:cs="Times New Roman"/>
                <w:color w:val="000000"/>
                <w:kern w:val="0"/>
                <w:sz w:val="16"/>
                <w:szCs w:val="16"/>
                <w:lang w:eastAsia="en-GB"/>
                <w14:ligatures w14:val="none"/>
              </w:rPr>
              <w:t>.</w:t>
            </w:r>
          </w:p>
        </w:tc>
        <w:tc>
          <w:tcPr>
            <w:tcW w:w="2127" w:type="dxa"/>
            <w:shd w:val="clear" w:color="000000" w:fill="FFFFFF"/>
            <w:noWrap/>
            <w:hideMark/>
          </w:tcPr>
          <w:p w14:paraId="3075398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Донаторска подршка* - средства нису обезбеђена</w:t>
            </w:r>
          </w:p>
        </w:tc>
        <w:tc>
          <w:tcPr>
            <w:tcW w:w="1275" w:type="dxa"/>
            <w:shd w:val="clear" w:color="000000" w:fill="FFFFFF"/>
            <w:noWrap/>
            <w:hideMark/>
          </w:tcPr>
          <w:p w14:paraId="1C2E017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noWrap/>
            <w:hideMark/>
          </w:tcPr>
          <w:p w14:paraId="2BF9DB0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2.550*</w:t>
            </w:r>
          </w:p>
        </w:tc>
        <w:tc>
          <w:tcPr>
            <w:tcW w:w="850" w:type="dxa"/>
            <w:shd w:val="clear" w:color="000000" w:fill="FFFFFF"/>
            <w:noWrap/>
            <w:hideMark/>
          </w:tcPr>
          <w:p w14:paraId="2B54CEB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2.000*</w:t>
            </w:r>
          </w:p>
        </w:tc>
        <w:tc>
          <w:tcPr>
            <w:tcW w:w="851" w:type="dxa"/>
            <w:shd w:val="clear" w:color="000000" w:fill="FFFFFF"/>
            <w:noWrap/>
            <w:hideMark/>
          </w:tcPr>
          <w:p w14:paraId="6F8A681D"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2.000*</w:t>
            </w:r>
          </w:p>
        </w:tc>
        <w:tc>
          <w:tcPr>
            <w:tcW w:w="850" w:type="dxa"/>
            <w:shd w:val="clear" w:color="000000" w:fill="FFFFFF"/>
            <w:noWrap/>
            <w:hideMark/>
          </w:tcPr>
          <w:p w14:paraId="2BC91E7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2.000*</w:t>
            </w:r>
          </w:p>
        </w:tc>
        <w:tc>
          <w:tcPr>
            <w:tcW w:w="969" w:type="dxa"/>
            <w:shd w:val="clear" w:color="000000" w:fill="FFFFFF"/>
            <w:noWrap/>
            <w:hideMark/>
          </w:tcPr>
          <w:p w14:paraId="5DA3884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2.000*</w:t>
            </w:r>
          </w:p>
        </w:tc>
      </w:tr>
      <w:tr w:rsidR="00FB70CD" w:rsidRPr="00226F9D" w14:paraId="1958B2E2" w14:textId="77777777">
        <w:trPr>
          <w:trHeight w:val="320"/>
        </w:trPr>
        <w:tc>
          <w:tcPr>
            <w:tcW w:w="2263" w:type="dxa"/>
            <w:shd w:val="clear" w:color="000000" w:fill="FFFFFF"/>
            <w:noWrap/>
            <w:hideMark/>
          </w:tcPr>
          <w:p w14:paraId="35CA8B1A"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4.1.3. Израда мапе пута са препорукама за успостављање ефикасније расподеле послова јавне управе у правцу повећања значаја локалне самоуправе у систему јавне управе (на основу упоредне анализе)</w:t>
            </w:r>
          </w:p>
        </w:tc>
        <w:tc>
          <w:tcPr>
            <w:tcW w:w="1560" w:type="dxa"/>
            <w:shd w:val="clear" w:color="000000" w:fill="FFFFFF"/>
            <w:noWrap/>
            <w:hideMark/>
          </w:tcPr>
          <w:p w14:paraId="3647272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shd w:val="clear" w:color="000000" w:fill="FFFFFF"/>
            <w:noWrap/>
            <w:hideMark/>
          </w:tcPr>
          <w:p w14:paraId="62B5102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Ресорна министарства, СКГО</w:t>
            </w:r>
          </w:p>
        </w:tc>
        <w:tc>
          <w:tcPr>
            <w:tcW w:w="2693" w:type="dxa"/>
            <w:shd w:val="clear" w:color="000000" w:fill="FFFFFF"/>
            <w:noWrap/>
            <w:hideMark/>
          </w:tcPr>
          <w:p w14:paraId="573988F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III квартал 2026. - II квартал 2027.</w:t>
            </w:r>
          </w:p>
        </w:tc>
        <w:tc>
          <w:tcPr>
            <w:tcW w:w="2127" w:type="dxa"/>
            <w:noWrap/>
            <w:hideMark/>
          </w:tcPr>
          <w:p w14:paraId="5548AC5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noWrap/>
            <w:hideMark/>
          </w:tcPr>
          <w:p w14:paraId="6009924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noWrap/>
            <w:hideMark/>
          </w:tcPr>
          <w:p w14:paraId="6A3D787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noWrap/>
            <w:hideMark/>
          </w:tcPr>
          <w:p w14:paraId="53447DA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600*</w:t>
            </w:r>
          </w:p>
        </w:tc>
        <w:tc>
          <w:tcPr>
            <w:tcW w:w="851" w:type="dxa"/>
            <w:shd w:val="clear" w:color="000000" w:fill="FFFFFF"/>
            <w:noWrap/>
            <w:hideMark/>
          </w:tcPr>
          <w:p w14:paraId="0595172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000000" w:fill="FFFFFF"/>
            <w:noWrap/>
            <w:hideMark/>
          </w:tcPr>
          <w:p w14:paraId="43A628C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shd w:val="clear" w:color="000000" w:fill="FFFFFF"/>
            <w:noWrap/>
            <w:hideMark/>
          </w:tcPr>
          <w:p w14:paraId="5878476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1C8E43C7" w14:textId="77777777">
        <w:trPr>
          <w:trHeight w:val="320"/>
        </w:trPr>
        <w:tc>
          <w:tcPr>
            <w:tcW w:w="2263" w:type="dxa"/>
            <w:noWrap/>
            <w:hideMark/>
          </w:tcPr>
          <w:p w14:paraId="7AD347DD" w14:textId="3524B23C"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4.1.4. Подршка за обједињавање административних поступака у циљу повећања доступности услуга рањивим категоријама становника у 1</w:t>
            </w:r>
            <w:r w:rsidR="008C1772" w:rsidRPr="00226F9D">
              <w:rPr>
                <w:rFonts w:ascii="Times New Roman" w:eastAsia="Times New Roman" w:hAnsi="Times New Roman" w:cs="Times New Roman"/>
                <w:color w:val="000000"/>
                <w:kern w:val="0"/>
                <w:sz w:val="16"/>
                <w:szCs w:val="16"/>
                <w:lang w:val="sr-Cyrl-RS" w:eastAsia="en-GB"/>
                <w14:ligatures w14:val="none"/>
              </w:rPr>
              <w:t>2</w:t>
            </w:r>
            <w:r w:rsidRPr="00226F9D">
              <w:rPr>
                <w:rFonts w:ascii="Times New Roman" w:eastAsia="Times New Roman" w:hAnsi="Times New Roman" w:cs="Times New Roman"/>
                <w:color w:val="000000"/>
                <w:kern w:val="0"/>
                <w:sz w:val="16"/>
                <w:szCs w:val="16"/>
                <w:lang w:eastAsia="en-GB"/>
                <w14:ligatures w14:val="none"/>
              </w:rPr>
              <w:t xml:space="preserve"> ЈЛС</w:t>
            </w:r>
          </w:p>
        </w:tc>
        <w:tc>
          <w:tcPr>
            <w:tcW w:w="1560" w:type="dxa"/>
            <w:noWrap/>
            <w:hideMark/>
          </w:tcPr>
          <w:p w14:paraId="1678D93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noWrap/>
            <w:hideMark/>
          </w:tcPr>
          <w:p w14:paraId="35326E2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shd w:val="clear" w:color="000000" w:fill="FFFFFF"/>
            <w:noWrap/>
            <w:hideMark/>
          </w:tcPr>
          <w:p w14:paraId="6AB866B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IV квартал </w:t>
            </w:r>
            <w:r w:rsidRPr="00226F9D">
              <w:rPr>
                <w:rFonts w:ascii="Times New Roman" w:eastAsia="Times New Roman" w:hAnsi="Times New Roman" w:cs="Times New Roman"/>
                <w:color w:val="000000"/>
                <w:kern w:val="0"/>
                <w:sz w:val="16"/>
                <w:szCs w:val="16"/>
                <w:lang w:eastAsia="en-GB"/>
                <w14:ligatures w14:val="none"/>
              </w:rPr>
              <w:br/>
              <w:t>2026.</w:t>
            </w:r>
          </w:p>
        </w:tc>
        <w:tc>
          <w:tcPr>
            <w:tcW w:w="2127" w:type="dxa"/>
            <w:noWrap/>
            <w:hideMark/>
          </w:tcPr>
          <w:p w14:paraId="3F4A770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Подршка из донације: (СДЦ-СКГО - Партнерство за добру локалну самоуправу)</w:t>
            </w:r>
          </w:p>
        </w:tc>
        <w:tc>
          <w:tcPr>
            <w:tcW w:w="1275" w:type="dxa"/>
            <w:noWrap/>
            <w:hideMark/>
          </w:tcPr>
          <w:p w14:paraId="26C5A9A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000000" w:fill="FFFFFF"/>
            <w:noWrap/>
            <w:hideMark/>
          </w:tcPr>
          <w:p w14:paraId="080B330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10.000</w:t>
            </w:r>
          </w:p>
        </w:tc>
        <w:tc>
          <w:tcPr>
            <w:tcW w:w="850" w:type="dxa"/>
            <w:shd w:val="clear" w:color="000000" w:fill="FFFFFF"/>
            <w:noWrap/>
            <w:hideMark/>
          </w:tcPr>
          <w:p w14:paraId="30B183F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251F535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3DCD49E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07993B8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683F5D3" w14:textId="77777777">
        <w:trPr>
          <w:trHeight w:val="320"/>
        </w:trPr>
        <w:tc>
          <w:tcPr>
            <w:tcW w:w="2263" w:type="dxa"/>
            <w:noWrap/>
            <w:hideMark/>
          </w:tcPr>
          <w:p w14:paraId="18CADB93"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4.1.5: Координација са министарствима у попису поверених административних поступака који се спроводе на нивоу ЈЛС у Рeгистар административних поступака </w:t>
            </w:r>
          </w:p>
        </w:tc>
        <w:tc>
          <w:tcPr>
            <w:tcW w:w="1560" w:type="dxa"/>
            <w:noWrap/>
            <w:hideMark/>
          </w:tcPr>
          <w:p w14:paraId="3956454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РСЈП</w:t>
            </w:r>
          </w:p>
        </w:tc>
        <w:tc>
          <w:tcPr>
            <w:tcW w:w="1417" w:type="dxa"/>
            <w:shd w:val="clear" w:color="000000" w:fill="FFFFFF"/>
            <w:noWrap/>
            <w:hideMark/>
          </w:tcPr>
          <w:p w14:paraId="3DADB64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Ресорна министарства, СКГО</w:t>
            </w:r>
          </w:p>
        </w:tc>
        <w:tc>
          <w:tcPr>
            <w:tcW w:w="2693" w:type="dxa"/>
            <w:shd w:val="clear" w:color="000000" w:fill="FFFFFF"/>
            <w:noWrap/>
            <w:hideMark/>
          </w:tcPr>
          <w:p w14:paraId="4C37703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 IV квартал </w:t>
            </w:r>
            <w:r w:rsidRPr="00226F9D">
              <w:rPr>
                <w:rFonts w:ascii="Times New Roman" w:eastAsia="Times New Roman" w:hAnsi="Times New Roman" w:cs="Times New Roman"/>
                <w:color w:val="000000"/>
                <w:kern w:val="0"/>
                <w:sz w:val="16"/>
                <w:szCs w:val="16"/>
                <w:lang w:eastAsia="en-GB"/>
                <w14:ligatures w14:val="none"/>
              </w:rPr>
              <w:br/>
              <w:t>2027.</w:t>
            </w:r>
          </w:p>
        </w:tc>
        <w:tc>
          <w:tcPr>
            <w:tcW w:w="2127" w:type="dxa"/>
            <w:noWrap/>
            <w:hideMark/>
          </w:tcPr>
          <w:p w14:paraId="05D858A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noWrap/>
            <w:hideMark/>
          </w:tcPr>
          <w:p w14:paraId="57CCD4E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0610-0005</w:t>
            </w:r>
          </w:p>
        </w:tc>
        <w:tc>
          <w:tcPr>
            <w:tcW w:w="851" w:type="dxa"/>
            <w:noWrap/>
            <w:hideMark/>
          </w:tcPr>
          <w:p w14:paraId="680FA50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3B3A45C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4594778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6BBB514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0C29468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460EFA83" w14:textId="77777777">
        <w:trPr>
          <w:trHeight w:val="320"/>
        </w:trPr>
        <w:tc>
          <w:tcPr>
            <w:tcW w:w="2263" w:type="dxa"/>
            <w:vMerge w:val="restart"/>
            <w:noWrap/>
            <w:hideMark/>
          </w:tcPr>
          <w:p w14:paraId="2F7A6364"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4.1.6. Пружање опште подршке ЈЛС за коришћење Регистра административних поступака ЈЛС</w:t>
            </w:r>
          </w:p>
        </w:tc>
        <w:tc>
          <w:tcPr>
            <w:tcW w:w="1560" w:type="dxa"/>
            <w:vMerge w:val="restart"/>
            <w:noWrap/>
            <w:hideMark/>
          </w:tcPr>
          <w:p w14:paraId="0543AE9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РСЈП</w:t>
            </w:r>
          </w:p>
        </w:tc>
        <w:tc>
          <w:tcPr>
            <w:tcW w:w="1417" w:type="dxa"/>
            <w:vMerge w:val="restart"/>
            <w:noWrap/>
            <w:hideMark/>
          </w:tcPr>
          <w:p w14:paraId="108DF11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vMerge w:val="restart"/>
            <w:shd w:val="clear" w:color="000000" w:fill="FFFFFF"/>
            <w:noWrap/>
            <w:hideMark/>
          </w:tcPr>
          <w:p w14:paraId="30659F3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IV квартал </w:t>
            </w:r>
            <w:r w:rsidRPr="00226F9D">
              <w:rPr>
                <w:rFonts w:ascii="Times New Roman" w:eastAsia="Times New Roman" w:hAnsi="Times New Roman" w:cs="Times New Roman"/>
                <w:color w:val="000000"/>
                <w:kern w:val="0"/>
                <w:sz w:val="16"/>
                <w:szCs w:val="16"/>
                <w:lang w:eastAsia="en-GB"/>
                <w14:ligatures w14:val="none"/>
              </w:rPr>
              <w:br/>
              <w:t>2030.</w:t>
            </w:r>
          </w:p>
        </w:tc>
        <w:tc>
          <w:tcPr>
            <w:tcW w:w="2127" w:type="dxa"/>
            <w:noWrap/>
            <w:hideMark/>
          </w:tcPr>
          <w:p w14:paraId="459B02B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Подршка из донације: (СДЦ-СКГО - Партнерство за добру локалну самоуправу)</w:t>
            </w:r>
          </w:p>
        </w:tc>
        <w:tc>
          <w:tcPr>
            <w:tcW w:w="1275" w:type="dxa"/>
            <w:noWrap/>
            <w:hideMark/>
          </w:tcPr>
          <w:p w14:paraId="66C3DD4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030BD7F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360</w:t>
            </w:r>
          </w:p>
        </w:tc>
        <w:tc>
          <w:tcPr>
            <w:tcW w:w="850" w:type="dxa"/>
            <w:noWrap/>
            <w:hideMark/>
          </w:tcPr>
          <w:p w14:paraId="7869C26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0C54AE5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27AFEDE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2345C12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7C0EF5F" w14:textId="77777777">
        <w:trPr>
          <w:trHeight w:val="320"/>
        </w:trPr>
        <w:tc>
          <w:tcPr>
            <w:tcW w:w="2263" w:type="dxa"/>
            <w:vMerge/>
            <w:hideMark/>
          </w:tcPr>
          <w:p w14:paraId="47AD402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0" w:type="dxa"/>
            <w:vMerge/>
            <w:hideMark/>
          </w:tcPr>
          <w:p w14:paraId="5C837D8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3B735798"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vMerge/>
            <w:hideMark/>
          </w:tcPr>
          <w:p w14:paraId="52F43ADC"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noWrap/>
            <w:hideMark/>
          </w:tcPr>
          <w:p w14:paraId="7E82DF3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noWrap/>
            <w:hideMark/>
          </w:tcPr>
          <w:p w14:paraId="7DB9296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0610-0005</w:t>
            </w:r>
          </w:p>
        </w:tc>
        <w:tc>
          <w:tcPr>
            <w:tcW w:w="851" w:type="dxa"/>
            <w:noWrap/>
            <w:hideMark/>
          </w:tcPr>
          <w:p w14:paraId="43761CB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2538C9F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0EA9AE2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1E8ACD5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4DF4147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464E1DC5" w14:textId="77777777">
        <w:trPr>
          <w:trHeight w:val="320"/>
        </w:trPr>
        <w:tc>
          <w:tcPr>
            <w:tcW w:w="2263" w:type="dxa"/>
            <w:vMerge/>
            <w:hideMark/>
          </w:tcPr>
          <w:p w14:paraId="2FABCB7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0" w:type="dxa"/>
            <w:vMerge/>
            <w:hideMark/>
          </w:tcPr>
          <w:p w14:paraId="6CA906F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2B7D2C2A"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vMerge/>
            <w:hideMark/>
          </w:tcPr>
          <w:p w14:paraId="7C141973"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noWrap/>
            <w:hideMark/>
          </w:tcPr>
          <w:p w14:paraId="2A215AF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noWrap/>
            <w:hideMark/>
          </w:tcPr>
          <w:p w14:paraId="5CAACDA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1FA0746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699E937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300*</w:t>
            </w:r>
          </w:p>
        </w:tc>
        <w:tc>
          <w:tcPr>
            <w:tcW w:w="851" w:type="dxa"/>
            <w:noWrap/>
            <w:hideMark/>
          </w:tcPr>
          <w:p w14:paraId="038C4CB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386703E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630EB54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bl>
    <w:p w14:paraId="09E0F7D4" w14:textId="69204ACF" w:rsidR="00FB70CD" w:rsidRDefault="00FB70CD" w:rsidP="005B0999">
      <w:pPr>
        <w:spacing w:after="0" w:line="240" w:lineRule="auto"/>
        <w:rPr>
          <w:rFonts w:ascii="Times New Roman" w:hAnsi="Times New Roman" w:cs="Times New Roman"/>
        </w:rPr>
      </w:pPr>
    </w:p>
    <w:p w14:paraId="16E2D426" w14:textId="4B6585DB" w:rsidR="00226F9D" w:rsidRDefault="00226F9D" w:rsidP="005B0999">
      <w:pPr>
        <w:spacing w:after="0" w:line="240" w:lineRule="auto"/>
        <w:rPr>
          <w:rFonts w:ascii="Times New Roman" w:hAnsi="Times New Roman" w:cs="Times New Roman"/>
        </w:rPr>
      </w:pPr>
    </w:p>
    <w:p w14:paraId="10CCECF7" w14:textId="577BB17C" w:rsidR="00226F9D" w:rsidRDefault="00226F9D" w:rsidP="005B0999">
      <w:pPr>
        <w:spacing w:after="0" w:line="240" w:lineRule="auto"/>
        <w:rPr>
          <w:rFonts w:ascii="Times New Roman" w:hAnsi="Times New Roman" w:cs="Times New Roman"/>
        </w:rPr>
      </w:pPr>
    </w:p>
    <w:p w14:paraId="3F54C9AC" w14:textId="1992B0F2" w:rsidR="00226F9D" w:rsidRDefault="00226F9D" w:rsidP="005B0999">
      <w:pPr>
        <w:spacing w:after="0" w:line="240" w:lineRule="auto"/>
        <w:rPr>
          <w:rFonts w:ascii="Times New Roman" w:hAnsi="Times New Roman" w:cs="Times New Roman"/>
        </w:rPr>
      </w:pPr>
    </w:p>
    <w:p w14:paraId="2B9AEDD6" w14:textId="684A806D" w:rsidR="00226F9D" w:rsidRDefault="00226F9D" w:rsidP="005B0999">
      <w:pPr>
        <w:spacing w:after="0" w:line="240" w:lineRule="auto"/>
        <w:rPr>
          <w:rFonts w:ascii="Times New Roman" w:hAnsi="Times New Roman" w:cs="Times New Roman"/>
        </w:rPr>
      </w:pPr>
    </w:p>
    <w:p w14:paraId="0D2DBE80" w14:textId="06C7A020" w:rsidR="00226F9D" w:rsidRDefault="00226F9D" w:rsidP="005B0999">
      <w:pPr>
        <w:spacing w:after="0" w:line="240" w:lineRule="auto"/>
        <w:rPr>
          <w:rFonts w:ascii="Times New Roman" w:hAnsi="Times New Roman" w:cs="Times New Roman"/>
        </w:rPr>
      </w:pPr>
    </w:p>
    <w:p w14:paraId="3356ABEA" w14:textId="22AB5DDB" w:rsidR="00226F9D" w:rsidRDefault="00226F9D" w:rsidP="005B0999">
      <w:pPr>
        <w:spacing w:after="0" w:line="240" w:lineRule="auto"/>
        <w:rPr>
          <w:rFonts w:ascii="Times New Roman" w:hAnsi="Times New Roman" w:cs="Times New Roman"/>
        </w:rPr>
      </w:pPr>
    </w:p>
    <w:p w14:paraId="233C70A7" w14:textId="42CE6E1B" w:rsidR="00226F9D" w:rsidRDefault="00226F9D" w:rsidP="005B0999">
      <w:pPr>
        <w:spacing w:after="0" w:line="240" w:lineRule="auto"/>
        <w:rPr>
          <w:rFonts w:ascii="Times New Roman" w:hAnsi="Times New Roman" w:cs="Times New Roman"/>
        </w:rPr>
      </w:pPr>
    </w:p>
    <w:p w14:paraId="0462EA30" w14:textId="77777777" w:rsidR="00226F9D" w:rsidRPr="00226F9D" w:rsidRDefault="00226F9D" w:rsidP="005B0999">
      <w:pPr>
        <w:spacing w:after="0" w:line="240" w:lineRule="auto"/>
        <w:rPr>
          <w:rFonts w:ascii="Times New Roman" w:hAnsi="Times New Roman" w:cs="Times New Roman"/>
        </w:rPr>
      </w:pPr>
    </w:p>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262"/>
        <w:gridCol w:w="1561"/>
        <w:gridCol w:w="1417"/>
        <w:gridCol w:w="1134"/>
        <w:gridCol w:w="1559"/>
        <w:gridCol w:w="2127"/>
        <w:gridCol w:w="1275"/>
        <w:gridCol w:w="851"/>
        <w:gridCol w:w="850"/>
        <w:gridCol w:w="851"/>
        <w:gridCol w:w="850"/>
        <w:gridCol w:w="969"/>
      </w:tblGrid>
      <w:tr w:rsidR="00FB70CD" w:rsidRPr="00226F9D" w14:paraId="0C16F464" w14:textId="77777777" w:rsidTr="5445EFBE">
        <w:trPr>
          <w:trHeight w:val="320"/>
        </w:trPr>
        <w:tc>
          <w:tcPr>
            <w:tcW w:w="2262" w:type="dxa"/>
            <w:noWrap/>
            <w:hideMark/>
          </w:tcPr>
          <w:p w14:paraId="1690385D" w14:textId="77777777" w:rsidR="00FB70CD" w:rsidRPr="00226F9D" w:rsidRDefault="00FB70CD" w:rsidP="005B0999">
            <w:pPr>
              <w:spacing w:after="0" w:line="240" w:lineRule="auto"/>
              <w:rPr>
                <w:rFonts w:ascii="Times New Roman" w:eastAsia="Times New Roman" w:hAnsi="Times New Roman" w:cs="Times New Roman"/>
                <w:spacing w:val="-4"/>
                <w:kern w:val="0"/>
                <w:sz w:val="16"/>
                <w:szCs w:val="16"/>
                <w:lang w:eastAsia="en-GB"/>
                <w14:ligatures w14:val="none"/>
              </w:rPr>
            </w:pPr>
            <w:r w:rsidRPr="00226F9D">
              <w:rPr>
                <w:rFonts w:ascii="Times New Roman" w:eastAsia="Times New Roman" w:hAnsi="Times New Roman" w:cs="Times New Roman"/>
                <w:spacing w:val="-4"/>
                <w:kern w:val="0"/>
                <w:sz w:val="16"/>
                <w:szCs w:val="16"/>
                <w:lang w:eastAsia="en-GB"/>
                <w14:ligatures w14:val="none"/>
              </w:rPr>
              <w:lastRenderedPageBreak/>
              <w:t>4.1.7. Анализа потенцијала за поједностављење, обједињавање и уједначавање административних поступака за изворне послове ЈЛС на бази података из Регистра административних поступака</w:t>
            </w:r>
          </w:p>
        </w:tc>
        <w:tc>
          <w:tcPr>
            <w:tcW w:w="1561" w:type="dxa"/>
            <w:noWrap/>
            <w:hideMark/>
          </w:tcPr>
          <w:p w14:paraId="35CF120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РСЈП</w:t>
            </w:r>
          </w:p>
        </w:tc>
        <w:tc>
          <w:tcPr>
            <w:tcW w:w="1417" w:type="dxa"/>
            <w:noWrap/>
            <w:hideMark/>
          </w:tcPr>
          <w:p w14:paraId="63F3E3B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shd w:val="clear" w:color="auto" w:fill="FFFFFF" w:themeFill="background1"/>
            <w:noWrap/>
            <w:hideMark/>
          </w:tcPr>
          <w:p w14:paraId="1E730A3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II квартал 2028. - IV квартал </w:t>
            </w:r>
            <w:r w:rsidRPr="00226F9D">
              <w:rPr>
                <w:rFonts w:ascii="Times New Roman" w:eastAsia="Times New Roman" w:hAnsi="Times New Roman" w:cs="Times New Roman"/>
                <w:color w:val="000000"/>
                <w:kern w:val="0"/>
                <w:sz w:val="16"/>
                <w:szCs w:val="16"/>
                <w:lang w:eastAsia="en-GB"/>
                <w14:ligatures w14:val="none"/>
              </w:rPr>
              <w:br/>
              <w:t>2028.</w:t>
            </w:r>
          </w:p>
        </w:tc>
        <w:tc>
          <w:tcPr>
            <w:tcW w:w="2127" w:type="dxa"/>
            <w:noWrap/>
            <w:hideMark/>
          </w:tcPr>
          <w:p w14:paraId="3E5CB98D"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noWrap/>
            <w:hideMark/>
          </w:tcPr>
          <w:p w14:paraId="0647259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7279399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2FA330B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c>
          <w:tcPr>
            <w:tcW w:w="851" w:type="dxa"/>
            <w:shd w:val="clear" w:color="auto" w:fill="FFFFFF" w:themeFill="background1"/>
            <w:noWrap/>
            <w:hideMark/>
          </w:tcPr>
          <w:p w14:paraId="2291CF9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360*</w:t>
            </w:r>
          </w:p>
        </w:tc>
        <w:tc>
          <w:tcPr>
            <w:tcW w:w="850" w:type="dxa"/>
            <w:shd w:val="clear" w:color="auto" w:fill="FFFFFF" w:themeFill="background1"/>
            <w:noWrap/>
            <w:hideMark/>
          </w:tcPr>
          <w:p w14:paraId="4ED613F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shd w:val="clear" w:color="auto" w:fill="FFFFFF" w:themeFill="background1"/>
            <w:noWrap/>
            <w:hideMark/>
          </w:tcPr>
          <w:p w14:paraId="05C906C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676E4C90" w14:textId="77777777" w:rsidTr="5445EFBE">
        <w:trPr>
          <w:trHeight w:val="320"/>
        </w:trPr>
        <w:tc>
          <w:tcPr>
            <w:tcW w:w="2262" w:type="dxa"/>
            <w:noWrap/>
            <w:hideMark/>
          </w:tcPr>
          <w:p w14:paraId="67AA54DA" w14:textId="77777777" w:rsidR="00FB70CD" w:rsidRPr="00226F9D" w:rsidRDefault="00FB70CD" w:rsidP="005B0999">
            <w:pPr>
              <w:spacing w:after="0" w:line="240" w:lineRule="auto"/>
              <w:rPr>
                <w:rFonts w:ascii="Times New Roman" w:eastAsia="Times New Roman" w:hAnsi="Times New Roman" w:cs="Times New Roman"/>
                <w:spacing w:val="-4"/>
                <w:kern w:val="0"/>
                <w:sz w:val="16"/>
                <w:szCs w:val="16"/>
                <w:lang w:eastAsia="en-GB"/>
                <w14:ligatures w14:val="none"/>
              </w:rPr>
            </w:pPr>
            <w:r w:rsidRPr="00226F9D">
              <w:rPr>
                <w:rFonts w:ascii="Times New Roman" w:eastAsia="Times New Roman" w:hAnsi="Times New Roman" w:cs="Times New Roman"/>
                <w:spacing w:val="-4"/>
                <w:kern w:val="0"/>
                <w:sz w:val="16"/>
                <w:szCs w:val="16"/>
                <w:lang w:eastAsia="en-GB"/>
                <w14:ligatures w14:val="none"/>
              </w:rPr>
              <w:t>4.1.8 Израда модела поједностављених и обједињених административних поступака у правцу унапређења једнаке доступности истоврсних услуга (на бази препорука анализе)</w:t>
            </w:r>
          </w:p>
        </w:tc>
        <w:tc>
          <w:tcPr>
            <w:tcW w:w="1561" w:type="dxa"/>
            <w:noWrap/>
            <w:hideMark/>
          </w:tcPr>
          <w:p w14:paraId="0C8615B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РСЈП</w:t>
            </w:r>
          </w:p>
        </w:tc>
        <w:tc>
          <w:tcPr>
            <w:tcW w:w="1417" w:type="dxa"/>
            <w:noWrap/>
            <w:hideMark/>
          </w:tcPr>
          <w:p w14:paraId="0EFB3A1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shd w:val="clear" w:color="auto" w:fill="FFFFFF" w:themeFill="background1"/>
            <w:noWrap/>
            <w:hideMark/>
          </w:tcPr>
          <w:p w14:paraId="56F0317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IV квартал </w:t>
            </w:r>
            <w:r w:rsidRPr="00226F9D">
              <w:rPr>
                <w:rFonts w:ascii="Times New Roman" w:eastAsia="Times New Roman" w:hAnsi="Times New Roman" w:cs="Times New Roman"/>
                <w:color w:val="000000"/>
                <w:kern w:val="0"/>
                <w:sz w:val="16"/>
                <w:szCs w:val="16"/>
                <w:lang w:eastAsia="en-GB"/>
                <w14:ligatures w14:val="none"/>
              </w:rPr>
              <w:br/>
              <w:t xml:space="preserve">2028. - II квартал </w:t>
            </w:r>
            <w:r w:rsidRPr="00226F9D">
              <w:rPr>
                <w:rFonts w:ascii="Times New Roman" w:eastAsia="Times New Roman" w:hAnsi="Times New Roman" w:cs="Times New Roman"/>
                <w:color w:val="000000"/>
                <w:kern w:val="0"/>
                <w:sz w:val="16"/>
                <w:szCs w:val="16"/>
                <w:lang w:eastAsia="en-GB"/>
                <w14:ligatures w14:val="none"/>
              </w:rPr>
              <w:br/>
              <w:t>2029.</w:t>
            </w:r>
          </w:p>
        </w:tc>
        <w:tc>
          <w:tcPr>
            <w:tcW w:w="2127" w:type="dxa"/>
            <w:noWrap/>
            <w:hideMark/>
          </w:tcPr>
          <w:p w14:paraId="57A6630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noWrap/>
            <w:hideMark/>
          </w:tcPr>
          <w:p w14:paraId="25327B6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1CB5198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6AA1143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4091DA2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noWrap/>
            <w:hideMark/>
          </w:tcPr>
          <w:p w14:paraId="366ABEE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720*</w:t>
            </w:r>
          </w:p>
        </w:tc>
        <w:tc>
          <w:tcPr>
            <w:tcW w:w="969" w:type="dxa"/>
            <w:shd w:val="clear" w:color="auto" w:fill="FFFFFF" w:themeFill="background1"/>
            <w:noWrap/>
            <w:hideMark/>
          </w:tcPr>
          <w:p w14:paraId="382B126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6F94D2AD" w14:textId="77777777" w:rsidTr="5445EFBE">
        <w:trPr>
          <w:trHeight w:val="24"/>
        </w:trPr>
        <w:tc>
          <w:tcPr>
            <w:tcW w:w="15706" w:type="dxa"/>
            <w:gridSpan w:val="12"/>
            <w:shd w:val="clear" w:color="auto" w:fill="F7CAAC"/>
            <w:noWrap/>
            <w:hideMark/>
          </w:tcPr>
          <w:p w14:paraId="0D7C2B46"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xml:space="preserve">Мера 4.2. Подршка даљем развоју међуопштинских услуга </w:t>
            </w:r>
          </w:p>
        </w:tc>
      </w:tr>
      <w:tr w:rsidR="00FB70CD" w:rsidRPr="00226F9D" w14:paraId="656F600F" w14:textId="77777777" w:rsidTr="5445EFBE">
        <w:trPr>
          <w:trHeight w:val="95"/>
        </w:trPr>
        <w:tc>
          <w:tcPr>
            <w:tcW w:w="15706" w:type="dxa"/>
            <w:gridSpan w:val="12"/>
            <w:shd w:val="clear" w:color="auto" w:fill="F7CAAC"/>
            <w:noWrap/>
            <w:hideMark/>
          </w:tcPr>
          <w:p w14:paraId="3B63242B"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Институција одговорна за праћење и контролу реализације: МДУЛС</w:t>
            </w:r>
          </w:p>
        </w:tc>
      </w:tr>
      <w:tr w:rsidR="00FB70CD" w:rsidRPr="00226F9D" w14:paraId="2492CA9B" w14:textId="77777777" w:rsidTr="5445EFBE">
        <w:trPr>
          <w:trHeight w:val="71"/>
        </w:trPr>
        <w:tc>
          <w:tcPr>
            <w:tcW w:w="3823" w:type="dxa"/>
            <w:gridSpan w:val="2"/>
            <w:shd w:val="clear" w:color="auto" w:fill="F7CAAC"/>
            <w:noWrap/>
            <w:hideMark/>
          </w:tcPr>
          <w:p w14:paraId="7CC50280"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Период спровођења: 2026-2030.</w:t>
            </w:r>
          </w:p>
        </w:tc>
        <w:tc>
          <w:tcPr>
            <w:tcW w:w="11883" w:type="dxa"/>
            <w:gridSpan w:val="10"/>
            <w:shd w:val="clear" w:color="auto" w:fill="F7CAAC"/>
            <w:noWrap/>
            <w:hideMark/>
          </w:tcPr>
          <w:p w14:paraId="2CFDEDA6"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Тип мере: Институционално управљачко организациона</w:t>
            </w:r>
          </w:p>
        </w:tc>
      </w:tr>
      <w:tr w:rsidR="00FB70CD" w:rsidRPr="00226F9D" w14:paraId="193E7E64" w14:textId="77777777" w:rsidTr="5445EFBE">
        <w:trPr>
          <w:trHeight w:val="33"/>
        </w:trPr>
        <w:tc>
          <w:tcPr>
            <w:tcW w:w="15706" w:type="dxa"/>
            <w:gridSpan w:val="12"/>
            <w:shd w:val="clear" w:color="auto" w:fill="F7CAAC"/>
            <w:noWrap/>
            <w:hideMark/>
          </w:tcPr>
          <w:p w14:paraId="2E7352DC"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Прописи које је потребно изменити/усвојити за спровођење мере: </w:t>
            </w:r>
          </w:p>
        </w:tc>
      </w:tr>
      <w:tr w:rsidR="00FB70CD" w:rsidRPr="00226F9D" w14:paraId="2DAA1B2B" w14:textId="77777777" w:rsidTr="5445EFBE">
        <w:trPr>
          <w:trHeight w:val="320"/>
        </w:trPr>
        <w:tc>
          <w:tcPr>
            <w:tcW w:w="5240" w:type="dxa"/>
            <w:gridSpan w:val="3"/>
            <w:shd w:val="clear" w:color="auto" w:fill="B4C6E7"/>
            <w:noWrap/>
            <w:vAlign w:val="center"/>
            <w:hideMark/>
          </w:tcPr>
          <w:p w14:paraId="0D838C36"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мере (показатељ резултата)</w:t>
            </w:r>
          </w:p>
        </w:tc>
        <w:tc>
          <w:tcPr>
            <w:tcW w:w="1134" w:type="dxa"/>
            <w:shd w:val="clear" w:color="auto" w:fill="B4C6E7"/>
            <w:noWrap/>
            <w:vAlign w:val="center"/>
          </w:tcPr>
          <w:p w14:paraId="0AA6AAD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auto" w:fill="B4C6E7"/>
            <w:vAlign w:val="center"/>
          </w:tcPr>
          <w:p w14:paraId="36F4CEE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auto" w:fill="B4C6E7"/>
            <w:vAlign w:val="center"/>
          </w:tcPr>
          <w:p w14:paraId="68B3254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auto" w:fill="B4C6E7"/>
            <w:noWrap/>
            <w:vAlign w:val="center"/>
            <w:hideMark/>
          </w:tcPr>
          <w:p w14:paraId="3BA8E93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auto" w:fill="B4C6E7"/>
            <w:noWrap/>
            <w:vAlign w:val="center"/>
            <w:hideMark/>
          </w:tcPr>
          <w:p w14:paraId="5A0771B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auto" w:fill="B4C6E7"/>
            <w:noWrap/>
            <w:vAlign w:val="center"/>
            <w:hideMark/>
          </w:tcPr>
          <w:p w14:paraId="6AA3578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auto" w:fill="B4C6E7"/>
            <w:noWrap/>
            <w:vAlign w:val="center"/>
            <w:hideMark/>
          </w:tcPr>
          <w:p w14:paraId="1762615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50" w:type="dxa"/>
            <w:shd w:val="clear" w:color="auto" w:fill="B4C6E7"/>
            <w:noWrap/>
            <w:vAlign w:val="center"/>
            <w:hideMark/>
          </w:tcPr>
          <w:p w14:paraId="343C108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69" w:type="dxa"/>
            <w:shd w:val="clear" w:color="auto" w:fill="B4C6E7"/>
            <w:noWrap/>
            <w:vAlign w:val="center"/>
            <w:hideMark/>
          </w:tcPr>
          <w:p w14:paraId="7F52FC6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1DED08E7" w14:textId="77777777" w:rsidTr="5445EFBE">
        <w:trPr>
          <w:trHeight w:val="47"/>
        </w:trPr>
        <w:tc>
          <w:tcPr>
            <w:tcW w:w="5240" w:type="dxa"/>
            <w:gridSpan w:val="3"/>
            <w:shd w:val="clear" w:color="auto" w:fill="FFFFFF" w:themeFill="background1"/>
            <w:noWrap/>
            <w:vAlign w:val="center"/>
            <w:hideMark/>
          </w:tcPr>
          <w:p w14:paraId="71E0FDFC"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Број пројеката међуопштинске сарадње подржан кроз национални и донаторски финансијски механизам</w:t>
            </w:r>
          </w:p>
        </w:tc>
        <w:tc>
          <w:tcPr>
            <w:tcW w:w="1134" w:type="dxa"/>
            <w:shd w:val="clear" w:color="auto" w:fill="FFFFFF" w:themeFill="background1"/>
            <w:noWrap/>
          </w:tcPr>
          <w:p w14:paraId="5F7CA3A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Број</w:t>
            </w:r>
          </w:p>
        </w:tc>
        <w:tc>
          <w:tcPr>
            <w:tcW w:w="1559" w:type="dxa"/>
            <w:shd w:val="clear" w:color="auto" w:fill="FFFFFF" w:themeFill="background1"/>
          </w:tcPr>
          <w:p w14:paraId="4BA0431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Извештај МДУЛС</w:t>
            </w:r>
          </w:p>
        </w:tc>
        <w:tc>
          <w:tcPr>
            <w:tcW w:w="2127" w:type="dxa"/>
            <w:shd w:val="clear" w:color="auto" w:fill="FFFFFF" w:themeFill="background1"/>
          </w:tcPr>
          <w:p w14:paraId="5E39E2D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22</w:t>
            </w:r>
          </w:p>
        </w:tc>
        <w:tc>
          <w:tcPr>
            <w:tcW w:w="1275" w:type="dxa"/>
            <w:shd w:val="clear" w:color="auto" w:fill="FFFFFF" w:themeFill="background1"/>
            <w:noWrap/>
            <w:hideMark/>
          </w:tcPr>
          <w:p w14:paraId="6DC0B2D0" w14:textId="5BD67A37" w:rsidR="00FB70CD" w:rsidRPr="00226F9D" w:rsidRDefault="008D335B" w:rsidP="005B0999">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kern w:val="0"/>
                <w:sz w:val="16"/>
                <w:szCs w:val="16"/>
                <w:lang w:val="sr-Cyrl-RS" w:eastAsia="en-GB"/>
                <w14:ligatures w14:val="none"/>
              </w:rPr>
              <w:t>202</w:t>
            </w:r>
            <w:r w:rsidR="00AF39A3" w:rsidRPr="00226F9D">
              <w:rPr>
                <w:rFonts w:ascii="Times New Roman" w:eastAsia="Times New Roman" w:hAnsi="Times New Roman" w:cs="Times New Roman"/>
                <w:kern w:val="0"/>
                <w:sz w:val="16"/>
                <w:szCs w:val="16"/>
                <w:lang w:val="sr-Cyrl-RS" w:eastAsia="en-GB"/>
                <w14:ligatures w14:val="none"/>
              </w:rPr>
              <w:t>5</w:t>
            </w:r>
          </w:p>
        </w:tc>
        <w:tc>
          <w:tcPr>
            <w:tcW w:w="851" w:type="dxa"/>
            <w:shd w:val="clear" w:color="auto" w:fill="FFFFFF" w:themeFill="background1"/>
            <w:noWrap/>
            <w:hideMark/>
          </w:tcPr>
          <w:p w14:paraId="1498CBCD"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27</w:t>
            </w:r>
          </w:p>
        </w:tc>
        <w:tc>
          <w:tcPr>
            <w:tcW w:w="850" w:type="dxa"/>
            <w:shd w:val="clear" w:color="auto" w:fill="FFFFFF" w:themeFill="background1"/>
            <w:noWrap/>
            <w:hideMark/>
          </w:tcPr>
          <w:p w14:paraId="44CF431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32</w:t>
            </w:r>
          </w:p>
        </w:tc>
        <w:tc>
          <w:tcPr>
            <w:tcW w:w="851" w:type="dxa"/>
            <w:shd w:val="clear" w:color="auto" w:fill="FFFFFF" w:themeFill="background1"/>
            <w:noWrap/>
            <w:hideMark/>
          </w:tcPr>
          <w:p w14:paraId="5E4D144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37</w:t>
            </w:r>
          </w:p>
        </w:tc>
        <w:tc>
          <w:tcPr>
            <w:tcW w:w="850" w:type="dxa"/>
            <w:shd w:val="clear" w:color="auto" w:fill="FFFFFF" w:themeFill="background1"/>
            <w:noWrap/>
            <w:hideMark/>
          </w:tcPr>
          <w:p w14:paraId="4E10DD7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42</w:t>
            </w:r>
          </w:p>
        </w:tc>
        <w:tc>
          <w:tcPr>
            <w:tcW w:w="969" w:type="dxa"/>
            <w:shd w:val="clear" w:color="auto" w:fill="FFFFFF" w:themeFill="background1"/>
            <w:noWrap/>
            <w:hideMark/>
          </w:tcPr>
          <w:p w14:paraId="780CCBA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47</w:t>
            </w:r>
          </w:p>
        </w:tc>
      </w:tr>
      <w:tr w:rsidR="00FB70CD" w:rsidRPr="00226F9D" w14:paraId="04322A6E" w14:textId="77777777" w:rsidTr="5445EFBE">
        <w:trPr>
          <w:trHeight w:val="31"/>
        </w:trPr>
        <w:tc>
          <w:tcPr>
            <w:tcW w:w="5240" w:type="dxa"/>
            <w:gridSpan w:val="3"/>
            <w:vMerge w:val="restart"/>
            <w:shd w:val="clear" w:color="auto" w:fill="A9D08E"/>
            <w:noWrap/>
            <w:vAlign w:val="center"/>
            <w:hideMark/>
          </w:tcPr>
          <w:p w14:paraId="297B53E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5" w:type="dxa"/>
            <w:gridSpan w:val="4"/>
            <w:vMerge w:val="restart"/>
            <w:shd w:val="clear" w:color="auto" w:fill="A9D08E"/>
            <w:noWrap/>
            <w:vAlign w:val="center"/>
            <w:hideMark/>
          </w:tcPr>
          <w:p w14:paraId="7B4F3B94" w14:textId="77777777" w:rsidR="00FB70CD" w:rsidRPr="00226F9D" w:rsidRDefault="00D155C4"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33"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71" w:type="dxa"/>
            <w:gridSpan w:val="5"/>
            <w:shd w:val="clear" w:color="auto" w:fill="A8D08D"/>
            <w:noWrap/>
            <w:hideMark/>
          </w:tcPr>
          <w:p w14:paraId="29AD9B7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у 000 дин</w:t>
            </w:r>
          </w:p>
        </w:tc>
      </w:tr>
      <w:tr w:rsidR="00FB70CD" w:rsidRPr="00226F9D" w14:paraId="18F02610" w14:textId="77777777" w:rsidTr="5445EFBE">
        <w:trPr>
          <w:trHeight w:val="20"/>
        </w:trPr>
        <w:tc>
          <w:tcPr>
            <w:tcW w:w="5240" w:type="dxa"/>
            <w:gridSpan w:val="3"/>
            <w:vMerge/>
            <w:hideMark/>
          </w:tcPr>
          <w:p w14:paraId="13927DA7"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p>
        </w:tc>
        <w:tc>
          <w:tcPr>
            <w:tcW w:w="6095" w:type="dxa"/>
            <w:gridSpan w:val="4"/>
            <w:vMerge/>
            <w:hideMark/>
          </w:tcPr>
          <w:p w14:paraId="75EB3247"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p>
        </w:tc>
        <w:tc>
          <w:tcPr>
            <w:tcW w:w="851" w:type="dxa"/>
            <w:shd w:val="clear" w:color="auto" w:fill="A8D08D"/>
            <w:noWrap/>
            <w:hideMark/>
          </w:tcPr>
          <w:p w14:paraId="5AF4B9F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A8D08D"/>
            <w:noWrap/>
            <w:hideMark/>
          </w:tcPr>
          <w:p w14:paraId="799003D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A8D08D"/>
            <w:noWrap/>
            <w:hideMark/>
          </w:tcPr>
          <w:p w14:paraId="24F01C49"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50" w:type="dxa"/>
            <w:shd w:val="clear" w:color="auto" w:fill="A8D08D"/>
            <w:noWrap/>
            <w:hideMark/>
          </w:tcPr>
          <w:p w14:paraId="2A79D37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69" w:type="dxa"/>
            <w:shd w:val="clear" w:color="auto" w:fill="A8D08D"/>
            <w:noWrap/>
            <w:hideMark/>
          </w:tcPr>
          <w:p w14:paraId="1EB1755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3CAAA5B6" w14:textId="77777777" w:rsidTr="5445EFBE">
        <w:trPr>
          <w:trHeight w:val="24"/>
        </w:trPr>
        <w:tc>
          <w:tcPr>
            <w:tcW w:w="5240" w:type="dxa"/>
            <w:gridSpan w:val="3"/>
            <w:shd w:val="clear" w:color="auto" w:fill="FFFFFF" w:themeFill="background1"/>
            <w:noWrap/>
            <w:hideMark/>
          </w:tcPr>
          <w:p w14:paraId="4FF0ECE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auto" w:fill="FFFFFF" w:themeFill="background1"/>
            <w:noWrap/>
            <w:hideMark/>
          </w:tcPr>
          <w:p w14:paraId="68BD69D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noWrap/>
            <w:hideMark/>
          </w:tcPr>
          <w:p w14:paraId="4592CDC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12.480</w:t>
            </w:r>
          </w:p>
        </w:tc>
        <w:tc>
          <w:tcPr>
            <w:tcW w:w="850" w:type="dxa"/>
            <w:shd w:val="clear" w:color="auto" w:fill="FFFFFF" w:themeFill="background1"/>
            <w:noWrap/>
            <w:hideMark/>
          </w:tcPr>
          <w:p w14:paraId="2BED0F41" w14:textId="1157B9AF" w:rsidR="00FB70CD" w:rsidRPr="00226F9D" w:rsidRDefault="00FB70CD" w:rsidP="005B0999">
            <w:pPr>
              <w:spacing w:after="0" w:line="240" w:lineRule="auto"/>
              <w:jc w:val="center"/>
              <w:rPr>
                <w:rFonts w:ascii="Times New Roman" w:eastAsia="Times New Roman" w:hAnsi="Times New Roman" w:cs="Times New Roman"/>
                <w:b/>
                <w:color w:val="000000"/>
                <w:kern w:val="0"/>
                <w:sz w:val="16"/>
                <w:szCs w:val="16"/>
                <w:lang w:val="sr-Cyrl-RS"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w:t>
            </w:r>
            <w:r w:rsidR="0069351D" w:rsidRPr="00226F9D">
              <w:rPr>
                <w:rFonts w:ascii="Times New Roman" w:eastAsia="Times New Roman" w:hAnsi="Times New Roman" w:cs="Times New Roman"/>
                <w:b/>
                <w:bCs/>
                <w:color w:val="000000"/>
                <w:kern w:val="0"/>
                <w:sz w:val="16"/>
                <w:szCs w:val="16"/>
                <w:lang w:val="sr-Cyrl-RS" w:eastAsia="en-GB"/>
                <w14:ligatures w14:val="none"/>
              </w:rPr>
              <w:t>4</w:t>
            </w:r>
            <w:r w:rsidRPr="00226F9D">
              <w:rPr>
                <w:rFonts w:ascii="Times New Roman" w:eastAsia="Times New Roman" w:hAnsi="Times New Roman" w:cs="Times New Roman"/>
                <w:b/>
                <w:bCs/>
                <w:color w:val="000000"/>
                <w:kern w:val="0"/>
                <w:sz w:val="16"/>
                <w:szCs w:val="16"/>
                <w:lang w:eastAsia="en-GB"/>
                <w14:ligatures w14:val="none"/>
              </w:rPr>
              <w:t>.</w:t>
            </w:r>
            <w:r w:rsidR="0069351D" w:rsidRPr="00226F9D">
              <w:rPr>
                <w:rFonts w:ascii="Times New Roman" w:eastAsia="Times New Roman" w:hAnsi="Times New Roman" w:cs="Times New Roman"/>
                <w:b/>
                <w:bCs/>
                <w:color w:val="000000"/>
                <w:kern w:val="0"/>
                <w:sz w:val="16"/>
                <w:szCs w:val="16"/>
                <w:lang w:val="sr-Cyrl-RS" w:eastAsia="en-GB"/>
                <w14:ligatures w14:val="none"/>
              </w:rPr>
              <w:t>256</w:t>
            </w:r>
          </w:p>
        </w:tc>
        <w:tc>
          <w:tcPr>
            <w:tcW w:w="851" w:type="dxa"/>
            <w:shd w:val="clear" w:color="auto" w:fill="FFFFFF" w:themeFill="background1"/>
            <w:noWrap/>
            <w:hideMark/>
          </w:tcPr>
          <w:p w14:paraId="406F00C9" w14:textId="6A63CD2B" w:rsidR="00FB70CD" w:rsidRPr="00226F9D" w:rsidRDefault="0069351D" w:rsidP="005B0999">
            <w:pPr>
              <w:spacing w:after="0" w:line="240" w:lineRule="auto"/>
              <w:jc w:val="center"/>
              <w:rPr>
                <w:rFonts w:ascii="Times New Roman" w:eastAsia="Times New Roman" w:hAnsi="Times New Roman" w:cs="Times New Roman"/>
                <w:b/>
                <w:color w:val="000000"/>
                <w:kern w:val="0"/>
                <w:sz w:val="16"/>
                <w:szCs w:val="16"/>
                <w:lang w:val="sr-Cyrl-RS" w:eastAsia="en-GB"/>
                <w14:ligatures w14:val="none"/>
              </w:rPr>
            </w:pPr>
            <w:r w:rsidRPr="00226F9D">
              <w:rPr>
                <w:rFonts w:ascii="Times New Roman" w:eastAsia="Times New Roman" w:hAnsi="Times New Roman" w:cs="Times New Roman"/>
                <w:b/>
                <w:bCs/>
                <w:color w:val="000000"/>
                <w:kern w:val="0"/>
                <w:sz w:val="16"/>
                <w:szCs w:val="16"/>
                <w:lang w:val="sr-Cyrl-RS" w:eastAsia="en-GB"/>
                <w14:ligatures w14:val="none"/>
              </w:rPr>
              <w:t>41</w:t>
            </w:r>
            <w:r w:rsidR="00FB70CD" w:rsidRPr="00226F9D">
              <w:rPr>
                <w:rFonts w:ascii="Times New Roman" w:eastAsia="Times New Roman" w:hAnsi="Times New Roman" w:cs="Times New Roman"/>
                <w:b/>
                <w:bCs/>
                <w:color w:val="000000"/>
                <w:kern w:val="0"/>
                <w:sz w:val="16"/>
                <w:szCs w:val="16"/>
                <w:lang w:eastAsia="en-GB"/>
                <w14:ligatures w14:val="none"/>
              </w:rPr>
              <w:t>.</w:t>
            </w:r>
            <w:r w:rsidR="005D57E1" w:rsidRPr="00226F9D">
              <w:rPr>
                <w:rFonts w:ascii="Times New Roman" w:eastAsia="Times New Roman" w:hAnsi="Times New Roman" w:cs="Times New Roman"/>
                <w:b/>
                <w:bCs/>
                <w:color w:val="000000"/>
                <w:kern w:val="0"/>
                <w:sz w:val="16"/>
                <w:szCs w:val="16"/>
                <w:lang w:val="sr-Cyrl-RS" w:eastAsia="en-GB"/>
                <w14:ligatures w14:val="none"/>
              </w:rPr>
              <w:t>558</w:t>
            </w:r>
          </w:p>
        </w:tc>
        <w:tc>
          <w:tcPr>
            <w:tcW w:w="850" w:type="dxa"/>
            <w:shd w:val="clear" w:color="auto" w:fill="FFFFFF" w:themeFill="background1"/>
            <w:noWrap/>
            <w:hideMark/>
          </w:tcPr>
          <w:p w14:paraId="7D7E067E" w14:textId="79FA3D63" w:rsidR="00FB70CD" w:rsidRPr="00226F9D" w:rsidRDefault="005D57E1" w:rsidP="005B0999">
            <w:pPr>
              <w:spacing w:after="0" w:line="240" w:lineRule="auto"/>
              <w:jc w:val="center"/>
              <w:rPr>
                <w:rFonts w:ascii="Times New Roman" w:eastAsia="Times New Roman" w:hAnsi="Times New Roman" w:cs="Times New Roman"/>
                <w:b/>
                <w:color w:val="000000"/>
                <w:kern w:val="0"/>
                <w:sz w:val="16"/>
                <w:szCs w:val="16"/>
                <w:lang w:val="sr-Cyrl-RS" w:eastAsia="en-GB"/>
                <w14:ligatures w14:val="none"/>
              </w:rPr>
            </w:pPr>
            <w:r w:rsidRPr="00226F9D">
              <w:rPr>
                <w:rFonts w:ascii="Times New Roman" w:eastAsia="Times New Roman" w:hAnsi="Times New Roman" w:cs="Times New Roman"/>
                <w:b/>
                <w:bCs/>
                <w:color w:val="000000"/>
                <w:kern w:val="0"/>
                <w:sz w:val="16"/>
                <w:szCs w:val="16"/>
                <w:lang w:val="sr-Cyrl-RS" w:eastAsia="en-GB"/>
                <w14:ligatures w14:val="none"/>
              </w:rPr>
              <w:t>4</w:t>
            </w:r>
            <w:r w:rsidR="00FB70CD" w:rsidRPr="00226F9D">
              <w:rPr>
                <w:rFonts w:ascii="Times New Roman" w:eastAsia="Times New Roman" w:hAnsi="Times New Roman" w:cs="Times New Roman"/>
                <w:b/>
                <w:bCs/>
                <w:color w:val="000000"/>
                <w:kern w:val="0"/>
                <w:sz w:val="16"/>
                <w:szCs w:val="16"/>
                <w:lang w:eastAsia="en-GB"/>
                <w14:ligatures w14:val="none"/>
              </w:rPr>
              <w:t>2.</w:t>
            </w:r>
            <w:r w:rsidRPr="00226F9D">
              <w:rPr>
                <w:rFonts w:ascii="Times New Roman" w:eastAsia="Times New Roman" w:hAnsi="Times New Roman" w:cs="Times New Roman"/>
                <w:b/>
                <w:bCs/>
                <w:color w:val="000000"/>
                <w:kern w:val="0"/>
                <w:sz w:val="16"/>
                <w:szCs w:val="16"/>
                <w:lang w:val="sr-Cyrl-RS" w:eastAsia="en-GB"/>
                <w14:ligatures w14:val="none"/>
              </w:rPr>
              <w:t>2</w:t>
            </w:r>
            <w:r w:rsidR="00FB70CD" w:rsidRPr="00226F9D">
              <w:rPr>
                <w:rFonts w:ascii="Times New Roman" w:eastAsia="Times New Roman" w:hAnsi="Times New Roman" w:cs="Times New Roman"/>
                <w:b/>
                <w:bCs/>
                <w:color w:val="000000"/>
                <w:kern w:val="0"/>
                <w:sz w:val="16"/>
                <w:szCs w:val="16"/>
                <w:lang w:eastAsia="en-GB"/>
                <w14:ligatures w14:val="none"/>
              </w:rPr>
              <w:t>4</w:t>
            </w:r>
            <w:r w:rsidRPr="00226F9D">
              <w:rPr>
                <w:rFonts w:ascii="Times New Roman" w:eastAsia="Times New Roman" w:hAnsi="Times New Roman" w:cs="Times New Roman"/>
                <w:b/>
                <w:bCs/>
                <w:color w:val="000000"/>
                <w:kern w:val="0"/>
                <w:sz w:val="16"/>
                <w:szCs w:val="16"/>
                <w:lang w:val="sr-Cyrl-RS" w:eastAsia="en-GB"/>
                <w14:ligatures w14:val="none"/>
              </w:rPr>
              <w:t>3</w:t>
            </w:r>
          </w:p>
        </w:tc>
        <w:tc>
          <w:tcPr>
            <w:tcW w:w="969" w:type="dxa"/>
            <w:shd w:val="clear" w:color="auto" w:fill="FFFFFF" w:themeFill="background1"/>
            <w:noWrap/>
            <w:hideMark/>
          </w:tcPr>
          <w:p w14:paraId="66CC0A0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12.000</w:t>
            </w:r>
          </w:p>
        </w:tc>
      </w:tr>
      <w:tr w:rsidR="00FB70CD" w:rsidRPr="00226F9D" w14:paraId="160EBB19" w14:textId="77777777" w:rsidTr="5445EFBE">
        <w:trPr>
          <w:trHeight w:val="526"/>
        </w:trPr>
        <w:tc>
          <w:tcPr>
            <w:tcW w:w="2262" w:type="dxa"/>
            <w:shd w:val="clear" w:color="auto" w:fill="FFF2CC"/>
            <w:noWrap/>
            <w:vAlign w:val="center"/>
            <w:hideMark/>
          </w:tcPr>
          <w:p w14:paraId="79A3FCCC"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61" w:type="dxa"/>
            <w:shd w:val="clear" w:color="auto" w:fill="FFF2CC"/>
            <w:noWrap/>
            <w:vAlign w:val="center"/>
            <w:hideMark/>
          </w:tcPr>
          <w:p w14:paraId="23261B7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auto" w:fill="FFF2CC"/>
            <w:noWrap/>
            <w:vAlign w:val="center"/>
            <w:hideMark/>
          </w:tcPr>
          <w:p w14:paraId="07F879BA"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Oргани и партнери у спровођењу активности</w:t>
            </w:r>
          </w:p>
        </w:tc>
        <w:tc>
          <w:tcPr>
            <w:tcW w:w="2693" w:type="dxa"/>
            <w:gridSpan w:val="2"/>
            <w:shd w:val="clear" w:color="auto" w:fill="FFF2CC"/>
            <w:noWrap/>
            <w:vAlign w:val="center"/>
            <w:hideMark/>
          </w:tcPr>
          <w:p w14:paraId="626291B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завршетак активности</w:t>
            </w:r>
          </w:p>
        </w:tc>
        <w:tc>
          <w:tcPr>
            <w:tcW w:w="2127" w:type="dxa"/>
            <w:shd w:val="clear" w:color="auto" w:fill="FFF2CC"/>
            <w:noWrap/>
            <w:vAlign w:val="center"/>
            <w:hideMark/>
          </w:tcPr>
          <w:p w14:paraId="7A7CD55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auto" w:fill="FFF2CC"/>
            <w:noWrap/>
            <w:vAlign w:val="center"/>
            <w:hideMark/>
          </w:tcPr>
          <w:p w14:paraId="2211963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71" w:type="dxa"/>
            <w:gridSpan w:val="5"/>
            <w:shd w:val="clear" w:color="auto" w:fill="FFF2CC"/>
            <w:noWrap/>
            <w:vAlign w:val="center"/>
            <w:hideMark/>
          </w:tcPr>
          <w:p w14:paraId="17BBADF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по изворима у 000 дин</w:t>
            </w:r>
          </w:p>
        </w:tc>
      </w:tr>
      <w:tr w:rsidR="00FB70CD" w:rsidRPr="00226F9D" w14:paraId="67568748" w14:textId="77777777" w:rsidTr="5445EFBE">
        <w:trPr>
          <w:trHeight w:val="24"/>
        </w:trPr>
        <w:tc>
          <w:tcPr>
            <w:tcW w:w="2262" w:type="dxa"/>
            <w:shd w:val="clear" w:color="auto" w:fill="FFF2CC"/>
            <w:noWrap/>
            <w:hideMark/>
          </w:tcPr>
          <w:p w14:paraId="4E2C6F0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561" w:type="dxa"/>
            <w:shd w:val="clear" w:color="auto" w:fill="FFF2CC"/>
            <w:noWrap/>
            <w:hideMark/>
          </w:tcPr>
          <w:p w14:paraId="19ACE55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417" w:type="dxa"/>
            <w:shd w:val="clear" w:color="auto" w:fill="FFF2CC"/>
            <w:noWrap/>
            <w:hideMark/>
          </w:tcPr>
          <w:p w14:paraId="18E72D7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693" w:type="dxa"/>
            <w:gridSpan w:val="2"/>
            <w:shd w:val="clear" w:color="auto" w:fill="FFF2CC"/>
            <w:noWrap/>
            <w:hideMark/>
          </w:tcPr>
          <w:p w14:paraId="77C83FE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2127" w:type="dxa"/>
            <w:shd w:val="clear" w:color="auto" w:fill="FFF2CC"/>
            <w:noWrap/>
            <w:hideMark/>
          </w:tcPr>
          <w:p w14:paraId="5847EBD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1275" w:type="dxa"/>
            <w:shd w:val="clear" w:color="auto" w:fill="FFF2CC"/>
            <w:noWrap/>
            <w:hideMark/>
          </w:tcPr>
          <w:p w14:paraId="5A3055A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2CC"/>
            <w:noWrap/>
            <w:hideMark/>
          </w:tcPr>
          <w:p w14:paraId="0B51BAE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FFF2CC"/>
            <w:noWrap/>
            <w:hideMark/>
          </w:tcPr>
          <w:p w14:paraId="597B4F2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FFF2CC"/>
            <w:noWrap/>
            <w:hideMark/>
          </w:tcPr>
          <w:p w14:paraId="6A99AB2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50" w:type="dxa"/>
            <w:shd w:val="clear" w:color="auto" w:fill="FFF2CC"/>
            <w:noWrap/>
            <w:hideMark/>
          </w:tcPr>
          <w:p w14:paraId="24487C7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69" w:type="dxa"/>
            <w:shd w:val="clear" w:color="auto" w:fill="FFF2CC"/>
            <w:noWrap/>
            <w:hideMark/>
          </w:tcPr>
          <w:p w14:paraId="0BDAE38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5963C25E" w14:textId="77777777" w:rsidTr="5445EFBE">
        <w:trPr>
          <w:trHeight w:val="20"/>
        </w:trPr>
        <w:tc>
          <w:tcPr>
            <w:tcW w:w="2262" w:type="dxa"/>
            <w:vMerge w:val="restart"/>
            <w:noWrap/>
            <w:hideMark/>
          </w:tcPr>
          <w:p w14:paraId="7D90B091" w14:textId="37B965AE" w:rsidR="00FB70CD" w:rsidRPr="00226F9D" w:rsidRDefault="00FB70CD" w:rsidP="005B0999">
            <w:pPr>
              <w:spacing w:after="0" w:line="240" w:lineRule="auto"/>
              <w:rPr>
                <w:rFonts w:ascii="Times New Roman" w:eastAsia="Times New Roman" w:hAnsi="Times New Roman" w:cs="Times New Roman"/>
                <w:spacing w:val="-4"/>
                <w:kern w:val="0"/>
                <w:sz w:val="16"/>
                <w:szCs w:val="16"/>
                <w:lang w:eastAsia="en-GB"/>
                <w14:ligatures w14:val="none"/>
              </w:rPr>
            </w:pPr>
            <w:r w:rsidRPr="00226F9D">
              <w:rPr>
                <w:rFonts w:ascii="Times New Roman" w:eastAsia="Times New Roman" w:hAnsi="Times New Roman" w:cs="Times New Roman"/>
                <w:spacing w:val="-4"/>
                <w:kern w:val="0"/>
                <w:sz w:val="16"/>
                <w:szCs w:val="16"/>
                <w:lang w:eastAsia="en-GB"/>
                <w14:ligatures w14:val="none"/>
              </w:rPr>
              <w:t>4.2.1. Финансијска подршка пројектима међуопштинске сарадње у спровођењу услуга локалне самоуправе Фонд за међуопштинску сарадњу (у областима социјалне и дечије заштите, просвете, комуналних делатности, локалне управне услуге и др.)</w:t>
            </w:r>
          </w:p>
        </w:tc>
        <w:tc>
          <w:tcPr>
            <w:tcW w:w="1561" w:type="dxa"/>
            <w:vMerge w:val="restart"/>
            <w:noWrap/>
            <w:hideMark/>
          </w:tcPr>
          <w:p w14:paraId="32D29B9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МДУЛС</w:t>
            </w:r>
          </w:p>
        </w:tc>
        <w:tc>
          <w:tcPr>
            <w:tcW w:w="1417" w:type="dxa"/>
            <w:vMerge w:val="restart"/>
            <w:noWrap/>
            <w:hideMark/>
          </w:tcPr>
          <w:p w14:paraId="54A7E5D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Ресорна министарства СКГО</w:t>
            </w:r>
          </w:p>
        </w:tc>
        <w:tc>
          <w:tcPr>
            <w:tcW w:w="2693" w:type="dxa"/>
            <w:gridSpan w:val="2"/>
            <w:vMerge w:val="restart"/>
            <w:shd w:val="clear" w:color="auto" w:fill="FFFFFF" w:themeFill="background1"/>
            <w:noWrap/>
            <w:hideMark/>
          </w:tcPr>
          <w:p w14:paraId="482A52B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 IV квартал </w:t>
            </w:r>
            <w:r w:rsidRPr="00226F9D">
              <w:rPr>
                <w:rFonts w:ascii="Times New Roman" w:eastAsia="Times New Roman" w:hAnsi="Times New Roman" w:cs="Times New Roman"/>
                <w:color w:val="000000"/>
                <w:kern w:val="0"/>
                <w:sz w:val="16"/>
                <w:szCs w:val="16"/>
                <w:lang w:eastAsia="en-GB"/>
                <w14:ligatures w14:val="none"/>
              </w:rPr>
              <w:br/>
              <w:t xml:space="preserve">2030. </w:t>
            </w:r>
          </w:p>
        </w:tc>
        <w:tc>
          <w:tcPr>
            <w:tcW w:w="2127" w:type="dxa"/>
            <w:noWrap/>
            <w:hideMark/>
          </w:tcPr>
          <w:p w14:paraId="1AB3DA8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трансфер другим нивоима власти</w:t>
            </w:r>
          </w:p>
        </w:tc>
        <w:tc>
          <w:tcPr>
            <w:tcW w:w="1275" w:type="dxa"/>
            <w:noWrap/>
            <w:hideMark/>
          </w:tcPr>
          <w:p w14:paraId="00D30852"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20-0608-0004-463</w:t>
            </w:r>
            <w:r w:rsidRPr="00226F9D">
              <w:rPr>
                <w:rFonts w:ascii="Times New Roman" w:eastAsia="Times New Roman" w:hAnsi="Times New Roman" w:cs="Times New Roman"/>
                <w:color w:val="000000"/>
                <w:kern w:val="0"/>
                <w:sz w:val="16"/>
                <w:szCs w:val="16"/>
                <w:lang w:eastAsia="en-GB"/>
                <w14:ligatures w14:val="none"/>
              </w:rPr>
              <w:br/>
              <w:t>* опредељен део ће бити одређен у зависности од занитересованости ЈЛС (укупан износ за различите намене 500,000)</w:t>
            </w:r>
          </w:p>
        </w:tc>
        <w:tc>
          <w:tcPr>
            <w:tcW w:w="851" w:type="dxa"/>
            <w:shd w:val="clear" w:color="auto" w:fill="FFFFFF" w:themeFill="background1"/>
            <w:noWrap/>
            <w:hideMark/>
          </w:tcPr>
          <w:p w14:paraId="3AF2E9C3" w14:textId="77777777" w:rsidR="00FB70CD" w:rsidRPr="00226F9D" w:rsidRDefault="00FB70CD" w:rsidP="005B0999">
            <w:pPr>
              <w:spacing w:after="0" w:line="240" w:lineRule="auto"/>
              <w:jc w:val="center"/>
              <w:rPr>
                <w:rFonts w:ascii="Times New Roman" w:eastAsia="Times New Roman" w:hAnsi="Times New Roman" w:cs="Times New Roman"/>
                <w:color w:val="FF0000"/>
                <w:kern w:val="0"/>
                <w:sz w:val="16"/>
                <w:szCs w:val="16"/>
                <w:lang w:eastAsia="en-GB"/>
                <w14:ligatures w14:val="none"/>
              </w:rPr>
            </w:pPr>
            <w:r w:rsidRPr="00226F9D">
              <w:rPr>
                <w:rFonts w:ascii="Times New Roman" w:eastAsia="Times New Roman" w:hAnsi="Times New Roman" w:cs="Times New Roman"/>
                <w:color w:val="FF0000"/>
                <w:kern w:val="0"/>
                <w:sz w:val="16"/>
                <w:szCs w:val="16"/>
                <w:lang w:eastAsia="en-GB"/>
                <w14:ligatures w14:val="none"/>
              </w:rPr>
              <w:t> </w:t>
            </w:r>
          </w:p>
        </w:tc>
        <w:tc>
          <w:tcPr>
            <w:tcW w:w="850" w:type="dxa"/>
            <w:shd w:val="clear" w:color="auto" w:fill="FFFFFF" w:themeFill="background1"/>
            <w:noWrap/>
            <w:hideMark/>
          </w:tcPr>
          <w:p w14:paraId="13FEAB9F" w14:textId="77777777" w:rsidR="00FB70CD" w:rsidRPr="00226F9D" w:rsidRDefault="00FB70CD" w:rsidP="005B0999">
            <w:pPr>
              <w:spacing w:after="0" w:line="240" w:lineRule="auto"/>
              <w:jc w:val="center"/>
              <w:rPr>
                <w:rFonts w:ascii="Times New Roman" w:eastAsia="Times New Roman" w:hAnsi="Times New Roman" w:cs="Times New Roman"/>
                <w:color w:val="FF0000"/>
                <w:kern w:val="0"/>
                <w:sz w:val="16"/>
                <w:szCs w:val="16"/>
                <w:lang w:eastAsia="en-GB"/>
                <w14:ligatures w14:val="none"/>
              </w:rPr>
            </w:pPr>
            <w:r w:rsidRPr="00226F9D">
              <w:rPr>
                <w:rFonts w:ascii="Times New Roman" w:eastAsia="Times New Roman" w:hAnsi="Times New Roman" w:cs="Times New Roman"/>
                <w:color w:val="FF0000"/>
                <w:kern w:val="0"/>
                <w:sz w:val="16"/>
                <w:szCs w:val="16"/>
                <w:lang w:eastAsia="en-GB"/>
                <w14:ligatures w14:val="none"/>
              </w:rPr>
              <w:t> </w:t>
            </w:r>
          </w:p>
        </w:tc>
        <w:tc>
          <w:tcPr>
            <w:tcW w:w="851" w:type="dxa"/>
            <w:noWrap/>
            <w:hideMark/>
          </w:tcPr>
          <w:p w14:paraId="2C0AA02B" w14:textId="77777777" w:rsidR="00FB70CD" w:rsidRPr="00226F9D" w:rsidRDefault="00FB70CD" w:rsidP="005B0999">
            <w:pPr>
              <w:spacing w:after="0" w:line="240" w:lineRule="auto"/>
              <w:jc w:val="center"/>
              <w:rPr>
                <w:rFonts w:ascii="Times New Roman" w:eastAsia="Times New Roman" w:hAnsi="Times New Roman" w:cs="Times New Roman"/>
                <w:color w:val="FF0000"/>
                <w:kern w:val="0"/>
                <w:sz w:val="16"/>
                <w:szCs w:val="16"/>
                <w:lang w:eastAsia="en-GB"/>
                <w14:ligatures w14:val="none"/>
              </w:rPr>
            </w:pPr>
            <w:r w:rsidRPr="00226F9D">
              <w:rPr>
                <w:rFonts w:ascii="Times New Roman" w:eastAsia="Times New Roman" w:hAnsi="Times New Roman" w:cs="Times New Roman"/>
                <w:color w:val="FF0000"/>
                <w:kern w:val="0"/>
                <w:sz w:val="16"/>
                <w:szCs w:val="16"/>
                <w:lang w:eastAsia="en-GB"/>
                <w14:ligatures w14:val="none"/>
              </w:rPr>
              <w:t> </w:t>
            </w:r>
          </w:p>
        </w:tc>
        <w:tc>
          <w:tcPr>
            <w:tcW w:w="850" w:type="dxa"/>
            <w:noWrap/>
            <w:hideMark/>
          </w:tcPr>
          <w:p w14:paraId="2EAF6E4F" w14:textId="77777777" w:rsidR="00FB70CD" w:rsidRPr="00226F9D" w:rsidRDefault="00FB70CD" w:rsidP="005B0999">
            <w:pPr>
              <w:spacing w:after="0" w:line="240" w:lineRule="auto"/>
              <w:jc w:val="center"/>
              <w:rPr>
                <w:rFonts w:ascii="Times New Roman" w:eastAsia="Times New Roman" w:hAnsi="Times New Roman" w:cs="Times New Roman"/>
                <w:color w:val="FF0000"/>
                <w:kern w:val="0"/>
                <w:sz w:val="16"/>
                <w:szCs w:val="16"/>
                <w:lang w:eastAsia="en-GB"/>
                <w14:ligatures w14:val="none"/>
              </w:rPr>
            </w:pPr>
            <w:r w:rsidRPr="00226F9D">
              <w:rPr>
                <w:rFonts w:ascii="Times New Roman" w:eastAsia="Times New Roman" w:hAnsi="Times New Roman" w:cs="Times New Roman"/>
                <w:color w:val="FF0000"/>
                <w:kern w:val="0"/>
                <w:sz w:val="16"/>
                <w:szCs w:val="16"/>
                <w:lang w:eastAsia="en-GB"/>
                <w14:ligatures w14:val="none"/>
              </w:rPr>
              <w:t> </w:t>
            </w:r>
          </w:p>
        </w:tc>
        <w:tc>
          <w:tcPr>
            <w:tcW w:w="969" w:type="dxa"/>
            <w:noWrap/>
            <w:hideMark/>
          </w:tcPr>
          <w:p w14:paraId="1B279AA1" w14:textId="77777777" w:rsidR="00FB70CD" w:rsidRPr="00226F9D" w:rsidRDefault="00FB70CD" w:rsidP="005B0999">
            <w:pPr>
              <w:spacing w:after="0" w:line="240" w:lineRule="auto"/>
              <w:jc w:val="center"/>
              <w:rPr>
                <w:rFonts w:ascii="Times New Roman" w:eastAsia="Times New Roman" w:hAnsi="Times New Roman" w:cs="Times New Roman"/>
                <w:color w:val="FF0000"/>
                <w:kern w:val="0"/>
                <w:sz w:val="16"/>
                <w:szCs w:val="16"/>
                <w:lang w:eastAsia="en-GB"/>
                <w14:ligatures w14:val="none"/>
              </w:rPr>
            </w:pPr>
            <w:r w:rsidRPr="00226F9D">
              <w:rPr>
                <w:rFonts w:ascii="Times New Roman" w:eastAsia="Times New Roman" w:hAnsi="Times New Roman" w:cs="Times New Roman"/>
                <w:color w:val="FF0000"/>
                <w:kern w:val="0"/>
                <w:sz w:val="16"/>
                <w:szCs w:val="16"/>
                <w:lang w:eastAsia="en-GB"/>
                <w14:ligatures w14:val="none"/>
              </w:rPr>
              <w:t> </w:t>
            </w:r>
          </w:p>
        </w:tc>
      </w:tr>
      <w:tr w:rsidR="00FB70CD" w:rsidRPr="00226F9D" w14:paraId="64C3B41D" w14:textId="77777777" w:rsidTr="5445EFBE">
        <w:trPr>
          <w:trHeight w:val="20"/>
        </w:trPr>
        <w:tc>
          <w:tcPr>
            <w:tcW w:w="2262" w:type="dxa"/>
            <w:vMerge/>
            <w:hideMark/>
          </w:tcPr>
          <w:p w14:paraId="63246C9C"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p>
        </w:tc>
        <w:tc>
          <w:tcPr>
            <w:tcW w:w="1561" w:type="dxa"/>
            <w:vMerge/>
            <w:hideMark/>
          </w:tcPr>
          <w:p w14:paraId="07677C0F"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280F07B1"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vMerge/>
            <w:hideMark/>
          </w:tcPr>
          <w:p w14:paraId="63A6ECA3"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noWrap/>
            <w:hideMark/>
          </w:tcPr>
          <w:p w14:paraId="15D1132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Донаторска подршка* - средства нису обезбеђена</w:t>
            </w:r>
          </w:p>
        </w:tc>
        <w:tc>
          <w:tcPr>
            <w:tcW w:w="1275" w:type="dxa"/>
            <w:noWrap/>
            <w:hideMark/>
          </w:tcPr>
          <w:p w14:paraId="10D905F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noWrap/>
            <w:hideMark/>
          </w:tcPr>
          <w:p w14:paraId="70C6375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12.000*</w:t>
            </w:r>
          </w:p>
        </w:tc>
        <w:tc>
          <w:tcPr>
            <w:tcW w:w="850" w:type="dxa"/>
            <w:shd w:val="clear" w:color="auto" w:fill="FFFFFF" w:themeFill="background1"/>
            <w:noWrap/>
            <w:hideMark/>
          </w:tcPr>
          <w:p w14:paraId="7F46967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12.000*</w:t>
            </w:r>
          </w:p>
        </w:tc>
        <w:tc>
          <w:tcPr>
            <w:tcW w:w="851" w:type="dxa"/>
            <w:shd w:val="clear" w:color="auto" w:fill="FFFFFF" w:themeFill="background1"/>
            <w:noWrap/>
            <w:hideMark/>
          </w:tcPr>
          <w:p w14:paraId="52074F89"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12.000*</w:t>
            </w:r>
          </w:p>
        </w:tc>
        <w:tc>
          <w:tcPr>
            <w:tcW w:w="850" w:type="dxa"/>
            <w:shd w:val="clear" w:color="auto" w:fill="FFFFFF" w:themeFill="background1"/>
            <w:noWrap/>
            <w:hideMark/>
          </w:tcPr>
          <w:p w14:paraId="7D8321CB"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12.000*</w:t>
            </w:r>
          </w:p>
        </w:tc>
        <w:tc>
          <w:tcPr>
            <w:tcW w:w="969" w:type="dxa"/>
            <w:shd w:val="clear" w:color="auto" w:fill="FFFFFF" w:themeFill="background1"/>
            <w:noWrap/>
            <w:hideMark/>
          </w:tcPr>
          <w:p w14:paraId="2AB45F96"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12.000*</w:t>
            </w:r>
          </w:p>
        </w:tc>
      </w:tr>
      <w:tr w:rsidR="00FB70CD" w:rsidRPr="00226F9D" w14:paraId="18A22479" w14:textId="77777777" w:rsidTr="5445EFBE">
        <w:trPr>
          <w:trHeight w:val="320"/>
        </w:trPr>
        <w:tc>
          <w:tcPr>
            <w:tcW w:w="2262" w:type="dxa"/>
            <w:vMerge w:val="restart"/>
            <w:noWrap/>
            <w:hideMark/>
          </w:tcPr>
          <w:p w14:paraId="62C21636" w14:textId="636FE881" w:rsidR="00FB70CD" w:rsidRPr="00226F9D" w:rsidRDefault="00FB70CD" w:rsidP="40162187">
            <w:pPr>
              <w:spacing w:after="0" w:line="240" w:lineRule="auto"/>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kern w:val="0"/>
                <w:sz w:val="16"/>
                <w:szCs w:val="16"/>
                <w:lang w:eastAsia="en-GB"/>
                <w14:ligatures w14:val="none"/>
              </w:rPr>
              <w:t>4.2.2.</w:t>
            </w:r>
            <w:r w:rsidR="008C1772" w:rsidRPr="00226F9D">
              <w:rPr>
                <w:rFonts w:ascii="Times New Roman" w:eastAsia="Times New Roman" w:hAnsi="Times New Roman" w:cs="Times New Roman"/>
                <w:color w:val="000000"/>
                <w:kern w:val="0"/>
                <w:sz w:val="16"/>
                <w:szCs w:val="16"/>
                <w:lang w:val="sr-Cyrl-RS" w:eastAsia="en-GB"/>
                <w14:ligatures w14:val="none"/>
              </w:rPr>
              <w:t xml:space="preserve"> </w:t>
            </w:r>
            <w:r w:rsidRPr="00226F9D">
              <w:rPr>
                <w:rFonts w:ascii="Times New Roman" w:eastAsia="Times New Roman" w:hAnsi="Times New Roman" w:cs="Times New Roman"/>
                <w:color w:val="000000"/>
                <w:kern w:val="0"/>
                <w:sz w:val="16"/>
                <w:szCs w:val="16"/>
                <w:lang w:eastAsia="en-GB"/>
                <w14:ligatures w14:val="none"/>
              </w:rPr>
              <w:t xml:space="preserve">Подршка ЛС у успостављању </w:t>
            </w:r>
            <w:r w:rsidRPr="00226F9D">
              <w:rPr>
                <w:rFonts w:ascii="Times New Roman" w:eastAsia="Times New Roman" w:hAnsi="Times New Roman" w:cs="Times New Roman"/>
                <w:color w:val="000000"/>
                <w:kern w:val="0"/>
                <w:sz w:val="16"/>
                <w:szCs w:val="16"/>
                <w:lang w:eastAsia="en-GB"/>
                <w14:ligatures w14:val="none"/>
              </w:rPr>
              <w:lastRenderedPageBreak/>
              <w:t>међуопштинске сарадње за спровођење услуга локалне самоуправе (израда модела међуопштинских споразума и других пратећих локалних аката, припрема смерница и упутства за закључивање и спровођење МОС, саветодавна подршка и др.)</w:t>
            </w:r>
          </w:p>
          <w:p w14:paraId="7471B7BD" w14:textId="27CDE03D" w:rsidR="00FB70CD" w:rsidRPr="00226F9D" w:rsidRDefault="00FB70CD" w:rsidP="40162187">
            <w:pPr>
              <w:spacing w:after="0" w:line="240" w:lineRule="auto"/>
              <w:rPr>
                <w:rFonts w:ascii="Times New Roman" w:eastAsia="Times New Roman" w:hAnsi="Times New Roman" w:cs="Times New Roman"/>
                <w:color w:val="000000" w:themeColor="text1"/>
                <w:sz w:val="16"/>
                <w:szCs w:val="16"/>
                <w:lang w:val="sr-Cyrl-RS" w:eastAsia="en-GB"/>
              </w:rPr>
            </w:pPr>
          </w:p>
          <w:p w14:paraId="42E1A656" w14:textId="6E1D4A15"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1" w:type="dxa"/>
            <w:vMerge w:val="restart"/>
            <w:noWrap/>
            <w:hideMark/>
          </w:tcPr>
          <w:p w14:paraId="65B6F70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lastRenderedPageBreak/>
              <w:t>МДУЛС</w:t>
            </w:r>
          </w:p>
        </w:tc>
        <w:tc>
          <w:tcPr>
            <w:tcW w:w="1417" w:type="dxa"/>
            <w:vMerge w:val="restart"/>
            <w:noWrap/>
            <w:hideMark/>
          </w:tcPr>
          <w:p w14:paraId="372E98F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w:t>
            </w:r>
          </w:p>
        </w:tc>
        <w:tc>
          <w:tcPr>
            <w:tcW w:w="2693" w:type="dxa"/>
            <w:gridSpan w:val="2"/>
            <w:vMerge w:val="restart"/>
            <w:shd w:val="clear" w:color="auto" w:fill="FFFFFF" w:themeFill="background1"/>
            <w:noWrap/>
            <w:hideMark/>
          </w:tcPr>
          <w:p w14:paraId="11AEE6A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I квартал 2026.- IV квартал </w:t>
            </w:r>
            <w:r w:rsidRPr="00226F9D">
              <w:rPr>
                <w:rFonts w:ascii="Times New Roman" w:eastAsia="Times New Roman" w:hAnsi="Times New Roman" w:cs="Times New Roman"/>
                <w:color w:val="000000"/>
                <w:kern w:val="0"/>
                <w:sz w:val="16"/>
                <w:szCs w:val="16"/>
                <w:lang w:eastAsia="en-GB"/>
                <w14:ligatures w14:val="none"/>
              </w:rPr>
              <w:br/>
              <w:t>2030.</w:t>
            </w:r>
          </w:p>
        </w:tc>
        <w:tc>
          <w:tcPr>
            <w:tcW w:w="2127" w:type="dxa"/>
            <w:noWrap/>
            <w:hideMark/>
          </w:tcPr>
          <w:p w14:paraId="7DD3E4A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Подршка из донације: </w:t>
            </w:r>
            <w:r w:rsidRPr="00226F9D">
              <w:rPr>
                <w:rFonts w:ascii="Times New Roman" w:eastAsia="Times New Roman" w:hAnsi="Times New Roman" w:cs="Times New Roman"/>
                <w:color w:val="000000"/>
                <w:kern w:val="0"/>
                <w:sz w:val="16"/>
                <w:szCs w:val="16"/>
                <w:lang w:eastAsia="en-GB"/>
                <w14:ligatures w14:val="none"/>
              </w:rPr>
              <w:br/>
              <w:t xml:space="preserve">(СДЦ-СКГО – Партнерство </w:t>
            </w:r>
            <w:r w:rsidRPr="00226F9D">
              <w:rPr>
                <w:rFonts w:ascii="Times New Roman" w:eastAsia="Times New Roman" w:hAnsi="Times New Roman" w:cs="Times New Roman"/>
                <w:color w:val="000000"/>
                <w:kern w:val="0"/>
                <w:sz w:val="16"/>
                <w:szCs w:val="16"/>
                <w:lang w:eastAsia="en-GB"/>
                <w14:ligatures w14:val="none"/>
              </w:rPr>
              <w:lastRenderedPageBreak/>
              <w:t>за добру локалну самоуправу)</w:t>
            </w:r>
          </w:p>
        </w:tc>
        <w:tc>
          <w:tcPr>
            <w:tcW w:w="1275" w:type="dxa"/>
            <w:noWrap/>
            <w:hideMark/>
          </w:tcPr>
          <w:p w14:paraId="44F856F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lastRenderedPageBreak/>
              <w:t> </w:t>
            </w:r>
          </w:p>
        </w:tc>
        <w:tc>
          <w:tcPr>
            <w:tcW w:w="851" w:type="dxa"/>
            <w:shd w:val="clear" w:color="auto" w:fill="FFFFFF" w:themeFill="background1"/>
            <w:noWrap/>
            <w:hideMark/>
          </w:tcPr>
          <w:p w14:paraId="062C989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480</w:t>
            </w:r>
          </w:p>
        </w:tc>
        <w:tc>
          <w:tcPr>
            <w:tcW w:w="850" w:type="dxa"/>
            <w:shd w:val="clear" w:color="auto" w:fill="FFFFFF" w:themeFill="background1"/>
            <w:noWrap/>
            <w:hideMark/>
          </w:tcPr>
          <w:p w14:paraId="77E6E3C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6FBCF3A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3EDB331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7A43DDD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28C2327C" w14:textId="77777777" w:rsidTr="5445EFBE">
        <w:trPr>
          <w:trHeight w:val="429"/>
        </w:trPr>
        <w:tc>
          <w:tcPr>
            <w:tcW w:w="2262" w:type="dxa"/>
            <w:vMerge/>
            <w:hideMark/>
          </w:tcPr>
          <w:p w14:paraId="1F5E059C"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1" w:type="dxa"/>
            <w:vMerge/>
            <w:hideMark/>
          </w:tcPr>
          <w:p w14:paraId="7509E85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18244EEB"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vMerge/>
            <w:hideMark/>
          </w:tcPr>
          <w:p w14:paraId="43F44F15"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noWrap/>
            <w:hideMark/>
          </w:tcPr>
          <w:p w14:paraId="0E8ABDE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noWrap/>
            <w:hideMark/>
          </w:tcPr>
          <w:p w14:paraId="7BA5437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noWrap/>
            <w:hideMark/>
          </w:tcPr>
          <w:p w14:paraId="0E1A8E5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shd w:val="clear" w:color="auto" w:fill="FFFFFF" w:themeFill="background1"/>
            <w:noWrap/>
            <w:hideMark/>
          </w:tcPr>
          <w:p w14:paraId="2BD466F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480*</w:t>
            </w:r>
          </w:p>
        </w:tc>
        <w:tc>
          <w:tcPr>
            <w:tcW w:w="851" w:type="dxa"/>
            <w:noWrap/>
            <w:hideMark/>
          </w:tcPr>
          <w:p w14:paraId="0E7F022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39814AC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480*</w:t>
            </w:r>
          </w:p>
        </w:tc>
        <w:tc>
          <w:tcPr>
            <w:tcW w:w="969" w:type="dxa"/>
            <w:noWrap/>
            <w:hideMark/>
          </w:tcPr>
          <w:p w14:paraId="301ECD9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7E1E62" w:rsidRPr="00226F9D" w14:paraId="7E69A651" w14:textId="77777777" w:rsidTr="5445EFBE">
        <w:trPr>
          <w:trHeight w:val="429"/>
        </w:trPr>
        <w:tc>
          <w:tcPr>
            <w:tcW w:w="2262" w:type="dxa"/>
          </w:tcPr>
          <w:p w14:paraId="66BE41DB" w14:textId="7399CD5E" w:rsidR="4ADC82FC" w:rsidRPr="00226F9D" w:rsidRDefault="4ADC82FC" w:rsidP="5445EFBE">
            <w:pPr>
              <w:spacing w:after="0" w:line="240" w:lineRule="auto"/>
              <w:rPr>
                <w:rFonts w:ascii="Times New Roman" w:eastAsia="Arial" w:hAnsi="Times New Roman" w:cs="Times New Roman"/>
                <w:sz w:val="16"/>
                <w:szCs w:val="16"/>
                <w:lang w:val="sr-Cyrl-RS"/>
              </w:rPr>
            </w:pPr>
            <w:r w:rsidRPr="00226F9D">
              <w:rPr>
                <w:rFonts w:ascii="Times New Roman" w:eastAsia="Times New Roman" w:hAnsi="Times New Roman" w:cs="Times New Roman"/>
                <w:color w:val="000000" w:themeColor="text1"/>
                <w:sz w:val="16"/>
                <w:szCs w:val="16"/>
                <w:lang w:val="sr-Cyrl-RS" w:eastAsia="en-GB"/>
              </w:rPr>
              <w:t>4.2.3.</w:t>
            </w:r>
            <w:r w:rsidRPr="00226F9D">
              <w:rPr>
                <w:rFonts w:ascii="Times New Roman" w:eastAsia="Arial" w:hAnsi="Times New Roman" w:cs="Times New Roman"/>
                <w:color w:val="000000" w:themeColor="text1"/>
                <w:sz w:val="16"/>
                <w:szCs w:val="16"/>
                <w:lang w:val="sr-Cyrl-RS"/>
              </w:rPr>
              <w:t xml:space="preserve"> Јачање улоге начелника управих округа у креирању већег степена обавезности   коришћења механизма међуопштинске сарадње</w:t>
            </w:r>
          </w:p>
          <w:p w14:paraId="2841FA46" w14:textId="34CD91EA" w:rsidR="007E1E62" w:rsidRPr="00226F9D" w:rsidRDefault="007E1E62" w:rsidP="005B0999">
            <w:pPr>
              <w:spacing w:after="0" w:line="240" w:lineRule="auto"/>
              <w:rPr>
                <w:rFonts w:ascii="Times New Roman" w:eastAsia="Times New Roman" w:hAnsi="Times New Roman" w:cs="Times New Roman"/>
                <w:color w:val="000000"/>
                <w:kern w:val="0"/>
                <w:sz w:val="16"/>
                <w:szCs w:val="16"/>
                <w:lang w:val="sr-Cyrl-RS" w:eastAsia="en-GB"/>
                <w14:ligatures w14:val="none"/>
              </w:rPr>
            </w:pPr>
          </w:p>
        </w:tc>
        <w:tc>
          <w:tcPr>
            <w:tcW w:w="1561" w:type="dxa"/>
          </w:tcPr>
          <w:p w14:paraId="062B0B27" w14:textId="528237F0" w:rsidR="007E1E62" w:rsidRPr="00226F9D" w:rsidRDefault="66C03B0A" w:rsidP="00FB3E5B">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eastAsia="en-GB"/>
              </w:rPr>
              <w:t>МДУЛС</w:t>
            </w:r>
          </w:p>
        </w:tc>
        <w:tc>
          <w:tcPr>
            <w:tcW w:w="1417" w:type="dxa"/>
          </w:tcPr>
          <w:p w14:paraId="3C5781BA" w14:textId="77777777" w:rsidR="007E1E62" w:rsidRPr="00226F9D" w:rsidRDefault="007E1E62"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tcPr>
          <w:p w14:paraId="04189D02" w14:textId="3198DBD3" w:rsidR="007E1E62" w:rsidRPr="00226F9D" w:rsidRDefault="070C2FEB" w:rsidP="00CA3729">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eastAsia="en-GB"/>
              </w:rPr>
              <w:t xml:space="preserve">I квартал 2027.- IV квартал </w:t>
            </w:r>
            <w:r w:rsidR="007E1E62"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2029.</w:t>
            </w:r>
          </w:p>
        </w:tc>
        <w:tc>
          <w:tcPr>
            <w:tcW w:w="2127" w:type="dxa"/>
            <w:noWrap/>
          </w:tcPr>
          <w:p w14:paraId="3F4C0070" w14:textId="5FFCE07E" w:rsidR="007E1E62" w:rsidRPr="00226F9D" w:rsidRDefault="070C2FEB" w:rsidP="5445EFBE">
            <w:pPr>
              <w:spacing w:after="0" w:line="240" w:lineRule="auto"/>
              <w:jc w:val="center"/>
              <w:rPr>
                <w:rFonts w:ascii="Times New Roman" w:eastAsia="Times New Roman" w:hAnsi="Times New Roman" w:cs="Times New Roman"/>
                <w:kern w:val="0"/>
                <w:sz w:val="16"/>
                <w:szCs w:val="16"/>
                <w:lang w:val="sr-Cyrl-RS" w:eastAsia="en-GB"/>
                <w14:ligatures w14:val="none"/>
              </w:rPr>
            </w:pPr>
            <w:r w:rsidRPr="00226F9D">
              <w:rPr>
                <w:rFonts w:ascii="Times New Roman" w:eastAsia="Times New Roman" w:hAnsi="Times New Roman" w:cs="Times New Roman"/>
                <w:sz w:val="16"/>
                <w:szCs w:val="16"/>
                <w:lang w:val="sr-Cyrl-RS" w:eastAsia="en-GB"/>
              </w:rPr>
              <w:t>Донаторска подршка* - средства нису обезбеђена</w:t>
            </w:r>
            <w:r w:rsidR="007E1E62" w:rsidRPr="00226F9D">
              <w:rPr>
                <w:rFonts w:ascii="Times New Roman" w:hAnsi="Times New Roman" w:cs="Times New Roman"/>
                <w:lang w:val="sr-Cyrl-RS"/>
              </w:rPr>
              <w:br/>
            </w:r>
          </w:p>
        </w:tc>
        <w:tc>
          <w:tcPr>
            <w:tcW w:w="1275" w:type="dxa"/>
            <w:noWrap/>
          </w:tcPr>
          <w:p w14:paraId="61B990B1" w14:textId="77777777" w:rsidR="007E1E62" w:rsidRPr="00226F9D" w:rsidRDefault="007E1E62"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tc>
        <w:tc>
          <w:tcPr>
            <w:tcW w:w="851" w:type="dxa"/>
            <w:shd w:val="clear" w:color="auto" w:fill="FFFFFF" w:themeFill="background1"/>
            <w:noWrap/>
          </w:tcPr>
          <w:p w14:paraId="26F0C57F" w14:textId="77777777" w:rsidR="007E1E62" w:rsidRPr="00226F9D" w:rsidRDefault="007E1E62" w:rsidP="005B0999">
            <w:pPr>
              <w:spacing w:after="0" w:line="240" w:lineRule="auto"/>
              <w:jc w:val="center"/>
              <w:rPr>
                <w:rFonts w:ascii="Times New Roman" w:eastAsia="Times New Roman" w:hAnsi="Times New Roman" w:cs="Times New Roman"/>
                <w:color w:val="000000"/>
                <w:kern w:val="0"/>
                <w:sz w:val="16"/>
                <w:szCs w:val="16"/>
                <w:lang w:val="sr-Cyrl-RS" w:eastAsia="en-GB"/>
                <w14:ligatures w14:val="none"/>
              </w:rPr>
            </w:pPr>
          </w:p>
        </w:tc>
        <w:tc>
          <w:tcPr>
            <w:tcW w:w="850" w:type="dxa"/>
            <w:shd w:val="clear" w:color="auto" w:fill="FFFFFF" w:themeFill="background1"/>
            <w:noWrap/>
          </w:tcPr>
          <w:p w14:paraId="7DD561E3" w14:textId="71A2D98A" w:rsidR="007E1E62" w:rsidRPr="00226F9D" w:rsidRDefault="070C2FEB"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eastAsia="en-GB"/>
              </w:rPr>
              <w:t>1.77</w:t>
            </w:r>
            <w:r w:rsidR="00137DEE" w:rsidRPr="00226F9D">
              <w:rPr>
                <w:rFonts w:ascii="Times New Roman" w:eastAsia="Times New Roman" w:hAnsi="Times New Roman" w:cs="Times New Roman"/>
                <w:color w:val="000000" w:themeColor="text1"/>
                <w:sz w:val="16"/>
                <w:szCs w:val="16"/>
                <w:lang w:eastAsia="en-GB"/>
              </w:rPr>
              <w:t>6</w:t>
            </w:r>
            <w:r w:rsidRPr="00226F9D">
              <w:rPr>
                <w:rFonts w:ascii="Times New Roman" w:eastAsia="Times New Roman" w:hAnsi="Times New Roman" w:cs="Times New Roman"/>
                <w:color w:val="000000" w:themeColor="text1"/>
                <w:sz w:val="16"/>
                <w:szCs w:val="16"/>
                <w:lang w:eastAsia="en-GB"/>
              </w:rPr>
              <w:t>*</w:t>
            </w:r>
          </w:p>
        </w:tc>
        <w:tc>
          <w:tcPr>
            <w:tcW w:w="851" w:type="dxa"/>
            <w:noWrap/>
          </w:tcPr>
          <w:p w14:paraId="7E194FFA" w14:textId="377A0090" w:rsidR="007E1E62" w:rsidRPr="00226F9D" w:rsidRDefault="070C2FEB"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eastAsia="en-GB"/>
              </w:rPr>
              <w:t>29.5</w:t>
            </w:r>
            <w:r w:rsidR="00137DEE" w:rsidRPr="00226F9D">
              <w:rPr>
                <w:rFonts w:ascii="Times New Roman" w:eastAsia="Times New Roman" w:hAnsi="Times New Roman" w:cs="Times New Roman"/>
                <w:color w:val="000000" w:themeColor="text1"/>
                <w:sz w:val="16"/>
                <w:szCs w:val="16"/>
                <w:lang w:eastAsia="en-GB"/>
              </w:rPr>
              <w:t>58</w:t>
            </w:r>
            <w:r w:rsidRPr="00226F9D">
              <w:rPr>
                <w:rFonts w:ascii="Times New Roman" w:eastAsia="Times New Roman" w:hAnsi="Times New Roman" w:cs="Times New Roman"/>
                <w:color w:val="000000" w:themeColor="text1"/>
                <w:sz w:val="16"/>
                <w:szCs w:val="16"/>
                <w:lang w:eastAsia="en-GB"/>
              </w:rPr>
              <w:t>*</w:t>
            </w:r>
          </w:p>
        </w:tc>
        <w:tc>
          <w:tcPr>
            <w:tcW w:w="850" w:type="dxa"/>
            <w:noWrap/>
          </w:tcPr>
          <w:p w14:paraId="2C1E163E" w14:textId="4C1F1B68" w:rsidR="007E1E62" w:rsidRPr="00226F9D" w:rsidRDefault="070C2FEB"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themeColor="text1"/>
                <w:sz w:val="16"/>
                <w:szCs w:val="16"/>
                <w:lang w:eastAsia="en-GB"/>
              </w:rPr>
              <w:t>29.7</w:t>
            </w:r>
            <w:r w:rsidR="00137DEE" w:rsidRPr="00226F9D">
              <w:rPr>
                <w:rFonts w:ascii="Times New Roman" w:eastAsia="Times New Roman" w:hAnsi="Times New Roman" w:cs="Times New Roman"/>
                <w:color w:val="000000" w:themeColor="text1"/>
                <w:sz w:val="16"/>
                <w:szCs w:val="16"/>
                <w:lang w:eastAsia="en-GB"/>
              </w:rPr>
              <w:t>63</w:t>
            </w:r>
            <w:r w:rsidRPr="00226F9D">
              <w:rPr>
                <w:rFonts w:ascii="Times New Roman" w:eastAsia="Times New Roman" w:hAnsi="Times New Roman" w:cs="Times New Roman"/>
                <w:color w:val="000000" w:themeColor="text1"/>
                <w:sz w:val="16"/>
                <w:szCs w:val="16"/>
                <w:lang w:eastAsia="en-GB"/>
              </w:rPr>
              <w:t>*</w:t>
            </w:r>
          </w:p>
        </w:tc>
        <w:tc>
          <w:tcPr>
            <w:tcW w:w="969" w:type="dxa"/>
            <w:noWrap/>
          </w:tcPr>
          <w:p w14:paraId="19481C12" w14:textId="77777777" w:rsidR="007E1E62" w:rsidRPr="00226F9D" w:rsidRDefault="007E1E62"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p>
        </w:tc>
      </w:tr>
      <w:tr w:rsidR="00FB70CD" w:rsidRPr="00226F9D" w14:paraId="4D53EE02" w14:textId="77777777" w:rsidTr="5445EFBE">
        <w:trPr>
          <w:trHeight w:val="24"/>
        </w:trPr>
        <w:tc>
          <w:tcPr>
            <w:tcW w:w="15706" w:type="dxa"/>
            <w:gridSpan w:val="12"/>
            <w:shd w:val="clear" w:color="auto" w:fill="F7CAAC"/>
            <w:noWrap/>
            <w:hideMark/>
          </w:tcPr>
          <w:p w14:paraId="3D1798F6"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Мера 4.3: Подршка развоју система комуналних делатности локалне самоуправе</w:t>
            </w:r>
          </w:p>
        </w:tc>
      </w:tr>
      <w:tr w:rsidR="00FB70CD" w:rsidRPr="00226F9D" w14:paraId="2179E03D" w14:textId="77777777" w:rsidTr="5445EFBE">
        <w:trPr>
          <w:trHeight w:val="24"/>
        </w:trPr>
        <w:tc>
          <w:tcPr>
            <w:tcW w:w="15706" w:type="dxa"/>
            <w:gridSpan w:val="12"/>
            <w:shd w:val="clear" w:color="auto" w:fill="F7CAAC"/>
            <w:noWrap/>
            <w:hideMark/>
          </w:tcPr>
          <w:p w14:paraId="27DE97FF" w14:textId="2E46417E" w:rsidR="00FB70CD" w:rsidRPr="00226F9D" w:rsidRDefault="00FB70CD" w:rsidP="005B0999">
            <w:pPr>
              <w:spacing w:after="0" w:line="240" w:lineRule="auto"/>
              <w:rPr>
                <w:rFonts w:ascii="Times New Roman" w:eastAsia="Times New Roman" w:hAnsi="Times New Roman" w:cs="Times New Roman"/>
                <w:color w:val="222222"/>
                <w:kern w:val="0"/>
                <w:sz w:val="16"/>
                <w:szCs w:val="16"/>
                <w:lang w:val="sr-Cyrl-RS" w:eastAsia="en-GB"/>
                <w14:ligatures w14:val="none"/>
              </w:rPr>
            </w:pPr>
            <w:r w:rsidRPr="00226F9D">
              <w:rPr>
                <w:rFonts w:ascii="Times New Roman" w:eastAsia="Times New Roman" w:hAnsi="Times New Roman" w:cs="Times New Roman"/>
                <w:color w:val="222222"/>
                <w:kern w:val="0"/>
                <w:sz w:val="16"/>
                <w:szCs w:val="16"/>
                <w:lang w:eastAsia="en-GB"/>
                <w14:ligatures w14:val="none"/>
              </w:rPr>
              <w:t>Институција одговорна за праћење и контролу реализације: МГСИ</w:t>
            </w:r>
            <w:r w:rsidR="00FB1FC4" w:rsidRPr="00226F9D">
              <w:rPr>
                <w:rFonts w:ascii="Times New Roman" w:eastAsia="Times New Roman" w:hAnsi="Times New Roman" w:cs="Times New Roman"/>
                <w:color w:val="222222"/>
                <w:kern w:val="0"/>
                <w:sz w:val="16"/>
                <w:szCs w:val="16"/>
                <w:lang w:eastAsia="en-GB"/>
                <w14:ligatures w14:val="none"/>
              </w:rPr>
              <w:t xml:space="preserve">, </w:t>
            </w:r>
            <w:r w:rsidR="00FB1FC4" w:rsidRPr="00226F9D">
              <w:rPr>
                <w:rFonts w:ascii="Times New Roman" w:eastAsia="Times New Roman" w:hAnsi="Times New Roman" w:cs="Times New Roman"/>
                <w:color w:val="222222"/>
                <w:kern w:val="0"/>
                <w:sz w:val="16"/>
                <w:szCs w:val="16"/>
                <w:lang w:val="sr-Cyrl-RS" w:eastAsia="en-GB"/>
                <w14:ligatures w14:val="none"/>
              </w:rPr>
              <w:t>МИНПРИВ</w:t>
            </w:r>
          </w:p>
        </w:tc>
      </w:tr>
      <w:tr w:rsidR="00FB70CD" w:rsidRPr="00226F9D" w14:paraId="1C5D2692" w14:textId="77777777" w:rsidTr="5445EFBE">
        <w:trPr>
          <w:trHeight w:val="24"/>
        </w:trPr>
        <w:tc>
          <w:tcPr>
            <w:tcW w:w="3823" w:type="dxa"/>
            <w:gridSpan w:val="2"/>
            <w:shd w:val="clear" w:color="auto" w:fill="F7CAAC"/>
            <w:noWrap/>
            <w:hideMark/>
          </w:tcPr>
          <w:p w14:paraId="5B9C4C64"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Период спровођења: 2026-2030.</w:t>
            </w:r>
          </w:p>
        </w:tc>
        <w:tc>
          <w:tcPr>
            <w:tcW w:w="11883" w:type="dxa"/>
            <w:gridSpan w:val="10"/>
            <w:shd w:val="clear" w:color="auto" w:fill="F7CAAC"/>
            <w:noWrap/>
            <w:hideMark/>
          </w:tcPr>
          <w:p w14:paraId="162B7611"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Тип мере: Институционално управљачко организациона</w:t>
            </w:r>
          </w:p>
        </w:tc>
      </w:tr>
      <w:tr w:rsidR="00FB70CD" w:rsidRPr="00226F9D" w14:paraId="7F2958FB" w14:textId="77777777" w:rsidTr="5445EFBE">
        <w:trPr>
          <w:trHeight w:val="24"/>
        </w:trPr>
        <w:tc>
          <w:tcPr>
            <w:tcW w:w="15706" w:type="dxa"/>
            <w:gridSpan w:val="12"/>
            <w:shd w:val="clear" w:color="auto" w:fill="F7CAAC"/>
            <w:noWrap/>
            <w:hideMark/>
          </w:tcPr>
          <w:p w14:paraId="3C9D71F3" w14:textId="77777777" w:rsidR="00FB70CD" w:rsidRPr="00226F9D" w:rsidRDefault="00FB70CD" w:rsidP="005B0999">
            <w:pPr>
              <w:spacing w:after="0" w:line="240" w:lineRule="auto"/>
              <w:rPr>
                <w:rFonts w:ascii="Times New Roman" w:eastAsia="Times New Roman" w:hAnsi="Times New Roman" w:cs="Times New Roman"/>
                <w:color w:val="222222"/>
                <w:kern w:val="0"/>
                <w:sz w:val="16"/>
                <w:szCs w:val="16"/>
                <w:lang w:eastAsia="en-GB"/>
                <w14:ligatures w14:val="none"/>
              </w:rPr>
            </w:pPr>
            <w:r w:rsidRPr="00226F9D">
              <w:rPr>
                <w:rFonts w:ascii="Times New Roman" w:eastAsia="Times New Roman" w:hAnsi="Times New Roman" w:cs="Times New Roman"/>
                <w:color w:val="222222"/>
                <w:kern w:val="0"/>
                <w:sz w:val="16"/>
                <w:szCs w:val="16"/>
                <w:lang w:eastAsia="en-GB"/>
                <w14:ligatures w14:val="none"/>
              </w:rPr>
              <w:t xml:space="preserve">Прописи које је потребно изменити/усвојити за спровођење мере: </w:t>
            </w:r>
          </w:p>
        </w:tc>
      </w:tr>
      <w:tr w:rsidR="00FB70CD" w:rsidRPr="00226F9D" w14:paraId="0A5C3347" w14:textId="77777777" w:rsidTr="5445EFBE">
        <w:trPr>
          <w:trHeight w:val="196"/>
        </w:trPr>
        <w:tc>
          <w:tcPr>
            <w:tcW w:w="5240" w:type="dxa"/>
            <w:gridSpan w:val="3"/>
            <w:shd w:val="clear" w:color="auto" w:fill="B4C6E7"/>
            <w:noWrap/>
            <w:vAlign w:val="center"/>
            <w:hideMark/>
          </w:tcPr>
          <w:p w14:paraId="70478FFD"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Показатељ(и) на нивоу мере (показатељ резултата)</w:t>
            </w:r>
          </w:p>
        </w:tc>
        <w:tc>
          <w:tcPr>
            <w:tcW w:w="1134" w:type="dxa"/>
            <w:shd w:val="clear" w:color="auto" w:fill="B4C6E7"/>
            <w:noWrap/>
            <w:vAlign w:val="center"/>
          </w:tcPr>
          <w:p w14:paraId="046BD20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Jединица мере</w:t>
            </w:r>
          </w:p>
        </w:tc>
        <w:tc>
          <w:tcPr>
            <w:tcW w:w="1559" w:type="dxa"/>
            <w:shd w:val="clear" w:color="auto" w:fill="B4C6E7"/>
            <w:vAlign w:val="center"/>
          </w:tcPr>
          <w:p w14:paraId="3765066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провере</w:t>
            </w:r>
          </w:p>
        </w:tc>
        <w:tc>
          <w:tcPr>
            <w:tcW w:w="2127" w:type="dxa"/>
            <w:shd w:val="clear" w:color="auto" w:fill="B4C6E7"/>
            <w:vAlign w:val="center"/>
          </w:tcPr>
          <w:p w14:paraId="39B439B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Почетна вредност</w:t>
            </w:r>
          </w:p>
        </w:tc>
        <w:tc>
          <w:tcPr>
            <w:tcW w:w="1275" w:type="dxa"/>
            <w:shd w:val="clear" w:color="auto" w:fill="B4C6E7"/>
            <w:noWrap/>
            <w:vAlign w:val="center"/>
            <w:hideMark/>
          </w:tcPr>
          <w:p w14:paraId="5216410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Базна година</w:t>
            </w:r>
          </w:p>
        </w:tc>
        <w:tc>
          <w:tcPr>
            <w:tcW w:w="851" w:type="dxa"/>
            <w:shd w:val="clear" w:color="auto" w:fill="B4C6E7"/>
            <w:noWrap/>
            <w:vAlign w:val="center"/>
            <w:hideMark/>
          </w:tcPr>
          <w:p w14:paraId="3ACA4BF7"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2026. години</w:t>
            </w:r>
          </w:p>
        </w:tc>
        <w:tc>
          <w:tcPr>
            <w:tcW w:w="850" w:type="dxa"/>
            <w:shd w:val="clear" w:color="auto" w:fill="B4C6E7"/>
            <w:noWrap/>
            <w:vAlign w:val="center"/>
            <w:hideMark/>
          </w:tcPr>
          <w:p w14:paraId="7DD11E1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2027. години</w:t>
            </w:r>
          </w:p>
        </w:tc>
        <w:tc>
          <w:tcPr>
            <w:tcW w:w="851" w:type="dxa"/>
            <w:shd w:val="clear" w:color="auto" w:fill="B4C6E7"/>
            <w:noWrap/>
            <w:vAlign w:val="center"/>
            <w:hideMark/>
          </w:tcPr>
          <w:p w14:paraId="5A7B5C2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2028. години</w:t>
            </w:r>
          </w:p>
        </w:tc>
        <w:tc>
          <w:tcPr>
            <w:tcW w:w="850" w:type="dxa"/>
            <w:shd w:val="clear" w:color="auto" w:fill="B4C6E7"/>
            <w:noWrap/>
            <w:vAlign w:val="center"/>
            <w:hideMark/>
          </w:tcPr>
          <w:p w14:paraId="498A0B5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2029. години</w:t>
            </w:r>
          </w:p>
        </w:tc>
        <w:tc>
          <w:tcPr>
            <w:tcW w:w="969" w:type="dxa"/>
            <w:shd w:val="clear" w:color="auto" w:fill="B4C6E7"/>
            <w:noWrap/>
            <w:vAlign w:val="center"/>
            <w:hideMark/>
          </w:tcPr>
          <w:p w14:paraId="4FE11E8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ЦВ у 2030. години</w:t>
            </w:r>
          </w:p>
        </w:tc>
      </w:tr>
      <w:tr w:rsidR="00FB70CD" w:rsidRPr="00226F9D" w14:paraId="2434ACF7" w14:textId="77777777" w:rsidTr="5445EFBE">
        <w:trPr>
          <w:trHeight w:val="93"/>
        </w:trPr>
        <w:tc>
          <w:tcPr>
            <w:tcW w:w="5240" w:type="dxa"/>
            <w:gridSpan w:val="3"/>
            <w:noWrap/>
            <w:vAlign w:val="center"/>
            <w:hideMark/>
          </w:tcPr>
          <w:p w14:paraId="0E27DA4D"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Проценат ЈЛС које имају Програм изградње и одржавања комуналне инфраструктуре </w:t>
            </w:r>
          </w:p>
        </w:tc>
        <w:tc>
          <w:tcPr>
            <w:tcW w:w="1134" w:type="dxa"/>
            <w:noWrap/>
          </w:tcPr>
          <w:p w14:paraId="29EE759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w:t>
            </w:r>
          </w:p>
        </w:tc>
        <w:tc>
          <w:tcPr>
            <w:tcW w:w="1559" w:type="dxa"/>
          </w:tcPr>
          <w:p w14:paraId="3C2215D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Подаци МГСИ</w:t>
            </w:r>
          </w:p>
        </w:tc>
        <w:tc>
          <w:tcPr>
            <w:tcW w:w="2127" w:type="dxa"/>
          </w:tcPr>
          <w:p w14:paraId="02ACE03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1275" w:type="dxa"/>
            <w:shd w:val="clear" w:color="auto" w:fill="FFFFFF" w:themeFill="background1"/>
            <w:noWrap/>
            <w:hideMark/>
          </w:tcPr>
          <w:p w14:paraId="3D21F17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2025</w:t>
            </w:r>
          </w:p>
        </w:tc>
        <w:tc>
          <w:tcPr>
            <w:tcW w:w="851" w:type="dxa"/>
            <w:shd w:val="clear" w:color="auto" w:fill="FFFFFF" w:themeFill="background1"/>
            <w:noWrap/>
            <w:hideMark/>
          </w:tcPr>
          <w:p w14:paraId="5A398CD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0%</w:t>
            </w:r>
          </w:p>
        </w:tc>
        <w:tc>
          <w:tcPr>
            <w:tcW w:w="850" w:type="dxa"/>
            <w:shd w:val="clear" w:color="auto" w:fill="FFFFFF" w:themeFill="background1"/>
            <w:noWrap/>
            <w:hideMark/>
          </w:tcPr>
          <w:p w14:paraId="6CDD1BC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noWrap/>
            <w:hideMark/>
          </w:tcPr>
          <w:p w14:paraId="79805F6F"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75%</w:t>
            </w:r>
          </w:p>
        </w:tc>
        <w:tc>
          <w:tcPr>
            <w:tcW w:w="850" w:type="dxa"/>
            <w:shd w:val="clear" w:color="auto" w:fill="FFFFFF" w:themeFill="background1"/>
            <w:noWrap/>
            <w:hideMark/>
          </w:tcPr>
          <w:p w14:paraId="4CDA2EF8" w14:textId="77777777" w:rsidR="00FB70CD" w:rsidRPr="00226F9D" w:rsidRDefault="00FB70CD" w:rsidP="005B0999">
            <w:pPr>
              <w:spacing w:after="0" w:line="240" w:lineRule="auto"/>
              <w:jc w:val="center"/>
              <w:rPr>
                <w:rFonts w:ascii="Times New Roman" w:eastAsia="Times New Roman" w:hAnsi="Times New Roman" w:cs="Times New Roman"/>
                <w:color w:val="FF0000"/>
                <w:kern w:val="0"/>
                <w:sz w:val="16"/>
                <w:szCs w:val="16"/>
                <w:lang w:eastAsia="en-GB"/>
                <w14:ligatures w14:val="none"/>
              </w:rPr>
            </w:pPr>
            <w:r w:rsidRPr="00226F9D">
              <w:rPr>
                <w:rFonts w:ascii="Times New Roman" w:eastAsia="Times New Roman" w:hAnsi="Times New Roman" w:cs="Times New Roman"/>
                <w:color w:val="FF0000"/>
                <w:kern w:val="0"/>
                <w:sz w:val="16"/>
                <w:szCs w:val="16"/>
                <w:lang w:eastAsia="en-GB"/>
                <w14:ligatures w14:val="none"/>
              </w:rPr>
              <w:t> </w:t>
            </w:r>
          </w:p>
        </w:tc>
        <w:tc>
          <w:tcPr>
            <w:tcW w:w="969" w:type="dxa"/>
            <w:shd w:val="clear" w:color="auto" w:fill="FFFFFF" w:themeFill="background1"/>
            <w:noWrap/>
            <w:hideMark/>
          </w:tcPr>
          <w:p w14:paraId="6948AD7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100%</w:t>
            </w:r>
          </w:p>
        </w:tc>
      </w:tr>
      <w:tr w:rsidR="00FB70CD" w:rsidRPr="00226F9D" w14:paraId="5B5E38CC" w14:textId="77777777" w:rsidTr="5445EFBE">
        <w:trPr>
          <w:trHeight w:val="20"/>
        </w:trPr>
        <w:tc>
          <w:tcPr>
            <w:tcW w:w="5240" w:type="dxa"/>
            <w:gridSpan w:val="3"/>
            <w:vMerge w:val="restart"/>
            <w:shd w:val="clear" w:color="auto" w:fill="A9D08E"/>
            <w:noWrap/>
            <w:vAlign w:val="center"/>
            <w:hideMark/>
          </w:tcPr>
          <w:p w14:paraId="13DC52A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 мере</w:t>
            </w:r>
          </w:p>
        </w:tc>
        <w:tc>
          <w:tcPr>
            <w:tcW w:w="6095" w:type="dxa"/>
            <w:gridSpan w:val="4"/>
            <w:vMerge w:val="restart"/>
            <w:shd w:val="clear" w:color="auto" w:fill="A9D08E"/>
            <w:noWrap/>
            <w:vAlign w:val="center"/>
            <w:hideMark/>
          </w:tcPr>
          <w:p w14:paraId="065C939D" w14:textId="77777777" w:rsidR="00FB70CD" w:rsidRPr="00226F9D" w:rsidRDefault="00D155C4"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hyperlink r:id="rId34" w:anchor="_ftn2" w:history="1">
              <w:r w:rsidR="00FB70CD"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hyperlink>
          </w:p>
        </w:tc>
        <w:tc>
          <w:tcPr>
            <w:tcW w:w="4371" w:type="dxa"/>
            <w:gridSpan w:val="5"/>
            <w:shd w:val="clear" w:color="auto" w:fill="A8D08D"/>
            <w:noWrap/>
            <w:vAlign w:val="center"/>
            <w:hideMark/>
          </w:tcPr>
          <w:p w14:paraId="28979C9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у 000 дин</w:t>
            </w:r>
          </w:p>
        </w:tc>
      </w:tr>
      <w:tr w:rsidR="00FB70CD" w:rsidRPr="00226F9D" w14:paraId="7FE03149" w14:textId="77777777" w:rsidTr="5445EFBE">
        <w:trPr>
          <w:trHeight w:val="20"/>
        </w:trPr>
        <w:tc>
          <w:tcPr>
            <w:tcW w:w="5240" w:type="dxa"/>
            <w:gridSpan w:val="3"/>
            <w:vMerge/>
            <w:vAlign w:val="center"/>
            <w:hideMark/>
          </w:tcPr>
          <w:p w14:paraId="48B5C6F2"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p>
        </w:tc>
        <w:tc>
          <w:tcPr>
            <w:tcW w:w="6095" w:type="dxa"/>
            <w:gridSpan w:val="4"/>
            <w:vMerge/>
            <w:vAlign w:val="center"/>
            <w:hideMark/>
          </w:tcPr>
          <w:p w14:paraId="009E0DC8"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p>
        </w:tc>
        <w:tc>
          <w:tcPr>
            <w:tcW w:w="851" w:type="dxa"/>
            <w:shd w:val="clear" w:color="auto" w:fill="A8D08D"/>
            <w:noWrap/>
            <w:vAlign w:val="center"/>
            <w:hideMark/>
          </w:tcPr>
          <w:p w14:paraId="4A83594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A8D08D"/>
            <w:noWrap/>
            <w:vAlign w:val="center"/>
            <w:hideMark/>
          </w:tcPr>
          <w:p w14:paraId="2C056F7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A8D08D"/>
            <w:noWrap/>
            <w:vAlign w:val="center"/>
            <w:hideMark/>
          </w:tcPr>
          <w:p w14:paraId="6791BF4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50" w:type="dxa"/>
            <w:shd w:val="clear" w:color="auto" w:fill="A8D08D"/>
            <w:noWrap/>
            <w:vAlign w:val="center"/>
            <w:hideMark/>
          </w:tcPr>
          <w:p w14:paraId="5D65117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69" w:type="dxa"/>
            <w:shd w:val="clear" w:color="auto" w:fill="A8D08D"/>
            <w:noWrap/>
            <w:vAlign w:val="center"/>
            <w:hideMark/>
          </w:tcPr>
          <w:p w14:paraId="095AEA6E"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1642E079" w14:textId="77777777" w:rsidTr="5445EFBE">
        <w:trPr>
          <w:trHeight w:val="24"/>
        </w:trPr>
        <w:tc>
          <w:tcPr>
            <w:tcW w:w="5240" w:type="dxa"/>
            <w:gridSpan w:val="3"/>
            <w:shd w:val="clear" w:color="auto" w:fill="FFFFFF" w:themeFill="background1"/>
            <w:noWrap/>
            <w:hideMark/>
          </w:tcPr>
          <w:p w14:paraId="56CFA79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6095" w:type="dxa"/>
            <w:gridSpan w:val="4"/>
            <w:shd w:val="clear" w:color="auto" w:fill="FFFFFF" w:themeFill="background1"/>
            <w:noWrap/>
            <w:hideMark/>
          </w:tcPr>
          <w:p w14:paraId="775E3A0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shd w:val="clear" w:color="auto" w:fill="FFFFFF" w:themeFill="background1"/>
            <w:noWrap/>
            <w:hideMark/>
          </w:tcPr>
          <w:p w14:paraId="74E51261" w14:textId="1C155634" w:rsidR="00FB70CD" w:rsidRPr="00226F9D" w:rsidRDefault="00C67B8A"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val="sr-Cyrl-RS" w:eastAsia="en-GB"/>
                <w14:ligatures w14:val="none"/>
              </w:rPr>
              <w:t>4</w:t>
            </w:r>
            <w:r w:rsidR="00FB70CD" w:rsidRPr="00226F9D">
              <w:rPr>
                <w:rFonts w:ascii="Times New Roman" w:eastAsia="Times New Roman" w:hAnsi="Times New Roman" w:cs="Times New Roman"/>
                <w:b/>
                <w:bCs/>
                <w:color w:val="000000"/>
                <w:kern w:val="0"/>
                <w:sz w:val="16"/>
                <w:szCs w:val="16"/>
                <w:lang w:eastAsia="en-GB"/>
                <w14:ligatures w14:val="none"/>
              </w:rPr>
              <w:t>9.</w:t>
            </w:r>
            <w:r w:rsidRPr="00226F9D">
              <w:rPr>
                <w:rFonts w:ascii="Times New Roman" w:eastAsia="Times New Roman" w:hAnsi="Times New Roman" w:cs="Times New Roman"/>
                <w:b/>
                <w:bCs/>
                <w:color w:val="000000"/>
                <w:kern w:val="0"/>
                <w:sz w:val="16"/>
                <w:szCs w:val="16"/>
                <w:lang w:val="sr-Cyrl-RS" w:eastAsia="en-GB"/>
                <w14:ligatures w14:val="none"/>
              </w:rPr>
              <w:t>66</w:t>
            </w:r>
            <w:r w:rsidR="00FB70CD" w:rsidRPr="00226F9D">
              <w:rPr>
                <w:rFonts w:ascii="Times New Roman" w:eastAsia="Times New Roman" w:hAnsi="Times New Roman" w:cs="Times New Roman"/>
                <w:b/>
                <w:bCs/>
                <w:color w:val="000000"/>
                <w:kern w:val="0"/>
                <w:sz w:val="16"/>
                <w:szCs w:val="16"/>
                <w:lang w:eastAsia="en-GB"/>
                <w14:ligatures w14:val="none"/>
              </w:rPr>
              <w:t>0</w:t>
            </w:r>
          </w:p>
        </w:tc>
        <w:tc>
          <w:tcPr>
            <w:tcW w:w="850" w:type="dxa"/>
            <w:shd w:val="clear" w:color="auto" w:fill="FFFFFF" w:themeFill="background1"/>
            <w:noWrap/>
            <w:hideMark/>
          </w:tcPr>
          <w:p w14:paraId="12FF0C67" w14:textId="7998C415" w:rsidR="00FB70CD" w:rsidRPr="00226F9D" w:rsidRDefault="006B0536"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val="sr-Cyrl-RS" w:eastAsia="en-GB"/>
                <w14:ligatures w14:val="none"/>
              </w:rPr>
              <w:t>7.4</w:t>
            </w:r>
            <w:r w:rsidR="00FB70CD" w:rsidRPr="00226F9D">
              <w:rPr>
                <w:rFonts w:ascii="Times New Roman" w:eastAsia="Times New Roman" w:hAnsi="Times New Roman" w:cs="Times New Roman"/>
                <w:b/>
                <w:bCs/>
                <w:color w:val="000000"/>
                <w:kern w:val="0"/>
                <w:sz w:val="16"/>
                <w:szCs w:val="16"/>
                <w:lang w:eastAsia="en-GB"/>
                <w14:ligatures w14:val="none"/>
              </w:rPr>
              <w:t>00</w:t>
            </w:r>
          </w:p>
        </w:tc>
        <w:tc>
          <w:tcPr>
            <w:tcW w:w="851" w:type="dxa"/>
            <w:shd w:val="clear" w:color="auto" w:fill="FFFFFF" w:themeFill="background1"/>
            <w:noWrap/>
            <w:hideMark/>
          </w:tcPr>
          <w:p w14:paraId="5D8B73F4" w14:textId="0228A420" w:rsidR="00FB70CD" w:rsidRPr="00226F9D" w:rsidRDefault="006B0536"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val="sr-Cyrl-RS" w:eastAsia="en-GB"/>
                <w14:ligatures w14:val="none"/>
              </w:rPr>
              <w:t>12.0</w:t>
            </w:r>
            <w:r w:rsidR="00FB70CD" w:rsidRPr="00226F9D">
              <w:rPr>
                <w:rFonts w:ascii="Times New Roman" w:eastAsia="Times New Roman" w:hAnsi="Times New Roman" w:cs="Times New Roman"/>
                <w:b/>
                <w:bCs/>
                <w:color w:val="000000"/>
                <w:kern w:val="0"/>
                <w:sz w:val="16"/>
                <w:szCs w:val="16"/>
                <w:lang w:eastAsia="en-GB"/>
                <w14:ligatures w14:val="none"/>
              </w:rPr>
              <w:t>0</w:t>
            </w:r>
            <w:r w:rsidR="001A1123" w:rsidRPr="00226F9D">
              <w:rPr>
                <w:rFonts w:ascii="Times New Roman" w:eastAsia="Times New Roman" w:hAnsi="Times New Roman" w:cs="Times New Roman"/>
                <w:b/>
                <w:bCs/>
                <w:color w:val="000000"/>
                <w:kern w:val="0"/>
                <w:sz w:val="16"/>
                <w:szCs w:val="16"/>
                <w:lang w:eastAsia="en-GB"/>
                <w14:ligatures w14:val="none"/>
              </w:rPr>
              <w:t>0</w:t>
            </w:r>
          </w:p>
        </w:tc>
        <w:tc>
          <w:tcPr>
            <w:tcW w:w="850" w:type="dxa"/>
            <w:shd w:val="clear" w:color="auto" w:fill="FFFFFF" w:themeFill="background1"/>
            <w:noWrap/>
            <w:hideMark/>
          </w:tcPr>
          <w:p w14:paraId="49EC3BBF" w14:textId="337D7772" w:rsidR="00FB70CD" w:rsidRPr="00226F9D" w:rsidRDefault="006B0536"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val="sr-Cyrl-RS" w:eastAsia="en-GB"/>
                <w14:ligatures w14:val="none"/>
              </w:rPr>
              <w:t>7.00</w:t>
            </w:r>
            <w:r w:rsidR="00FB70CD" w:rsidRPr="00226F9D">
              <w:rPr>
                <w:rFonts w:ascii="Times New Roman" w:eastAsia="Times New Roman" w:hAnsi="Times New Roman" w:cs="Times New Roman"/>
                <w:b/>
                <w:bCs/>
                <w:color w:val="000000"/>
                <w:kern w:val="0"/>
                <w:sz w:val="16"/>
                <w:szCs w:val="16"/>
                <w:lang w:eastAsia="en-GB"/>
                <w14:ligatures w14:val="none"/>
              </w:rPr>
              <w:t>0</w:t>
            </w:r>
          </w:p>
        </w:tc>
        <w:tc>
          <w:tcPr>
            <w:tcW w:w="969" w:type="dxa"/>
            <w:shd w:val="clear" w:color="auto" w:fill="FFFFFF" w:themeFill="background1"/>
            <w:noWrap/>
            <w:hideMark/>
          </w:tcPr>
          <w:p w14:paraId="06BCDBA4" w14:textId="3E9C766B" w:rsidR="00FB70CD" w:rsidRPr="00226F9D" w:rsidRDefault="00CE6AB2"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val="sr-Cyrl-RS" w:eastAsia="en-GB"/>
                <w14:ligatures w14:val="none"/>
              </w:rPr>
              <w:t>7.00</w:t>
            </w:r>
            <w:r w:rsidR="00FB70CD" w:rsidRPr="00226F9D">
              <w:rPr>
                <w:rFonts w:ascii="Times New Roman" w:eastAsia="Times New Roman" w:hAnsi="Times New Roman" w:cs="Times New Roman"/>
                <w:b/>
                <w:bCs/>
                <w:color w:val="000000"/>
                <w:kern w:val="0"/>
                <w:sz w:val="16"/>
                <w:szCs w:val="16"/>
                <w:lang w:eastAsia="en-GB"/>
                <w14:ligatures w14:val="none"/>
              </w:rPr>
              <w:t>0</w:t>
            </w:r>
          </w:p>
        </w:tc>
      </w:tr>
      <w:tr w:rsidR="00FB70CD" w:rsidRPr="00226F9D" w14:paraId="1E822761" w14:textId="77777777" w:rsidTr="5445EFBE">
        <w:trPr>
          <w:trHeight w:val="484"/>
        </w:trPr>
        <w:tc>
          <w:tcPr>
            <w:tcW w:w="2262" w:type="dxa"/>
            <w:shd w:val="clear" w:color="auto" w:fill="FFF2CC"/>
            <w:noWrap/>
            <w:vAlign w:val="center"/>
            <w:hideMark/>
          </w:tcPr>
          <w:p w14:paraId="1EAA36C9" w14:textId="77777777" w:rsidR="00FB70CD" w:rsidRPr="00226F9D" w:rsidRDefault="00FB70CD" w:rsidP="005B0999">
            <w:pPr>
              <w:spacing w:after="0" w:line="240" w:lineRule="auto"/>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Назив активности:</w:t>
            </w:r>
          </w:p>
        </w:tc>
        <w:tc>
          <w:tcPr>
            <w:tcW w:w="1561" w:type="dxa"/>
            <w:shd w:val="clear" w:color="auto" w:fill="FFF2CC"/>
            <w:noWrap/>
            <w:hideMark/>
          </w:tcPr>
          <w:p w14:paraId="030472A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Орган који спроводи активност</w:t>
            </w:r>
          </w:p>
        </w:tc>
        <w:tc>
          <w:tcPr>
            <w:tcW w:w="1417" w:type="dxa"/>
            <w:shd w:val="clear" w:color="auto" w:fill="FFF2CC"/>
            <w:noWrap/>
            <w:hideMark/>
          </w:tcPr>
          <w:p w14:paraId="5CAFE60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Oргани и партнери у спровођењу активности</w:t>
            </w:r>
          </w:p>
        </w:tc>
        <w:tc>
          <w:tcPr>
            <w:tcW w:w="2693" w:type="dxa"/>
            <w:gridSpan w:val="2"/>
            <w:shd w:val="clear" w:color="auto" w:fill="FFF2CC"/>
            <w:noWrap/>
            <w:hideMark/>
          </w:tcPr>
          <w:p w14:paraId="6319A26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Рок за почетак активности</w:t>
            </w:r>
          </w:p>
        </w:tc>
        <w:tc>
          <w:tcPr>
            <w:tcW w:w="2127" w:type="dxa"/>
            <w:shd w:val="clear" w:color="auto" w:fill="FFF2CC"/>
            <w:noWrap/>
            <w:hideMark/>
          </w:tcPr>
          <w:p w14:paraId="6978D2F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Извор финансирања</w:t>
            </w:r>
          </w:p>
        </w:tc>
        <w:tc>
          <w:tcPr>
            <w:tcW w:w="1275" w:type="dxa"/>
            <w:shd w:val="clear" w:color="auto" w:fill="FFF2CC"/>
            <w:noWrap/>
            <w:hideMark/>
          </w:tcPr>
          <w:p w14:paraId="5B421D6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Веза са програмским буџетом</w:t>
            </w:r>
          </w:p>
        </w:tc>
        <w:tc>
          <w:tcPr>
            <w:tcW w:w="4371" w:type="dxa"/>
            <w:gridSpan w:val="5"/>
            <w:shd w:val="clear" w:color="auto" w:fill="FFF2CC"/>
            <w:noWrap/>
            <w:hideMark/>
          </w:tcPr>
          <w:p w14:paraId="126DEF4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Укупна процењена финансијска средства по изворима у 000 дин</w:t>
            </w:r>
          </w:p>
        </w:tc>
      </w:tr>
      <w:tr w:rsidR="00FB70CD" w:rsidRPr="00226F9D" w14:paraId="267BD2B3" w14:textId="77777777" w:rsidTr="5445EFBE">
        <w:trPr>
          <w:trHeight w:val="145"/>
        </w:trPr>
        <w:tc>
          <w:tcPr>
            <w:tcW w:w="2262" w:type="dxa"/>
            <w:shd w:val="clear" w:color="auto" w:fill="FFF2CC"/>
            <w:noWrap/>
            <w:hideMark/>
          </w:tcPr>
          <w:p w14:paraId="022D75E1"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561" w:type="dxa"/>
            <w:shd w:val="clear" w:color="auto" w:fill="FFF2CC"/>
            <w:noWrap/>
            <w:hideMark/>
          </w:tcPr>
          <w:p w14:paraId="250FF0B6"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417" w:type="dxa"/>
            <w:shd w:val="clear" w:color="auto" w:fill="FFF2CC"/>
            <w:noWrap/>
            <w:hideMark/>
          </w:tcPr>
          <w:p w14:paraId="6F9243E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693" w:type="dxa"/>
            <w:gridSpan w:val="2"/>
            <w:shd w:val="clear" w:color="auto" w:fill="FFF2CC"/>
            <w:noWrap/>
            <w:hideMark/>
          </w:tcPr>
          <w:p w14:paraId="59438780"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2127" w:type="dxa"/>
            <w:shd w:val="clear" w:color="auto" w:fill="FFF2CC"/>
            <w:noWrap/>
            <w:hideMark/>
          </w:tcPr>
          <w:p w14:paraId="0EB21524"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1275" w:type="dxa"/>
            <w:shd w:val="clear" w:color="auto" w:fill="FFF2CC"/>
            <w:noWrap/>
            <w:hideMark/>
          </w:tcPr>
          <w:p w14:paraId="60E1BF2C"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 </w:t>
            </w:r>
          </w:p>
        </w:tc>
        <w:tc>
          <w:tcPr>
            <w:tcW w:w="851" w:type="dxa"/>
            <w:shd w:val="clear" w:color="auto" w:fill="FFF2CC"/>
            <w:noWrap/>
            <w:hideMark/>
          </w:tcPr>
          <w:p w14:paraId="4F6FE48F"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2026</w:t>
            </w:r>
          </w:p>
        </w:tc>
        <w:tc>
          <w:tcPr>
            <w:tcW w:w="850" w:type="dxa"/>
            <w:shd w:val="clear" w:color="auto" w:fill="FFF2CC"/>
            <w:noWrap/>
            <w:hideMark/>
          </w:tcPr>
          <w:p w14:paraId="12A0192B"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2027</w:t>
            </w:r>
          </w:p>
        </w:tc>
        <w:tc>
          <w:tcPr>
            <w:tcW w:w="851" w:type="dxa"/>
            <w:shd w:val="clear" w:color="auto" w:fill="FFF2CC"/>
            <w:noWrap/>
            <w:hideMark/>
          </w:tcPr>
          <w:p w14:paraId="22F24A95"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2028</w:t>
            </w:r>
          </w:p>
        </w:tc>
        <w:tc>
          <w:tcPr>
            <w:tcW w:w="850" w:type="dxa"/>
            <w:shd w:val="clear" w:color="auto" w:fill="FFF2CC"/>
            <w:noWrap/>
            <w:hideMark/>
          </w:tcPr>
          <w:p w14:paraId="4424064D"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2029</w:t>
            </w:r>
          </w:p>
        </w:tc>
        <w:tc>
          <w:tcPr>
            <w:tcW w:w="969" w:type="dxa"/>
            <w:shd w:val="clear" w:color="auto" w:fill="FFF2CC"/>
            <w:noWrap/>
            <w:hideMark/>
          </w:tcPr>
          <w:p w14:paraId="35129F73" w14:textId="77777777" w:rsidR="00FB70CD" w:rsidRPr="00226F9D" w:rsidRDefault="00FB70CD" w:rsidP="005B0999">
            <w:pPr>
              <w:spacing w:after="0" w:line="240" w:lineRule="auto"/>
              <w:jc w:val="center"/>
              <w:rPr>
                <w:rFonts w:ascii="Times New Roman" w:eastAsia="Times New Roman" w:hAnsi="Times New Roman" w:cs="Times New Roman"/>
                <w:b/>
                <w:bCs/>
                <w:color w:val="000000"/>
                <w:kern w:val="0"/>
                <w:sz w:val="16"/>
                <w:szCs w:val="16"/>
                <w:lang w:eastAsia="en-GB"/>
                <w14:ligatures w14:val="none"/>
              </w:rPr>
            </w:pPr>
            <w:r w:rsidRPr="00226F9D">
              <w:rPr>
                <w:rFonts w:ascii="Times New Roman" w:eastAsia="Times New Roman" w:hAnsi="Times New Roman" w:cs="Times New Roman"/>
                <w:b/>
                <w:bCs/>
                <w:color w:val="000000"/>
                <w:kern w:val="0"/>
                <w:sz w:val="16"/>
                <w:szCs w:val="16"/>
                <w:lang w:eastAsia="en-GB"/>
                <w14:ligatures w14:val="none"/>
              </w:rPr>
              <w:t>2030</w:t>
            </w:r>
          </w:p>
        </w:tc>
      </w:tr>
      <w:tr w:rsidR="00FB70CD" w:rsidRPr="00226F9D" w14:paraId="4BE1A010" w14:textId="77777777" w:rsidTr="5445EFBE">
        <w:trPr>
          <w:trHeight w:val="404"/>
        </w:trPr>
        <w:tc>
          <w:tcPr>
            <w:tcW w:w="2262" w:type="dxa"/>
            <w:noWrap/>
            <w:hideMark/>
          </w:tcPr>
          <w:p w14:paraId="774EE149"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4.3.1. Израда електронског портала за извештавање у вези са обављањем комуналних делатности на територији Републике Србије</w:t>
            </w:r>
          </w:p>
        </w:tc>
        <w:tc>
          <w:tcPr>
            <w:tcW w:w="1561" w:type="dxa"/>
            <w:noWrap/>
            <w:hideMark/>
          </w:tcPr>
          <w:p w14:paraId="2825999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МГСИ</w:t>
            </w:r>
          </w:p>
        </w:tc>
        <w:tc>
          <w:tcPr>
            <w:tcW w:w="1417" w:type="dxa"/>
            <w:noWrap/>
            <w:hideMark/>
          </w:tcPr>
          <w:p w14:paraId="458126A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 КОМДЕЛ</w:t>
            </w:r>
          </w:p>
        </w:tc>
        <w:tc>
          <w:tcPr>
            <w:tcW w:w="2693" w:type="dxa"/>
            <w:gridSpan w:val="2"/>
            <w:shd w:val="clear" w:color="auto" w:fill="FFFFFF" w:themeFill="background1"/>
            <w:noWrap/>
            <w:hideMark/>
          </w:tcPr>
          <w:p w14:paraId="06B5438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IV квартал</w:t>
            </w:r>
            <w:r w:rsidRPr="00226F9D">
              <w:rPr>
                <w:rFonts w:ascii="Times New Roman" w:eastAsia="Times New Roman" w:hAnsi="Times New Roman" w:cs="Times New Roman"/>
                <w:color w:val="000000"/>
                <w:kern w:val="0"/>
                <w:sz w:val="16"/>
                <w:szCs w:val="16"/>
                <w:lang w:eastAsia="en-GB"/>
                <w14:ligatures w14:val="none"/>
              </w:rPr>
              <w:br/>
              <w:t>2026.</w:t>
            </w:r>
          </w:p>
        </w:tc>
        <w:tc>
          <w:tcPr>
            <w:tcW w:w="2127" w:type="dxa"/>
            <w:shd w:val="clear" w:color="auto" w:fill="FFFFFF" w:themeFill="background1"/>
            <w:noWrap/>
            <w:hideMark/>
          </w:tcPr>
          <w:p w14:paraId="72ECE1A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shd w:val="clear" w:color="auto" w:fill="FFFFFF" w:themeFill="background1"/>
            <w:noWrap/>
            <w:hideMark/>
          </w:tcPr>
          <w:p w14:paraId="049A437A"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1101-0003-515 </w:t>
            </w:r>
          </w:p>
        </w:tc>
        <w:tc>
          <w:tcPr>
            <w:tcW w:w="851" w:type="dxa"/>
            <w:noWrap/>
            <w:hideMark/>
          </w:tcPr>
          <w:p w14:paraId="2D1B577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36.000</w:t>
            </w:r>
          </w:p>
        </w:tc>
        <w:tc>
          <w:tcPr>
            <w:tcW w:w="850" w:type="dxa"/>
            <w:noWrap/>
            <w:hideMark/>
          </w:tcPr>
          <w:p w14:paraId="0CF665C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63AAD04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2B04A62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6C67241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15DCE9C1" w14:textId="77777777" w:rsidTr="5445EFBE">
        <w:trPr>
          <w:trHeight w:val="490"/>
        </w:trPr>
        <w:tc>
          <w:tcPr>
            <w:tcW w:w="2262" w:type="dxa"/>
            <w:noWrap/>
            <w:hideMark/>
          </w:tcPr>
          <w:p w14:paraId="29C667BF"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4.3.2. Израда Нацрта закона о гробљима и сахрањивању и његово упућивање Влади ради разматрања и утврђивања Предлога закона</w:t>
            </w:r>
          </w:p>
        </w:tc>
        <w:tc>
          <w:tcPr>
            <w:tcW w:w="1561" w:type="dxa"/>
            <w:noWrap/>
            <w:hideMark/>
          </w:tcPr>
          <w:p w14:paraId="3B86CD6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МГСИ</w:t>
            </w:r>
          </w:p>
        </w:tc>
        <w:tc>
          <w:tcPr>
            <w:tcW w:w="1417" w:type="dxa"/>
            <w:noWrap/>
            <w:hideMark/>
          </w:tcPr>
          <w:p w14:paraId="3D819E3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МФИН, МДУЛС, МЗ </w:t>
            </w:r>
          </w:p>
        </w:tc>
        <w:tc>
          <w:tcPr>
            <w:tcW w:w="2693" w:type="dxa"/>
            <w:gridSpan w:val="2"/>
            <w:shd w:val="clear" w:color="auto" w:fill="FFFFFF" w:themeFill="background1"/>
            <w:noWrap/>
            <w:hideMark/>
          </w:tcPr>
          <w:p w14:paraId="309E67C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IV квартал</w:t>
            </w:r>
            <w:r w:rsidRPr="00226F9D">
              <w:rPr>
                <w:rFonts w:ascii="Times New Roman" w:eastAsia="Times New Roman" w:hAnsi="Times New Roman" w:cs="Times New Roman"/>
                <w:color w:val="000000"/>
                <w:kern w:val="0"/>
                <w:sz w:val="16"/>
                <w:szCs w:val="16"/>
                <w:lang w:eastAsia="en-GB"/>
                <w14:ligatures w14:val="none"/>
              </w:rPr>
              <w:br/>
              <w:t>2026.</w:t>
            </w:r>
          </w:p>
        </w:tc>
        <w:tc>
          <w:tcPr>
            <w:tcW w:w="2127" w:type="dxa"/>
            <w:noWrap/>
            <w:hideMark/>
          </w:tcPr>
          <w:p w14:paraId="47FF72E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noWrap/>
            <w:hideMark/>
          </w:tcPr>
          <w:p w14:paraId="2DE76082"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22- 22.0,1101-0003,411 </w:t>
            </w:r>
          </w:p>
        </w:tc>
        <w:tc>
          <w:tcPr>
            <w:tcW w:w="851" w:type="dxa"/>
            <w:noWrap/>
            <w:hideMark/>
          </w:tcPr>
          <w:p w14:paraId="206E203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3BD782C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55C1C69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05ED749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019D980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6AA621FF" w14:textId="77777777" w:rsidTr="5445EFBE">
        <w:trPr>
          <w:trHeight w:val="320"/>
        </w:trPr>
        <w:tc>
          <w:tcPr>
            <w:tcW w:w="2262" w:type="dxa"/>
            <w:shd w:val="clear" w:color="auto" w:fill="FFFFFF" w:themeFill="background1"/>
            <w:noWrap/>
            <w:hideMark/>
          </w:tcPr>
          <w:p w14:paraId="57005BF7"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4.3.3. Израда подзаконског акта који ближе прописује садржину и начин доношења </w:t>
            </w:r>
            <w:r w:rsidRPr="00226F9D">
              <w:rPr>
                <w:rFonts w:ascii="Times New Roman" w:eastAsia="Times New Roman" w:hAnsi="Times New Roman" w:cs="Times New Roman"/>
                <w:color w:val="000000"/>
                <w:kern w:val="0"/>
                <w:sz w:val="16"/>
                <w:szCs w:val="16"/>
                <w:lang w:eastAsia="en-GB"/>
                <w14:ligatures w14:val="none"/>
              </w:rPr>
              <w:lastRenderedPageBreak/>
              <w:t xml:space="preserve">програма изградње и одржавања комуналне инфраструктуре </w:t>
            </w:r>
          </w:p>
        </w:tc>
        <w:tc>
          <w:tcPr>
            <w:tcW w:w="1561" w:type="dxa"/>
            <w:noWrap/>
            <w:hideMark/>
          </w:tcPr>
          <w:p w14:paraId="43D509A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lastRenderedPageBreak/>
              <w:t>МГСИ</w:t>
            </w:r>
          </w:p>
        </w:tc>
        <w:tc>
          <w:tcPr>
            <w:tcW w:w="1417" w:type="dxa"/>
            <w:shd w:val="clear" w:color="auto" w:fill="FFFFFF" w:themeFill="background1"/>
            <w:noWrap/>
            <w:hideMark/>
          </w:tcPr>
          <w:p w14:paraId="5EE12C8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СКГО, КОМДЕЛ</w:t>
            </w:r>
          </w:p>
        </w:tc>
        <w:tc>
          <w:tcPr>
            <w:tcW w:w="2693" w:type="dxa"/>
            <w:gridSpan w:val="2"/>
            <w:shd w:val="clear" w:color="auto" w:fill="FFFFFF" w:themeFill="background1"/>
            <w:noWrap/>
            <w:hideMark/>
          </w:tcPr>
          <w:p w14:paraId="7F7537F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 III квартал 2026.</w:t>
            </w:r>
          </w:p>
        </w:tc>
        <w:tc>
          <w:tcPr>
            <w:tcW w:w="2127" w:type="dxa"/>
            <w:noWrap/>
            <w:hideMark/>
          </w:tcPr>
          <w:p w14:paraId="4EF0D62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noWrap/>
            <w:hideMark/>
          </w:tcPr>
          <w:p w14:paraId="08552EEE"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22- 22.0,1101-0003,411 </w:t>
            </w:r>
          </w:p>
        </w:tc>
        <w:tc>
          <w:tcPr>
            <w:tcW w:w="851" w:type="dxa"/>
            <w:noWrap/>
            <w:hideMark/>
          </w:tcPr>
          <w:p w14:paraId="46F604E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6725E9D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3489404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1074268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52F70C7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7F013873" w14:textId="77777777" w:rsidTr="5445EFBE">
        <w:trPr>
          <w:trHeight w:val="365"/>
        </w:trPr>
        <w:tc>
          <w:tcPr>
            <w:tcW w:w="2262" w:type="dxa"/>
            <w:shd w:val="clear" w:color="auto" w:fill="FFFFFF" w:themeFill="background1"/>
            <w:noWrap/>
            <w:hideMark/>
          </w:tcPr>
          <w:p w14:paraId="02731BA4"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4.3.4. Израда подзаконског акта који уређује методологију за формирање цена комуналних услуга</w:t>
            </w:r>
          </w:p>
        </w:tc>
        <w:tc>
          <w:tcPr>
            <w:tcW w:w="1561" w:type="dxa"/>
            <w:noWrap/>
            <w:hideMark/>
          </w:tcPr>
          <w:p w14:paraId="14F81A8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МГСИ</w:t>
            </w:r>
          </w:p>
        </w:tc>
        <w:tc>
          <w:tcPr>
            <w:tcW w:w="1417" w:type="dxa"/>
            <w:shd w:val="clear" w:color="auto" w:fill="FFFFFF" w:themeFill="background1"/>
            <w:noWrap/>
            <w:hideMark/>
          </w:tcPr>
          <w:p w14:paraId="0D1F610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МФИН, МИНПРИВ, МДУЛС, МРЗБСП, MЗЖС, МПШВ-Републичка дирекција за воде, Синдикати запослених у комуналним стамбеним делатностима, ПКС, КОМДЕЛ, СКГО</w:t>
            </w:r>
          </w:p>
        </w:tc>
        <w:tc>
          <w:tcPr>
            <w:tcW w:w="2693" w:type="dxa"/>
            <w:gridSpan w:val="2"/>
            <w:shd w:val="clear" w:color="auto" w:fill="FFFFFF" w:themeFill="background1"/>
            <w:noWrap/>
            <w:hideMark/>
          </w:tcPr>
          <w:p w14:paraId="07D91C5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IV квартал 2025. - III квартал</w:t>
            </w:r>
            <w:r w:rsidRPr="00226F9D">
              <w:rPr>
                <w:rFonts w:ascii="Times New Roman" w:eastAsia="Times New Roman" w:hAnsi="Times New Roman" w:cs="Times New Roman"/>
                <w:color w:val="000000"/>
                <w:kern w:val="0"/>
                <w:sz w:val="16"/>
                <w:szCs w:val="16"/>
                <w:lang w:eastAsia="en-GB"/>
                <w14:ligatures w14:val="none"/>
              </w:rPr>
              <w:br/>
              <w:t>2026.</w:t>
            </w:r>
          </w:p>
        </w:tc>
        <w:tc>
          <w:tcPr>
            <w:tcW w:w="2127" w:type="dxa"/>
            <w:noWrap/>
            <w:hideMark/>
          </w:tcPr>
          <w:p w14:paraId="2F1FDE5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Буџет РС – редовна издвајања</w:t>
            </w:r>
          </w:p>
        </w:tc>
        <w:tc>
          <w:tcPr>
            <w:tcW w:w="1275" w:type="dxa"/>
            <w:noWrap/>
            <w:hideMark/>
          </w:tcPr>
          <w:p w14:paraId="74A168B3"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 xml:space="preserve">22- 22.0,1101-0003,411 </w:t>
            </w:r>
          </w:p>
        </w:tc>
        <w:tc>
          <w:tcPr>
            <w:tcW w:w="851" w:type="dxa"/>
            <w:noWrap/>
            <w:hideMark/>
          </w:tcPr>
          <w:p w14:paraId="6F3A849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32FDDF3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5069F22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0B7C0848"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30566F8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05EB8364" w14:textId="77777777" w:rsidTr="5445EFBE">
        <w:trPr>
          <w:trHeight w:val="320"/>
        </w:trPr>
        <w:tc>
          <w:tcPr>
            <w:tcW w:w="2262" w:type="dxa"/>
            <w:shd w:val="clear" w:color="auto" w:fill="FFFFFF" w:themeFill="background1"/>
            <w:noWrap/>
            <w:hideMark/>
          </w:tcPr>
          <w:p w14:paraId="6CDF8CA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4.3.5. Израда модела програма изградње и одржавања комуналне инфраструктуре</w:t>
            </w:r>
          </w:p>
        </w:tc>
        <w:tc>
          <w:tcPr>
            <w:tcW w:w="1561" w:type="dxa"/>
            <w:noWrap/>
            <w:hideMark/>
          </w:tcPr>
          <w:p w14:paraId="5723229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МГСИ</w:t>
            </w:r>
          </w:p>
        </w:tc>
        <w:tc>
          <w:tcPr>
            <w:tcW w:w="1417" w:type="dxa"/>
            <w:shd w:val="clear" w:color="auto" w:fill="FFFFFF" w:themeFill="background1"/>
            <w:noWrap/>
            <w:hideMark/>
          </w:tcPr>
          <w:p w14:paraId="79F3629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 КОМДЕЛ</w:t>
            </w:r>
          </w:p>
        </w:tc>
        <w:tc>
          <w:tcPr>
            <w:tcW w:w="2693" w:type="dxa"/>
            <w:gridSpan w:val="2"/>
            <w:shd w:val="clear" w:color="auto" w:fill="FFFFFF" w:themeFill="background1"/>
            <w:noWrap/>
            <w:hideMark/>
          </w:tcPr>
          <w:p w14:paraId="091ACD6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III квартал 2026.</w:t>
            </w:r>
          </w:p>
        </w:tc>
        <w:tc>
          <w:tcPr>
            <w:tcW w:w="2127" w:type="dxa"/>
            <w:noWrap/>
            <w:hideMark/>
          </w:tcPr>
          <w:p w14:paraId="6446638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Подршка из донације: (СДЦ-СКГО - Партнерство за добру локалну самоуправу)</w:t>
            </w:r>
          </w:p>
        </w:tc>
        <w:tc>
          <w:tcPr>
            <w:tcW w:w="1275" w:type="dxa"/>
            <w:noWrap/>
            <w:hideMark/>
          </w:tcPr>
          <w:p w14:paraId="7B65D31D"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0C60F6E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480</w:t>
            </w:r>
          </w:p>
        </w:tc>
        <w:tc>
          <w:tcPr>
            <w:tcW w:w="850" w:type="dxa"/>
            <w:noWrap/>
            <w:hideMark/>
          </w:tcPr>
          <w:p w14:paraId="7EEC96A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555CF20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69BE544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45B32DA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7EA0A853" w14:textId="77777777" w:rsidTr="5445EFBE">
        <w:trPr>
          <w:trHeight w:val="320"/>
        </w:trPr>
        <w:tc>
          <w:tcPr>
            <w:tcW w:w="2262" w:type="dxa"/>
            <w:vMerge w:val="restart"/>
            <w:shd w:val="clear" w:color="auto" w:fill="FFFFFF" w:themeFill="background1"/>
            <w:noWrap/>
            <w:hideMark/>
          </w:tcPr>
          <w:p w14:paraId="371C4262"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4.3.6. Јачање капацитета ЈЛС за израду годишњег програма обављања комуналних делатности (израда модела, инструктивних материјала, обуке, семинари и др.)</w:t>
            </w:r>
          </w:p>
        </w:tc>
        <w:tc>
          <w:tcPr>
            <w:tcW w:w="1561" w:type="dxa"/>
            <w:vMerge w:val="restart"/>
            <w:noWrap/>
            <w:hideMark/>
          </w:tcPr>
          <w:p w14:paraId="522B862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МГСИ</w:t>
            </w:r>
          </w:p>
        </w:tc>
        <w:tc>
          <w:tcPr>
            <w:tcW w:w="1417" w:type="dxa"/>
            <w:vMerge w:val="restart"/>
            <w:shd w:val="clear" w:color="auto" w:fill="FFFFFF" w:themeFill="background1"/>
            <w:noWrap/>
            <w:hideMark/>
          </w:tcPr>
          <w:p w14:paraId="6AC5D31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 КОМДЕЛ</w:t>
            </w:r>
          </w:p>
        </w:tc>
        <w:tc>
          <w:tcPr>
            <w:tcW w:w="2693" w:type="dxa"/>
            <w:gridSpan w:val="2"/>
            <w:vMerge w:val="restart"/>
            <w:shd w:val="clear" w:color="auto" w:fill="FFFFFF" w:themeFill="background1"/>
            <w:noWrap/>
            <w:hideMark/>
          </w:tcPr>
          <w:p w14:paraId="423F11A9"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 квартал 2026. - IV квартал</w:t>
            </w:r>
            <w:r w:rsidRPr="00226F9D">
              <w:rPr>
                <w:rFonts w:ascii="Times New Roman" w:eastAsia="Times New Roman" w:hAnsi="Times New Roman" w:cs="Times New Roman"/>
                <w:color w:val="000000"/>
                <w:kern w:val="0"/>
                <w:sz w:val="16"/>
                <w:szCs w:val="16"/>
                <w:lang w:eastAsia="en-GB"/>
                <w14:ligatures w14:val="none"/>
              </w:rPr>
              <w:br/>
              <w:t>2027.</w:t>
            </w:r>
          </w:p>
        </w:tc>
        <w:tc>
          <w:tcPr>
            <w:tcW w:w="2127" w:type="dxa"/>
            <w:noWrap/>
            <w:hideMark/>
          </w:tcPr>
          <w:p w14:paraId="08955C2F"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Подршка из донације: (СДЦ-СКГО - Партнерство за добру локалну самоуправу)</w:t>
            </w:r>
          </w:p>
        </w:tc>
        <w:tc>
          <w:tcPr>
            <w:tcW w:w="1275" w:type="dxa"/>
            <w:noWrap/>
            <w:hideMark/>
          </w:tcPr>
          <w:p w14:paraId="64FE3E1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08A1732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720</w:t>
            </w:r>
          </w:p>
        </w:tc>
        <w:tc>
          <w:tcPr>
            <w:tcW w:w="850" w:type="dxa"/>
            <w:noWrap/>
            <w:hideMark/>
          </w:tcPr>
          <w:p w14:paraId="34CB040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6B66FD46"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690F5A1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0D011C2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5324504B" w14:textId="77777777" w:rsidTr="5445EFBE">
        <w:trPr>
          <w:trHeight w:val="320"/>
        </w:trPr>
        <w:tc>
          <w:tcPr>
            <w:tcW w:w="2262" w:type="dxa"/>
            <w:vMerge/>
            <w:hideMark/>
          </w:tcPr>
          <w:p w14:paraId="74667AE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1" w:type="dxa"/>
            <w:vMerge/>
            <w:hideMark/>
          </w:tcPr>
          <w:p w14:paraId="1A85C869"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417" w:type="dxa"/>
            <w:vMerge/>
            <w:hideMark/>
          </w:tcPr>
          <w:p w14:paraId="19662B8E"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693" w:type="dxa"/>
            <w:gridSpan w:val="2"/>
            <w:vMerge/>
            <w:hideMark/>
          </w:tcPr>
          <w:p w14:paraId="7FA19E08"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2127" w:type="dxa"/>
            <w:noWrap/>
            <w:hideMark/>
          </w:tcPr>
          <w:p w14:paraId="763882A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 средства нису обезбеђена</w:t>
            </w:r>
            <w:r w:rsidRPr="00226F9D">
              <w:rPr>
                <w:rFonts w:ascii="Times New Roman" w:eastAsia="Times New Roman" w:hAnsi="Times New Roman" w:cs="Times New Roman"/>
                <w:kern w:val="0"/>
                <w:sz w:val="16"/>
                <w:szCs w:val="16"/>
                <w:lang w:eastAsia="en-GB"/>
                <w14:ligatures w14:val="none"/>
              </w:rPr>
              <w:br/>
              <w:t>Очекивана подршка из донације (СКГО)</w:t>
            </w:r>
          </w:p>
        </w:tc>
        <w:tc>
          <w:tcPr>
            <w:tcW w:w="1275" w:type="dxa"/>
            <w:noWrap/>
            <w:hideMark/>
          </w:tcPr>
          <w:p w14:paraId="70F83FB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7EB1389A"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6FD56627"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900*</w:t>
            </w:r>
          </w:p>
        </w:tc>
        <w:tc>
          <w:tcPr>
            <w:tcW w:w="851" w:type="dxa"/>
            <w:noWrap/>
            <w:hideMark/>
          </w:tcPr>
          <w:p w14:paraId="68BCC9E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2D9A4D6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139841E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FB70CD" w:rsidRPr="00226F9D" w14:paraId="66006DE0" w14:textId="77777777" w:rsidTr="5445EFBE">
        <w:trPr>
          <w:trHeight w:val="320"/>
        </w:trPr>
        <w:tc>
          <w:tcPr>
            <w:tcW w:w="2262" w:type="dxa"/>
            <w:shd w:val="clear" w:color="auto" w:fill="FFFFFF" w:themeFill="background1"/>
            <w:noWrap/>
            <w:hideMark/>
          </w:tcPr>
          <w:p w14:paraId="7326E926" w14:textId="77777777" w:rsidR="00FB70CD" w:rsidRPr="00226F9D" w:rsidRDefault="00FB70CD" w:rsidP="005B0999">
            <w:pPr>
              <w:spacing w:after="0" w:line="240" w:lineRule="auto"/>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4.3.7.</w:t>
            </w:r>
            <w:r w:rsidR="0047610F" w:rsidRPr="00226F9D">
              <w:rPr>
                <w:rFonts w:ascii="Times New Roman" w:eastAsia="Times New Roman" w:hAnsi="Times New Roman" w:cs="Times New Roman"/>
                <w:color w:val="000000"/>
                <w:kern w:val="0"/>
                <w:sz w:val="16"/>
                <w:szCs w:val="16"/>
                <w:lang w:val="sr-Cyrl-RS" w:eastAsia="en-GB"/>
                <w14:ligatures w14:val="none"/>
              </w:rPr>
              <w:t xml:space="preserve"> </w:t>
            </w:r>
            <w:r w:rsidRPr="00226F9D">
              <w:rPr>
                <w:rFonts w:ascii="Times New Roman" w:eastAsia="Times New Roman" w:hAnsi="Times New Roman" w:cs="Times New Roman"/>
                <w:color w:val="000000"/>
                <w:kern w:val="0"/>
                <w:sz w:val="16"/>
                <w:szCs w:val="16"/>
                <w:lang w:eastAsia="en-GB"/>
                <w14:ligatures w14:val="none"/>
              </w:rPr>
              <w:t>Организација обука за примену новог закона о комуналним делатностима</w:t>
            </w:r>
          </w:p>
          <w:p w14:paraId="2D351FF0" w14:textId="77777777" w:rsidR="00672628" w:rsidRPr="00226F9D" w:rsidRDefault="00672628" w:rsidP="005B0999">
            <w:pPr>
              <w:spacing w:after="0" w:line="240" w:lineRule="auto"/>
              <w:rPr>
                <w:rFonts w:ascii="Times New Roman" w:eastAsia="Times New Roman" w:hAnsi="Times New Roman" w:cs="Times New Roman"/>
                <w:color w:val="000000"/>
                <w:kern w:val="0"/>
                <w:sz w:val="16"/>
                <w:szCs w:val="16"/>
                <w:lang w:eastAsia="en-GB"/>
                <w14:ligatures w14:val="none"/>
              </w:rPr>
            </w:pPr>
          </w:p>
          <w:p w14:paraId="7CEFEE60" w14:textId="77777777" w:rsidR="00672628" w:rsidRPr="00226F9D" w:rsidRDefault="00672628" w:rsidP="005B0999">
            <w:pPr>
              <w:spacing w:after="0" w:line="240" w:lineRule="auto"/>
              <w:rPr>
                <w:rFonts w:ascii="Times New Roman" w:eastAsia="Times New Roman" w:hAnsi="Times New Roman" w:cs="Times New Roman"/>
                <w:color w:val="000000"/>
                <w:kern w:val="0"/>
                <w:sz w:val="16"/>
                <w:szCs w:val="16"/>
                <w:lang w:val="sr-Cyrl-RS" w:eastAsia="en-GB"/>
                <w14:ligatures w14:val="none"/>
              </w:rPr>
            </w:pPr>
          </w:p>
          <w:p w14:paraId="33293B3E" w14:textId="5F453430" w:rsidR="00672628" w:rsidRPr="00226F9D" w:rsidRDefault="00672628" w:rsidP="005B0999">
            <w:pPr>
              <w:spacing w:after="0" w:line="240" w:lineRule="auto"/>
              <w:rPr>
                <w:rFonts w:ascii="Times New Roman" w:eastAsia="Times New Roman" w:hAnsi="Times New Roman" w:cs="Times New Roman"/>
                <w:color w:val="000000"/>
                <w:kern w:val="0"/>
                <w:sz w:val="16"/>
                <w:szCs w:val="16"/>
                <w:lang w:eastAsia="en-GB"/>
                <w14:ligatures w14:val="none"/>
              </w:rPr>
            </w:pPr>
          </w:p>
        </w:tc>
        <w:tc>
          <w:tcPr>
            <w:tcW w:w="1561" w:type="dxa"/>
            <w:noWrap/>
            <w:hideMark/>
          </w:tcPr>
          <w:p w14:paraId="4FD285E0"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МГСИ</w:t>
            </w:r>
          </w:p>
        </w:tc>
        <w:tc>
          <w:tcPr>
            <w:tcW w:w="1417" w:type="dxa"/>
            <w:shd w:val="clear" w:color="auto" w:fill="FFFFFF" w:themeFill="background1"/>
            <w:noWrap/>
            <w:hideMark/>
          </w:tcPr>
          <w:p w14:paraId="5A66BFBC"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СКГО, КОМДЕЛ</w:t>
            </w:r>
          </w:p>
        </w:tc>
        <w:tc>
          <w:tcPr>
            <w:tcW w:w="2693" w:type="dxa"/>
            <w:gridSpan w:val="2"/>
            <w:shd w:val="clear" w:color="auto" w:fill="FFFFFF" w:themeFill="background1"/>
            <w:noWrap/>
            <w:hideMark/>
          </w:tcPr>
          <w:p w14:paraId="32D67593"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II квартал 2026.  - IV квартал</w:t>
            </w:r>
            <w:r w:rsidRPr="00226F9D">
              <w:rPr>
                <w:rFonts w:ascii="Times New Roman" w:eastAsia="Times New Roman" w:hAnsi="Times New Roman" w:cs="Times New Roman"/>
                <w:color w:val="000000"/>
                <w:kern w:val="0"/>
                <w:sz w:val="16"/>
                <w:szCs w:val="16"/>
                <w:lang w:eastAsia="en-GB"/>
                <w14:ligatures w14:val="none"/>
              </w:rPr>
              <w:br/>
              <w:t>2026.</w:t>
            </w:r>
          </w:p>
        </w:tc>
        <w:tc>
          <w:tcPr>
            <w:tcW w:w="2127" w:type="dxa"/>
            <w:noWrap/>
            <w:hideMark/>
          </w:tcPr>
          <w:p w14:paraId="68695FEB"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xml:space="preserve"> Подршка из донације: (СДЦ-СКГО - Партнерство за добру локалну самоуправу)</w:t>
            </w:r>
          </w:p>
        </w:tc>
        <w:tc>
          <w:tcPr>
            <w:tcW w:w="1275" w:type="dxa"/>
            <w:noWrap/>
            <w:hideMark/>
          </w:tcPr>
          <w:p w14:paraId="2D919A35"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45D5A2F1" w14:textId="77777777" w:rsidR="00FB70CD" w:rsidRPr="00226F9D" w:rsidRDefault="00FB70CD" w:rsidP="005B0999">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2.000</w:t>
            </w:r>
          </w:p>
        </w:tc>
        <w:tc>
          <w:tcPr>
            <w:tcW w:w="850" w:type="dxa"/>
            <w:noWrap/>
            <w:hideMark/>
          </w:tcPr>
          <w:p w14:paraId="2FD8E087"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1" w:type="dxa"/>
            <w:noWrap/>
            <w:hideMark/>
          </w:tcPr>
          <w:p w14:paraId="2E2A60E1"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850" w:type="dxa"/>
            <w:noWrap/>
            <w:hideMark/>
          </w:tcPr>
          <w:p w14:paraId="2AD3564E"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c>
          <w:tcPr>
            <w:tcW w:w="969" w:type="dxa"/>
            <w:noWrap/>
            <w:hideMark/>
          </w:tcPr>
          <w:p w14:paraId="08A2BB84" w14:textId="77777777" w:rsidR="00FB70CD" w:rsidRPr="00226F9D" w:rsidRDefault="00FB70CD" w:rsidP="005B0999">
            <w:pPr>
              <w:spacing w:after="0" w:line="240" w:lineRule="auto"/>
              <w:jc w:val="center"/>
              <w:rPr>
                <w:rFonts w:ascii="Times New Roman" w:eastAsia="Times New Roman" w:hAnsi="Times New Roman" w:cs="Times New Roman"/>
                <w:color w:val="000000"/>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w:t>
            </w:r>
          </w:p>
        </w:tc>
      </w:tr>
      <w:tr w:rsidR="001A717B" w:rsidRPr="00226F9D" w14:paraId="0E857F94" w14:textId="77777777" w:rsidTr="0071486C">
        <w:trPr>
          <w:trHeight w:val="320"/>
        </w:trPr>
        <w:tc>
          <w:tcPr>
            <w:tcW w:w="2262" w:type="dxa"/>
            <w:vMerge w:val="restart"/>
            <w:noWrap/>
          </w:tcPr>
          <w:p w14:paraId="342932C1" w14:textId="77777777" w:rsidR="001A717B" w:rsidRPr="00226F9D" w:rsidRDefault="001A717B" w:rsidP="7AD1A102">
            <w:pPr>
              <w:spacing w:after="0" w:line="240" w:lineRule="auto"/>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 xml:space="preserve">4.3.8. Анализа стања предузећа којима је оснивач ЈЛС као инпут за измену Закона о јавним предузећима </w:t>
            </w:r>
          </w:p>
        </w:tc>
        <w:tc>
          <w:tcPr>
            <w:tcW w:w="1561" w:type="dxa"/>
            <w:vMerge w:val="restart"/>
          </w:tcPr>
          <w:p w14:paraId="2B8CE325" w14:textId="648DCF1E"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МИНПРИВ</w:t>
            </w:r>
          </w:p>
        </w:tc>
        <w:tc>
          <w:tcPr>
            <w:tcW w:w="1417" w:type="dxa"/>
            <w:vMerge w:val="restart"/>
          </w:tcPr>
          <w:p w14:paraId="56F2B9D0" w14:textId="38D7A7A1"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СКГО</w:t>
            </w:r>
          </w:p>
        </w:tc>
        <w:tc>
          <w:tcPr>
            <w:tcW w:w="2693" w:type="dxa"/>
            <w:gridSpan w:val="2"/>
            <w:vMerge w:val="restart"/>
          </w:tcPr>
          <w:p w14:paraId="38CF4352"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 квартал 2026. - IV квартал</w:t>
            </w:r>
            <w:r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202</w:t>
            </w:r>
            <w:r w:rsidRPr="00226F9D">
              <w:rPr>
                <w:rFonts w:ascii="Times New Roman" w:eastAsia="Times New Roman" w:hAnsi="Times New Roman" w:cs="Times New Roman"/>
                <w:color w:val="000000" w:themeColor="text1"/>
                <w:sz w:val="16"/>
                <w:szCs w:val="16"/>
                <w:lang w:val="sr-Cyrl-RS" w:eastAsia="en-GB"/>
              </w:rPr>
              <w:t>6</w:t>
            </w:r>
            <w:r w:rsidRPr="00226F9D">
              <w:rPr>
                <w:rFonts w:ascii="Times New Roman" w:eastAsia="Times New Roman" w:hAnsi="Times New Roman" w:cs="Times New Roman"/>
                <w:color w:val="000000" w:themeColor="text1"/>
                <w:sz w:val="16"/>
                <w:szCs w:val="16"/>
                <w:lang w:eastAsia="en-GB"/>
              </w:rPr>
              <w:t>.</w:t>
            </w:r>
          </w:p>
        </w:tc>
        <w:tc>
          <w:tcPr>
            <w:tcW w:w="2127" w:type="dxa"/>
          </w:tcPr>
          <w:p w14:paraId="025663B4"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sz w:val="16"/>
                <w:szCs w:val="16"/>
                <w:lang w:eastAsia="en-GB"/>
              </w:rPr>
              <w:t xml:space="preserve">Донаторска подршка СЕКО - РЕЛОФ3 </w:t>
            </w:r>
          </w:p>
        </w:tc>
        <w:tc>
          <w:tcPr>
            <w:tcW w:w="1275" w:type="dxa"/>
          </w:tcPr>
          <w:p w14:paraId="473BABBC"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57381FBE" w14:textId="66D97928" w:rsidR="001A717B" w:rsidRPr="00226F9D" w:rsidRDefault="001A717B" w:rsidP="7AD1A102">
            <w:pPr>
              <w:spacing w:after="0" w:line="240" w:lineRule="auto"/>
              <w:jc w:val="center"/>
              <w:rPr>
                <w:rFonts w:ascii="Times New Roman" w:eastAsia="Times New Roman" w:hAnsi="Times New Roman" w:cs="Times New Roman"/>
                <w:sz w:val="16"/>
                <w:szCs w:val="16"/>
                <w:lang w:val="sr-Cyrl-RS" w:eastAsia="en-GB"/>
              </w:rPr>
            </w:pPr>
            <w:r w:rsidRPr="00226F9D">
              <w:rPr>
                <w:rFonts w:ascii="Times New Roman" w:eastAsia="Times New Roman" w:hAnsi="Times New Roman" w:cs="Times New Roman"/>
                <w:sz w:val="16"/>
                <w:szCs w:val="16"/>
                <w:lang w:val="sr-Cyrl-RS" w:eastAsia="en-GB"/>
              </w:rPr>
              <w:t>3.000</w:t>
            </w:r>
          </w:p>
        </w:tc>
        <w:tc>
          <w:tcPr>
            <w:tcW w:w="850" w:type="dxa"/>
          </w:tcPr>
          <w:p w14:paraId="1F26A1B4"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851" w:type="dxa"/>
          </w:tcPr>
          <w:p w14:paraId="28163C86"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0" w:type="dxa"/>
          </w:tcPr>
          <w:p w14:paraId="781CBB1D"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969" w:type="dxa"/>
          </w:tcPr>
          <w:p w14:paraId="014350F5"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r>
      <w:tr w:rsidR="001A717B" w:rsidRPr="00226F9D" w14:paraId="7B47BDEE" w14:textId="77777777" w:rsidTr="0071486C">
        <w:trPr>
          <w:trHeight w:val="320"/>
        </w:trPr>
        <w:tc>
          <w:tcPr>
            <w:tcW w:w="2262" w:type="dxa"/>
            <w:vMerge/>
            <w:noWrap/>
          </w:tcPr>
          <w:p w14:paraId="0A1BAA62" w14:textId="77777777" w:rsidR="001A717B" w:rsidRPr="00226F9D" w:rsidRDefault="001A717B" w:rsidP="7AD1A102">
            <w:pPr>
              <w:spacing w:after="0" w:line="240" w:lineRule="auto"/>
              <w:rPr>
                <w:rFonts w:ascii="Times New Roman" w:eastAsia="Times New Roman" w:hAnsi="Times New Roman" w:cs="Times New Roman"/>
                <w:color w:val="000000" w:themeColor="text1"/>
                <w:sz w:val="16"/>
                <w:szCs w:val="16"/>
                <w:lang w:val="sr-Cyrl-RS" w:eastAsia="en-GB"/>
              </w:rPr>
            </w:pPr>
          </w:p>
        </w:tc>
        <w:tc>
          <w:tcPr>
            <w:tcW w:w="1561" w:type="dxa"/>
            <w:vMerge/>
          </w:tcPr>
          <w:p w14:paraId="62643855"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1417" w:type="dxa"/>
            <w:vMerge/>
          </w:tcPr>
          <w:p w14:paraId="39D200B4"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vMerge/>
          </w:tcPr>
          <w:p w14:paraId="4871BB7A"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2127" w:type="dxa"/>
          </w:tcPr>
          <w:p w14:paraId="4E32191A" w14:textId="0C9FE284" w:rsidR="001A717B" w:rsidRPr="00226F9D" w:rsidRDefault="001A717B" w:rsidP="7AD1A102">
            <w:pPr>
              <w:spacing w:after="0" w:line="240" w:lineRule="auto"/>
              <w:jc w:val="center"/>
              <w:rPr>
                <w:rFonts w:ascii="Times New Roman" w:eastAsia="Times New Roman" w:hAnsi="Times New Roman" w:cs="Times New Roman"/>
                <w:sz w:val="16"/>
                <w:szCs w:val="16"/>
                <w:lang w:eastAsia="en-GB"/>
              </w:rPr>
            </w:pPr>
            <w:r w:rsidRPr="00226F9D">
              <w:rPr>
                <w:rFonts w:ascii="Times New Roman" w:eastAsia="Times New Roman" w:hAnsi="Times New Roman" w:cs="Times New Roman"/>
                <w:color w:val="000000"/>
                <w:kern w:val="0"/>
                <w:sz w:val="16"/>
                <w:szCs w:val="16"/>
                <w:lang w:eastAsia="en-GB"/>
                <w14:ligatures w14:val="none"/>
              </w:rPr>
              <w:t>Подршка из донације: (СДЦ-СКГО - Партнерство за добру локалну самоуправу)</w:t>
            </w:r>
          </w:p>
        </w:tc>
        <w:tc>
          <w:tcPr>
            <w:tcW w:w="1275" w:type="dxa"/>
          </w:tcPr>
          <w:p w14:paraId="72F9D5DB"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758E2379" w14:textId="6C6E0130" w:rsidR="001A717B" w:rsidRPr="00226F9D" w:rsidRDefault="00281A7E" w:rsidP="7AD1A102">
            <w:pPr>
              <w:spacing w:after="0" w:line="240" w:lineRule="auto"/>
              <w:jc w:val="center"/>
              <w:rPr>
                <w:rFonts w:ascii="Times New Roman" w:eastAsia="Times New Roman" w:hAnsi="Times New Roman" w:cs="Times New Roman"/>
                <w:sz w:val="16"/>
                <w:szCs w:val="16"/>
                <w:lang w:val="sr-Latn-RS" w:eastAsia="en-GB"/>
              </w:rPr>
            </w:pPr>
            <w:r w:rsidRPr="00226F9D">
              <w:rPr>
                <w:rFonts w:ascii="Times New Roman" w:eastAsia="Times New Roman" w:hAnsi="Times New Roman" w:cs="Times New Roman"/>
                <w:sz w:val="16"/>
                <w:szCs w:val="16"/>
                <w:lang w:val="sr-Latn-RS" w:eastAsia="en-GB"/>
              </w:rPr>
              <w:t>9</w:t>
            </w:r>
            <w:r w:rsidR="0072463B" w:rsidRPr="00226F9D">
              <w:rPr>
                <w:rFonts w:ascii="Times New Roman" w:eastAsia="Times New Roman" w:hAnsi="Times New Roman" w:cs="Times New Roman"/>
                <w:sz w:val="16"/>
                <w:szCs w:val="16"/>
                <w:lang w:val="sr-Cyrl-RS" w:eastAsia="en-GB"/>
              </w:rPr>
              <w:t>6</w:t>
            </w:r>
            <w:r w:rsidRPr="00226F9D">
              <w:rPr>
                <w:rFonts w:ascii="Times New Roman" w:eastAsia="Times New Roman" w:hAnsi="Times New Roman" w:cs="Times New Roman"/>
                <w:sz w:val="16"/>
                <w:szCs w:val="16"/>
                <w:lang w:val="sr-Latn-RS" w:eastAsia="en-GB"/>
              </w:rPr>
              <w:t>0</w:t>
            </w:r>
          </w:p>
        </w:tc>
        <w:tc>
          <w:tcPr>
            <w:tcW w:w="850" w:type="dxa"/>
          </w:tcPr>
          <w:p w14:paraId="68F3CEF8"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851" w:type="dxa"/>
          </w:tcPr>
          <w:p w14:paraId="6C57DD3A"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0" w:type="dxa"/>
          </w:tcPr>
          <w:p w14:paraId="01CEF1CF"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969" w:type="dxa"/>
          </w:tcPr>
          <w:p w14:paraId="7B1F4FDD" w14:textId="77777777" w:rsidR="001A717B" w:rsidRPr="00226F9D" w:rsidRDefault="001A717B" w:rsidP="7AD1A102">
            <w:pPr>
              <w:spacing w:after="0" w:line="240" w:lineRule="auto"/>
              <w:jc w:val="center"/>
              <w:rPr>
                <w:rFonts w:ascii="Times New Roman" w:eastAsia="Times New Roman" w:hAnsi="Times New Roman" w:cs="Times New Roman"/>
                <w:color w:val="000000" w:themeColor="text1"/>
                <w:sz w:val="16"/>
                <w:szCs w:val="16"/>
                <w:lang w:eastAsia="en-GB"/>
              </w:rPr>
            </w:pPr>
          </w:p>
        </w:tc>
      </w:tr>
      <w:tr w:rsidR="00716159" w:rsidRPr="00226F9D" w14:paraId="4858037F" w14:textId="77777777" w:rsidTr="0071486C">
        <w:trPr>
          <w:trHeight w:val="320"/>
        </w:trPr>
        <w:tc>
          <w:tcPr>
            <w:tcW w:w="2262" w:type="dxa"/>
            <w:vMerge w:val="restart"/>
            <w:shd w:val="clear" w:color="auto" w:fill="FFFFFF" w:themeFill="background1"/>
            <w:noWrap/>
          </w:tcPr>
          <w:p w14:paraId="327C0990" w14:textId="77777777" w:rsidR="00716159" w:rsidRPr="00226F9D" w:rsidRDefault="00716159" w:rsidP="7AD1A102">
            <w:pPr>
              <w:spacing w:after="0" w:line="240" w:lineRule="auto"/>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4.3.9. Подршка измени Закона о јавним предузећима са израдом подзаконских аката</w:t>
            </w:r>
          </w:p>
        </w:tc>
        <w:tc>
          <w:tcPr>
            <w:tcW w:w="1561" w:type="dxa"/>
            <w:vMerge w:val="restart"/>
          </w:tcPr>
          <w:p w14:paraId="5B87B283" w14:textId="03ED9163"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МИНПРИВ</w:t>
            </w:r>
          </w:p>
        </w:tc>
        <w:tc>
          <w:tcPr>
            <w:tcW w:w="1417" w:type="dxa"/>
            <w:vMerge w:val="restart"/>
            <w:shd w:val="clear" w:color="auto" w:fill="FFFFFF" w:themeFill="background1"/>
          </w:tcPr>
          <w:p w14:paraId="7FD841EF" w14:textId="63FBE5C8"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tcPr>
          <w:p w14:paraId="26667D64" w14:textId="249833AC"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II квартал 202</w:t>
            </w:r>
            <w:r w:rsidRPr="00226F9D">
              <w:rPr>
                <w:rFonts w:ascii="Times New Roman" w:eastAsia="Times New Roman" w:hAnsi="Times New Roman" w:cs="Times New Roman"/>
                <w:color w:val="000000" w:themeColor="text1"/>
                <w:sz w:val="16"/>
                <w:szCs w:val="16"/>
                <w:lang w:val="sr-Cyrl-RS" w:eastAsia="en-GB"/>
              </w:rPr>
              <w:t>6</w:t>
            </w:r>
            <w:r w:rsidRPr="00226F9D">
              <w:rPr>
                <w:rFonts w:ascii="Times New Roman" w:eastAsia="Times New Roman" w:hAnsi="Times New Roman" w:cs="Times New Roman"/>
                <w:color w:val="000000" w:themeColor="text1"/>
                <w:sz w:val="16"/>
                <w:szCs w:val="16"/>
                <w:lang w:eastAsia="en-GB"/>
              </w:rPr>
              <w:t>. - II квартал</w:t>
            </w:r>
            <w:r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2027.</w:t>
            </w:r>
          </w:p>
        </w:tc>
        <w:tc>
          <w:tcPr>
            <w:tcW w:w="2127" w:type="dxa"/>
          </w:tcPr>
          <w:p w14:paraId="44E519B4"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eastAsia="en-GB"/>
              </w:rPr>
            </w:pPr>
            <w:r w:rsidRPr="00226F9D">
              <w:rPr>
                <w:rFonts w:ascii="Times New Roman" w:eastAsia="Times New Roman" w:hAnsi="Times New Roman" w:cs="Times New Roman"/>
                <w:sz w:val="16"/>
                <w:szCs w:val="16"/>
                <w:lang w:eastAsia="en-GB"/>
              </w:rPr>
              <w:t>Донаторска подршка СЕКО - РЕЛОФ3</w:t>
            </w:r>
          </w:p>
          <w:p w14:paraId="2417E6F5"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eastAsia="en-GB"/>
              </w:rPr>
            </w:pPr>
          </w:p>
        </w:tc>
        <w:tc>
          <w:tcPr>
            <w:tcW w:w="1275" w:type="dxa"/>
          </w:tcPr>
          <w:p w14:paraId="4404134E"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6B656A0E"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eastAsia="en-GB"/>
              </w:rPr>
            </w:pPr>
            <w:r w:rsidRPr="00226F9D">
              <w:rPr>
                <w:rFonts w:ascii="Times New Roman" w:eastAsia="Times New Roman" w:hAnsi="Times New Roman" w:cs="Times New Roman"/>
                <w:sz w:val="16"/>
                <w:szCs w:val="16"/>
                <w:lang w:eastAsia="en-GB"/>
              </w:rPr>
              <w:t>500</w:t>
            </w:r>
          </w:p>
        </w:tc>
        <w:tc>
          <w:tcPr>
            <w:tcW w:w="850" w:type="dxa"/>
          </w:tcPr>
          <w:p w14:paraId="2CA2894F" w14:textId="717D8714"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500</w:t>
            </w:r>
          </w:p>
        </w:tc>
        <w:tc>
          <w:tcPr>
            <w:tcW w:w="851" w:type="dxa"/>
          </w:tcPr>
          <w:p w14:paraId="727A56AA"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0" w:type="dxa"/>
          </w:tcPr>
          <w:p w14:paraId="5A5BB616"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969" w:type="dxa"/>
          </w:tcPr>
          <w:p w14:paraId="0B654D6D"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r>
      <w:tr w:rsidR="00716159" w:rsidRPr="00226F9D" w14:paraId="4EE6FE31" w14:textId="77777777" w:rsidTr="5445EFBE">
        <w:trPr>
          <w:trHeight w:val="320"/>
        </w:trPr>
        <w:tc>
          <w:tcPr>
            <w:tcW w:w="2262" w:type="dxa"/>
            <w:vMerge/>
            <w:noWrap/>
          </w:tcPr>
          <w:p w14:paraId="7C6BA8D6" w14:textId="77777777" w:rsidR="00716159" w:rsidRPr="00226F9D" w:rsidRDefault="00716159">
            <w:pPr>
              <w:rPr>
                <w:rFonts w:ascii="Times New Roman" w:hAnsi="Times New Roman" w:cs="Times New Roman"/>
              </w:rPr>
            </w:pPr>
          </w:p>
        </w:tc>
        <w:tc>
          <w:tcPr>
            <w:tcW w:w="1561" w:type="dxa"/>
            <w:vMerge/>
          </w:tcPr>
          <w:p w14:paraId="0163A533" w14:textId="77777777" w:rsidR="00716159" w:rsidRPr="00226F9D" w:rsidRDefault="00716159">
            <w:pPr>
              <w:rPr>
                <w:rFonts w:ascii="Times New Roman" w:hAnsi="Times New Roman" w:cs="Times New Roman"/>
              </w:rPr>
            </w:pPr>
          </w:p>
        </w:tc>
        <w:tc>
          <w:tcPr>
            <w:tcW w:w="1417" w:type="dxa"/>
            <w:vMerge/>
            <w:shd w:val="clear" w:color="auto" w:fill="FFFFFF" w:themeFill="background1"/>
          </w:tcPr>
          <w:p w14:paraId="59D711D3" w14:textId="20F41AF9"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shd w:val="clear" w:color="auto" w:fill="FFFFFF" w:themeFill="background1"/>
          </w:tcPr>
          <w:p w14:paraId="2AD3A139"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III квартал 202</w:t>
            </w:r>
            <w:r w:rsidRPr="00226F9D">
              <w:rPr>
                <w:rFonts w:ascii="Times New Roman" w:eastAsia="Times New Roman" w:hAnsi="Times New Roman" w:cs="Times New Roman"/>
                <w:color w:val="000000" w:themeColor="text1"/>
                <w:sz w:val="16"/>
                <w:szCs w:val="16"/>
                <w:lang w:val="sr-Cyrl-RS" w:eastAsia="en-GB"/>
              </w:rPr>
              <w:t>7</w:t>
            </w:r>
            <w:r w:rsidRPr="00226F9D">
              <w:rPr>
                <w:rFonts w:ascii="Times New Roman" w:eastAsia="Times New Roman" w:hAnsi="Times New Roman" w:cs="Times New Roman"/>
                <w:color w:val="000000" w:themeColor="text1"/>
                <w:sz w:val="16"/>
                <w:szCs w:val="16"/>
                <w:lang w:eastAsia="en-GB"/>
              </w:rPr>
              <w:t>. - IV квартал</w:t>
            </w:r>
            <w:r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w:t>
            </w:r>
            <w:r w:rsidRPr="00226F9D">
              <w:rPr>
                <w:rFonts w:ascii="Times New Roman" w:eastAsia="Times New Roman" w:hAnsi="Times New Roman" w:cs="Times New Roman"/>
                <w:color w:val="000000" w:themeColor="text1"/>
                <w:sz w:val="16"/>
                <w:szCs w:val="16"/>
                <w:lang w:val="sr-Cyrl-RS" w:eastAsia="en-GB"/>
              </w:rPr>
              <w:t>28</w:t>
            </w:r>
            <w:r w:rsidRPr="00226F9D">
              <w:rPr>
                <w:rFonts w:ascii="Times New Roman" w:eastAsia="Times New Roman" w:hAnsi="Times New Roman" w:cs="Times New Roman"/>
                <w:color w:val="000000" w:themeColor="text1"/>
                <w:sz w:val="16"/>
                <w:szCs w:val="16"/>
                <w:lang w:eastAsia="en-GB"/>
              </w:rPr>
              <w:t>.</w:t>
            </w:r>
          </w:p>
        </w:tc>
        <w:tc>
          <w:tcPr>
            <w:tcW w:w="2127" w:type="dxa"/>
          </w:tcPr>
          <w:p w14:paraId="13DCCBD2"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eastAsia="en-GB"/>
              </w:rPr>
            </w:pPr>
            <w:r w:rsidRPr="00226F9D">
              <w:rPr>
                <w:rFonts w:ascii="Times New Roman" w:eastAsia="Times New Roman" w:hAnsi="Times New Roman" w:cs="Times New Roman"/>
                <w:sz w:val="16"/>
                <w:szCs w:val="16"/>
                <w:lang w:eastAsia="en-GB"/>
              </w:rPr>
              <w:t>Донаторска подршка* - средства нису обезбеђена</w:t>
            </w:r>
            <w:r w:rsidRPr="00226F9D">
              <w:rPr>
                <w:rFonts w:ascii="Times New Roman" w:hAnsi="Times New Roman" w:cs="Times New Roman"/>
              </w:rPr>
              <w:br/>
            </w:r>
            <w:r w:rsidRPr="00226F9D">
              <w:rPr>
                <w:rFonts w:ascii="Times New Roman" w:eastAsia="Times New Roman" w:hAnsi="Times New Roman" w:cs="Times New Roman"/>
                <w:sz w:val="16"/>
                <w:szCs w:val="16"/>
                <w:lang w:eastAsia="en-GB"/>
              </w:rPr>
              <w:t>Очекивана подршка из донације (</w:t>
            </w:r>
            <w:r w:rsidRPr="00226F9D">
              <w:rPr>
                <w:rFonts w:ascii="Times New Roman" w:eastAsia="Times New Roman" w:hAnsi="Times New Roman" w:cs="Times New Roman"/>
                <w:sz w:val="16"/>
                <w:szCs w:val="16"/>
                <w:lang w:val="sr-Cyrl-RS" w:eastAsia="en-GB"/>
              </w:rPr>
              <w:t>СЕКО-РЕЛОФ4</w:t>
            </w:r>
            <w:r w:rsidRPr="00226F9D">
              <w:rPr>
                <w:rFonts w:ascii="Times New Roman" w:eastAsia="Times New Roman" w:hAnsi="Times New Roman" w:cs="Times New Roman"/>
                <w:sz w:val="16"/>
                <w:szCs w:val="16"/>
                <w:lang w:eastAsia="en-GB"/>
              </w:rPr>
              <w:t>)</w:t>
            </w:r>
          </w:p>
        </w:tc>
        <w:tc>
          <w:tcPr>
            <w:tcW w:w="1275" w:type="dxa"/>
          </w:tcPr>
          <w:p w14:paraId="1883EF0A"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18760B82"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eastAsia="en-GB"/>
              </w:rPr>
            </w:pPr>
          </w:p>
        </w:tc>
        <w:tc>
          <w:tcPr>
            <w:tcW w:w="850" w:type="dxa"/>
          </w:tcPr>
          <w:p w14:paraId="03A42889" w14:textId="114F42C6"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eastAsia="en-GB"/>
              </w:rPr>
              <w:t>2</w:t>
            </w:r>
            <w:r w:rsidRPr="00226F9D">
              <w:rPr>
                <w:rFonts w:ascii="Times New Roman" w:eastAsia="Times New Roman" w:hAnsi="Times New Roman" w:cs="Times New Roman"/>
                <w:color w:val="000000" w:themeColor="text1"/>
                <w:sz w:val="16"/>
                <w:szCs w:val="16"/>
                <w:lang w:val="sr-Cyrl-RS" w:eastAsia="en-GB"/>
              </w:rPr>
              <w:t>.</w:t>
            </w:r>
            <w:r w:rsidRPr="00226F9D">
              <w:rPr>
                <w:rFonts w:ascii="Times New Roman" w:eastAsia="Times New Roman" w:hAnsi="Times New Roman" w:cs="Times New Roman"/>
                <w:color w:val="000000" w:themeColor="text1"/>
                <w:sz w:val="16"/>
                <w:szCs w:val="16"/>
                <w:lang w:eastAsia="en-GB"/>
              </w:rPr>
              <w:t>000</w:t>
            </w:r>
            <w:r w:rsidRPr="00226F9D">
              <w:rPr>
                <w:rFonts w:ascii="Times New Roman" w:eastAsia="Times New Roman" w:hAnsi="Times New Roman" w:cs="Times New Roman"/>
                <w:color w:val="000000" w:themeColor="text1"/>
                <w:sz w:val="16"/>
                <w:szCs w:val="16"/>
                <w:lang w:val="sr-Cyrl-RS" w:eastAsia="en-GB"/>
              </w:rPr>
              <w:t>*</w:t>
            </w:r>
          </w:p>
        </w:tc>
        <w:tc>
          <w:tcPr>
            <w:tcW w:w="851" w:type="dxa"/>
          </w:tcPr>
          <w:p w14:paraId="4BB3CCFC" w14:textId="200ECEA8"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3.</w:t>
            </w:r>
            <w:r w:rsidRPr="00226F9D">
              <w:rPr>
                <w:rFonts w:ascii="Times New Roman" w:eastAsia="Times New Roman" w:hAnsi="Times New Roman" w:cs="Times New Roman"/>
                <w:color w:val="000000" w:themeColor="text1"/>
                <w:sz w:val="16"/>
                <w:szCs w:val="16"/>
                <w:lang w:eastAsia="en-GB"/>
              </w:rPr>
              <w:t>000</w:t>
            </w:r>
            <w:r w:rsidRPr="00226F9D">
              <w:rPr>
                <w:rFonts w:ascii="Times New Roman" w:eastAsia="Times New Roman" w:hAnsi="Times New Roman" w:cs="Times New Roman"/>
                <w:color w:val="000000" w:themeColor="text1"/>
                <w:sz w:val="16"/>
                <w:szCs w:val="16"/>
                <w:lang w:val="sr-Cyrl-RS" w:eastAsia="en-GB"/>
              </w:rPr>
              <w:t>*</w:t>
            </w:r>
          </w:p>
        </w:tc>
        <w:tc>
          <w:tcPr>
            <w:tcW w:w="850" w:type="dxa"/>
          </w:tcPr>
          <w:p w14:paraId="4BCBC8BF"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969" w:type="dxa"/>
          </w:tcPr>
          <w:p w14:paraId="63E1221F"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r>
      <w:tr w:rsidR="00716159" w:rsidRPr="00226F9D" w14:paraId="2343B69C" w14:textId="77777777" w:rsidTr="5445EFBE">
        <w:trPr>
          <w:trHeight w:val="320"/>
        </w:trPr>
        <w:tc>
          <w:tcPr>
            <w:tcW w:w="2262" w:type="dxa"/>
            <w:vMerge w:val="restart"/>
            <w:shd w:val="clear" w:color="auto" w:fill="FFFFFF" w:themeFill="background1"/>
            <w:noWrap/>
          </w:tcPr>
          <w:p w14:paraId="0EB26C1B" w14:textId="5048737E" w:rsidR="00716159" w:rsidRPr="00226F9D" w:rsidRDefault="00716159" w:rsidP="008C7200">
            <w:pPr>
              <w:spacing w:after="0" w:line="240" w:lineRule="auto"/>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 xml:space="preserve">4.3.10. Пакети подршке предузећима којима је оснивач ЈЛС за унапређење </w:t>
            </w:r>
            <w:r w:rsidRPr="00226F9D">
              <w:rPr>
                <w:rFonts w:ascii="Times New Roman" w:eastAsia="Times New Roman" w:hAnsi="Times New Roman" w:cs="Times New Roman"/>
                <w:color w:val="000000" w:themeColor="text1"/>
                <w:sz w:val="16"/>
                <w:szCs w:val="16"/>
                <w:lang w:val="sr-Cyrl-RS" w:eastAsia="en-GB"/>
              </w:rPr>
              <w:lastRenderedPageBreak/>
              <w:t>корпоративног управљања и управљачке одговорности</w:t>
            </w:r>
          </w:p>
        </w:tc>
        <w:tc>
          <w:tcPr>
            <w:tcW w:w="1561" w:type="dxa"/>
            <w:vMerge w:val="restart"/>
          </w:tcPr>
          <w:p w14:paraId="6DE9F42A" w14:textId="7CF9226D"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lastRenderedPageBreak/>
              <w:t>МИНПРИВ</w:t>
            </w:r>
          </w:p>
        </w:tc>
        <w:tc>
          <w:tcPr>
            <w:tcW w:w="1417" w:type="dxa"/>
            <w:vMerge w:val="restart"/>
            <w:shd w:val="clear" w:color="auto" w:fill="FFFFFF" w:themeFill="background1"/>
          </w:tcPr>
          <w:p w14:paraId="4348DD7A" w14:textId="06DC76B1"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shd w:val="clear" w:color="auto" w:fill="FFFFFF" w:themeFill="background1"/>
          </w:tcPr>
          <w:p w14:paraId="5D6572A7"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II квартал 202</w:t>
            </w:r>
            <w:r w:rsidRPr="00226F9D">
              <w:rPr>
                <w:rFonts w:ascii="Times New Roman" w:eastAsia="Times New Roman" w:hAnsi="Times New Roman" w:cs="Times New Roman"/>
                <w:color w:val="000000" w:themeColor="text1"/>
                <w:sz w:val="16"/>
                <w:szCs w:val="16"/>
                <w:lang w:val="sr-Cyrl-RS" w:eastAsia="en-GB"/>
              </w:rPr>
              <w:t>6</w:t>
            </w:r>
            <w:r w:rsidRPr="00226F9D">
              <w:rPr>
                <w:rFonts w:ascii="Times New Roman" w:eastAsia="Times New Roman" w:hAnsi="Times New Roman" w:cs="Times New Roman"/>
                <w:color w:val="000000" w:themeColor="text1"/>
                <w:sz w:val="16"/>
                <w:szCs w:val="16"/>
                <w:lang w:eastAsia="en-GB"/>
              </w:rPr>
              <w:t>. - I квартал</w:t>
            </w:r>
            <w:r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w:t>
            </w:r>
            <w:r w:rsidRPr="00226F9D">
              <w:rPr>
                <w:rFonts w:ascii="Times New Roman" w:eastAsia="Times New Roman" w:hAnsi="Times New Roman" w:cs="Times New Roman"/>
                <w:color w:val="000000" w:themeColor="text1"/>
                <w:sz w:val="16"/>
                <w:szCs w:val="16"/>
                <w:lang w:val="sr-Cyrl-RS" w:eastAsia="en-GB"/>
              </w:rPr>
              <w:t>27</w:t>
            </w:r>
            <w:r w:rsidRPr="00226F9D">
              <w:rPr>
                <w:rFonts w:ascii="Times New Roman" w:eastAsia="Times New Roman" w:hAnsi="Times New Roman" w:cs="Times New Roman"/>
                <w:color w:val="000000" w:themeColor="text1"/>
                <w:sz w:val="16"/>
                <w:szCs w:val="16"/>
                <w:lang w:eastAsia="en-GB"/>
              </w:rPr>
              <w:t>.</w:t>
            </w:r>
          </w:p>
        </w:tc>
        <w:tc>
          <w:tcPr>
            <w:tcW w:w="2127" w:type="dxa"/>
          </w:tcPr>
          <w:p w14:paraId="17EC48A3"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eastAsia="en-GB"/>
              </w:rPr>
            </w:pPr>
            <w:r w:rsidRPr="00226F9D">
              <w:rPr>
                <w:rFonts w:ascii="Times New Roman" w:eastAsia="Times New Roman" w:hAnsi="Times New Roman" w:cs="Times New Roman"/>
                <w:sz w:val="16"/>
                <w:szCs w:val="16"/>
                <w:lang w:eastAsia="en-GB"/>
              </w:rPr>
              <w:t>Донаторска подршка СЕКО - РЕЛОФ3</w:t>
            </w:r>
          </w:p>
          <w:p w14:paraId="5EAB5221"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1275" w:type="dxa"/>
          </w:tcPr>
          <w:p w14:paraId="6D7AAFAD"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16B26B13" w14:textId="1CBC43E6" w:rsidR="00716159" w:rsidRPr="00226F9D" w:rsidRDefault="00716159" w:rsidP="7AD1A102">
            <w:pPr>
              <w:spacing w:after="0" w:line="240" w:lineRule="auto"/>
              <w:jc w:val="center"/>
              <w:rPr>
                <w:rFonts w:ascii="Times New Roman" w:eastAsia="Times New Roman" w:hAnsi="Times New Roman" w:cs="Times New Roman"/>
                <w:sz w:val="16"/>
                <w:szCs w:val="16"/>
                <w:lang w:val="sr-Cyrl-RS" w:eastAsia="en-GB"/>
              </w:rPr>
            </w:pPr>
            <w:r w:rsidRPr="00226F9D">
              <w:rPr>
                <w:rFonts w:ascii="Times New Roman" w:eastAsia="Times New Roman" w:hAnsi="Times New Roman" w:cs="Times New Roman"/>
                <w:sz w:val="16"/>
                <w:szCs w:val="16"/>
                <w:lang w:val="sr-Cyrl-RS" w:eastAsia="en-GB"/>
              </w:rPr>
              <w:t>1.500</w:t>
            </w:r>
          </w:p>
        </w:tc>
        <w:tc>
          <w:tcPr>
            <w:tcW w:w="850" w:type="dxa"/>
          </w:tcPr>
          <w:p w14:paraId="55C268AE"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1E36BE91"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850" w:type="dxa"/>
          </w:tcPr>
          <w:p w14:paraId="353994F9"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969" w:type="dxa"/>
          </w:tcPr>
          <w:p w14:paraId="7D14D531"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r>
      <w:tr w:rsidR="00716159" w:rsidRPr="00226F9D" w14:paraId="1E7E7F5B" w14:textId="77777777" w:rsidTr="5445EFBE">
        <w:trPr>
          <w:trHeight w:val="320"/>
        </w:trPr>
        <w:tc>
          <w:tcPr>
            <w:tcW w:w="2262" w:type="dxa"/>
            <w:vMerge/>
            <w:noWrap/>
          </w:tcPr>
          <w:p w14:paraId="75DF9450" w14:textId="77777777" w:rsidR="00716159" w:rsidRPr="00226F9D" w:rsidRDefault="00716159">
            <w:pPr>
              <w:rPr>
                <w:rFonts w:ascii="Times New Roman" w:hAnsi="Times New Roman" w:cs="Times New Roman"/>
              </w:rPr>
            </w:pPr>
          </w:p>
        </w:tc>
        <w:tc>
          <w:tcPr>
            <w:tcW w:w="1561" w:type="dxa"/>
            <w:vMerge/>
          </w:tcPr>
          <w:p w14:paraId="5858E462" w14:textId="77777777" w:rsidR="00716159" w:rsidRPr="00226F9D" w:rsidRDefault="00716159">
            <w:pPr>
              <w:rPr>
                <w:rFonts w:ascii="Times New Roman" w:hAnsi="Times New Roman" w:cs="Times New Roman"/>
              </w:rPr>
            </w:pPr>
          </w:p>
        </w:tc>
        <w:tc>
          <w:tcPr>
            <w:tcW w:w="1417" w:type="dxa"/>
            <w:vMerge/>
            <w:shd w:val="clear" w:color="auto" w:fill="FFFFFF" w:themeFill="background1"/>
          </w:tcPr>
          <w:p w14:paraId="7B98042B" w14:textId="446EEB38"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shd w:val="clear" w:color="auto" w:fill="FFFFFF" w:themeFill="background1"/>
          </w:tcPr>
          <w:p w14:paraId="11E4E3A7"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III квартал 202</w:t>
            </w:r>
            <w:r w:rsidRPr="00226F9D">
              <w:rPr>
                <w:rFonts w:ascii="Times New Roman" w:eastAsia="Times New Roman" w:hAnsi="Times New Roman" w:cs="Times New Roman"/>
                <w:color w:val="000000" w:themeColor="text1"/>
                <w:sz w:val="16"/>
                <w:szCs w:val="16"/>
                <w:lang w:val="sr-Cyrl-RS" w:eastAsia="en-GB"/>
              </w:rPr>
              <w:t>7</w:t>
            </w:r>
            <w:r w:rsidRPr="00226F9D">
              <w:rPr>
                <w:rFonts w:ascii="Times New Roman" w:eastAsia="Times New Roman" w:hAnsi="Times New Roman" w:cs="Times New Roman"/>
                <w:color w:val="000000" w:themeColor="text1"/>
                <w:sz w:val="16"/>
                <w:szCs w:val="16"/>
                <w:lang w:eastAsia="en-GB"/>
              </w:rPr>
              <w:t>. - IV квартал</w:t>
            </w:r>
            <w:r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w:t>
            </w:r>
            <w:r w:rsidRPr="00226F9D">
              <w:rPr>
                <w:rFonts w:ascii="Times New Roman" w:eastAsia="Times New Roman" w:hAnsi="Times New Roman" w:cs="Times New Roman"/>
                <w:color w:val="000000" w:themeColor="text1"/>
                <w:sz w:val="16"/>
                <w:szCs w:val="16"/>
                <w:lang w:val="sr-Cyrl-RS" w:eastAsia="en-GB"/>
              </w:rPr>
              <w:t>30</w:t>
            </w:r>
            <w:r w:rsidRPr="00226F9D">
              <w:rPr>
                <w:rFonts w:ascii="Times New Roman" w:eastAsia="Times New Roman" w:hAnsi="Times New Roman" w:cs="Times New Roman"/>
                <w:color w:val="000000" w:themeColor="text1"/>
                <w:sz w:val="16"/>
                <w:szCs w:val="16"/>
                <w:lang w:eastAsia="en-GB"/>
              </w:rPr>
              <w:t>.</w:t>
            </w:r>
          </w:p>
        </w:tc>
        <w:tc>
          <w:tcPr>
            <w:tcW w:w="2127" w:type="dxa"/>
          </w:tcPr>
          <w:p w14:paraId="14FE453A"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eastAsia="en-GB"/>
              </w:rPr>
            </w:pPr>
            <w:r w:rsidRPr="00226F9D">
              <w:rPr>
                <w:rFonts w:ascii="Times New Roman" w:eastAsia="Times New Roman" w:hAnsi="Times New Roman" w:cs="Times New Roman"/>
                <w:sz w:val="16"/>
                <w:szCs w:val="16"/>
                <w:lang w:eastAsia="en-GB"/>
              </w:rPr>
              <w:t>Донаторска подршка* - средства нису обезбеђена</w:t>
            </w:r>
            <w:r w:rsidRPr="00226F9D">
              <w:rPr>
                <w:rFonts w:ascii="Times New Roman" w:hAnsi="Times New Roman" w:cs="Times New Roman"/>
              </w:rPr>
              <w:br/>
            </w:r>
            <w:r w:rsidRPr="00226F9D">
              <w:rPr>
                <w:rFonts w:ascii="Times New Roman" w:eastAsia="Times New Roman" w:hAnsi="Times New Roman" w:cs="Times New Roman"/>
                <w:sz w:val="16"/>
                <w:szCs w:val="16"/>
                <w:lang w:eastAsia="en-GB"/>
              </w:rPr>
              <w:t>Очекивана подршка из донације (</w:t>
            </w:r>
            <w:r w:rsidRPr="00226F9D">
              <w:rPr>
                <w:rFonts w:ascii="Times New Roman" w:eastAsia="Times New Roman" w:hAnsi="Times New Roman" w:cs="Times New Roman"/>
                <w:sz w:val="16"/>
                <w:szCs w:val="16"/>
                <w:lang w:val="sr-Cyrl-RS" w:eastAsia="en-GB"/>
              </w:rPr>
              <w:t>СЕКО-РЕЛОФ4</w:t>
            </w:r>
            <w:r w:rsidRPr="00226F9D">
              <w:rPr>
                <w:rFonts w:ascii="Times New Roman" w:eastAsia="Times New Roman" w:hAnsi="Times New Roman" w:cs="Times New Roman"/>
                <w:sz w:val="16"/>
                <w:szCs w:val="16"/>
                <w:lang w:eastAsia="en-GB"/>
              </w:rPr>
              <w:t>)</w:t>
            </w:r>
          </w:p>
        </w:tc>
        <w:tc>
          <w:tcPr>
            <w:tcW w:w="1275" w:type="dxa"/>
          </w:tcPr>
          <w:p w14:paraId="79B28773"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51034E9F"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val="sr-Cyrl-RS" w:eastAsia="en-GB"/>
              </w:rPr>
            </w:pPr>
          </w:p>
        </w:tc>
        <w:tc>
          <w:tcPr>
            <w:tcW w:w="850" w:type="dxa"/>
          </w:tcPr>
          <w:p w14:paraId="06EC0FBE" w14:textId="6A617D09"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eastAsia="en-GB"/>
              </w:rPr>
              <w:t>1</w:t>
            </w:r>
            <w:r w:rsidRPr="00226F9D">
              <w:rPr>
                <w:rFonts w:ascii="Times New Roman" w:eastAsia="Times New Roman" w:hAnsi="Times New Roman" w:cs="Times New Roman"/>
                <w:color w:val="000000" w:themeColor="text1"/>
                <w:sz w:val="16"/>
                <w:szCs w:val="16"/>
                <w:lang w:val="sr-Cyrl-RS" w:eastAsia="en-GB"/>
              </w:rPr>
              <w:t>.</w:t>
            </w:r>
            <w:r w:rsidRPr="00226F9D">
              <w:rPr>
                <w:rFonts w:ascii="Times New Roman" w:eastAsia="Times New Roman" w:hAnsi="Times New Roman" w:cs="Times New Roman"/>
                <w:color w:val="000000" w:themeColor="text1"/>
                <w:sz w:val="16"/>
                <w:szCs w:val="16"/>
                <w:lang w:eastAsia="en-GB"/>
              </w:rPr>
              <w:t>000</w:t>
            </w:r>
            <w:r w:rsidRPr="00226F9D">
              <w:rPr>
                <w:rFonts w:ascii="Times New Roman" w:eastAsia="Times New Roman" w:hAnsi="Times New Roman" w:cs="Times New Roman"/>
                <w:color w:val="000000" w:themeColor="text1"/>
                <w:sz w:val="16"/>
                <w:szCs w:val="16"/>
                <w:lang w:val="sr-Cyrl-RS" w:eastAsia="en-GB"/>
              </w:rPr>
              <w:t>*</w:t>
            </w:r>
          </w:p>
        </w:tc>
        <w:tc>
          <w:tcPr>
            <w:tcW w:w="851" w:type="dxa"/>
          </w:tcPr>
          <w:p w14:paraId="2924A7AB" w14:textId="50B8899A"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4.000*</w:t>
            </w:r>
          </w:p>
        </w:tc>
        <w:tc>
          <w:tcPr>
            <w:tcW w:w="850" w:type="dxa"/>
          </w:tcPr>
          <w:p w14:paraId="7E411512" w14:textId="1E64E733"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4.000*</w:t>
            </w:r>
          </w:p>
        </w:tc>
        <w:tc>
          <w:tcPr>
            <w:tcW w:w="969" w:type="dxa"/>
          </w:tcPr>
          <w:p w14:paraId="21D25E75" w14:textId="6D90B3E5"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4.000*</w:t>
            </w:r>
          </w:p>
        </w:tc>
      </w:tr>
      <w:tr w:rsidR="00966E49" w:rsidRPr="00226F9D" w14:paraId="46A7DAD7" w14:textId="77777777" w:rsidTr="0071486C">
        <w:trPr>
          <w:trHeight w:val="1046"/>
        </w:trPr>
        <w:tc>
          <w:tcPr>
            <w:tcW w:w="2262" w:type="dxa"/>
            <w:vMerge w:val="restart"/>
            <w:shd w:val="clear" w:color="auto" w:fill="FFFFFF" w:themeFill="background1"/>
            <w:noWrap/>
          </w:tcPr>
          <w:p w14:paraId="75E87928" w14:textId="1E314D72" w:rsidR="00966E49" w:rsidRPr="00226F9D" w:rsidRDefault="00966E49" w:rsidP="7AD1A102">
            <w:pPr>
              <w:spacing w:after="0" w:line="240" w:lineRule="auto"/>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eastAsia="en-GB"/>
              </w:rPr>
              <w:t xml:space="preserve">4.3.11. </w:t>
            </w:r>
            <w:r w:rsidRPr="00226F9D">
              <w:rPr>
                <w:rFonts w:ascii="Times New Roman" w:eastAsia="Times New Roman" w:hAnsi="Times New Roman" w:cs="Times New Roman"/>
                <w:color w:val="000000" w:themeColor="text1"/>
                <w:sz w:val="16"/>
                <w:szCs w:val="16"/>
                <w:lang w:val="sr-Cyrl-RS" w:eastAsia="en-GB"/>
              </w:rPr>
              <w:t>Развој додатних модула софтвера за надзор над предузећима у власништву ЈЛС и РС</w:t>
            </w:r>
          </w:p>
        </w:tc>
        <w:tc>
          <w:tcPr>
            <w:tcW w:w="1561" w:type="dxa"/>
            <w:vMerge w:val="restart"/>
          </w:tcPr>
          <w:p w14:paraId="727CEF16" w14:textId="3FA17D0B"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МИНПРИВ</w:t>
            </w:r>
          </w:p>
        </w:tc>
        <w:tc>
          <w:tcPr>
            <w:tcW w:w="1417" w:type="dxa"/>
            <w:vMerge w:val="restart"/>
            <w:shd w:val="clear" w:color="auto" w:fill="FFFFFF" w:themeFill="background1"/>
          </w:tcPr>
          <w:p w14:paraId="3DED0D10" w14:textId="34D3378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tcPr>
          <w:p w14:paraId="4A1AF235" w14:textId="1312DE52"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II квартал 202</w:t>
            </w:r>
            <w:r w:rsidRPr="00226F9D">
              <w:rPr>
                <w:rFonts w:ascii="Times New Roman" w:eastAsia="Times New Roman" w:hAnsi="Times New Roman" w:cs="Times New Roman"/>
                <w:color w:val="000000" w:themeColor="text1"/>
                <w:sz w:val="16"/>
                <w:szCs w:val="16"/>
                <w:lang w:val="sr-Cyrl-RS" w:eastAsia="en-GB"/>
              </w:rPr>
              <w:t>6</w:t>
            </w:r>
            <w:r w:rsidRPr="00226F9D">
              <w:rPr>
                <w:rFonts w:ascii="Times New Roman" w:eastAsia="Times New Roman" w:hAnsi="Times New Roman" w:cs="Times New Roman"/>
                <w:color w:val="000000" w:themeColor="text1"/>
                <w:sz w:val="16"/>
                <w:szCs w:val="16"/>
                <w:lang w:eastAsia="en-GB"/>
              </w:rPr>
              <w:t>. – I</w:t>
            </w:r>
            <w:r w:rsidR="008C7200" w:rsidRPr="00226F9D">
              <w:rPr>
                <w:rFonts w:ascii="Times New Roman" w:eastAsia="Times New Roman" w:hAnsi="Times New Roman" w:cs="Times New Roman"/>
                <w:color w:val="000000" w:themeColor="text1"/>
                <w:sz w:val="16"/>
                <w:szCs w:val="16"/>
                <w:lang w:eastAsia="en-GB"/>
              </w:rPr>
              <w:t xml:space="preserve">I </w:t>
            </w:r>
            <w:r w:rsidRPr="00226F9D">
              <w:rPr>
                <w:rFonts w:ascii="Times New Roman" w:eastAsia="Times New Roman" w:hAnsi="Times New Roman" w:cs="Times New Roman"/>
                <w:color w:val="000000" w:themeColor="text1"/>
                <w:sz w:val="16"/>
                <w:szCs w:val="16"/>
                <w:lang w:eastAsia="en-GB"/>
              </w:rPr>
              <w:t>квартал</w:t>
            </w:r>
            <w:r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202</w:t>
            </w:r>
            <w:r w:rsidRPr="00226F9D">
              <w:rPr>
                <w:rFonts w:ascii="Times New Roman" w:eastAsia="Times New Roman" w:hAnsi="Times New Roman" w:cs="Times New Roman"/>
                <w:color w:val="000000" w:themeColor="text1"/>
                <w:sz w:val="16"/>
                <w:szCs w:val="16"/>
                <w:lang w:val="sr-Cyrl-RS" w:eastAsia="en-GB"/>
              </w:rPr>
              <w:t>7</w:t>
            </w:r>
            <w:r w:rsidRPr="00226F9D">
              <w:rPr>
                <w:rFonts w:ascii="Times New Roman" w:eastAsia="Times New Roman" w:hAnsi="Times New Roman" w:cs="Times New Roman"/>
                <w:color w:val="000000" w:themeColor="text1"/>
                <w:sz w:val="16"/>
                <w:szCs w:val="16"/>
                <w:lang w:eastAsia="en-GB"/>
              </w:rPr>
              <w:t>.</w:t>
            </w:r>
          </w:p>
        </w:tc>
        <w:tc>
          <w:tcPr>
            <w:tcW w:w="2127" w:type="dxa"/>
          </w:tcPr>
          <w:p w14:paraId="05EC7897" w14:textId="7361EDE7" w:rsidR="00966E49" w:rsidRPr="00226F9D" w:rsidRDefault="00966E49" w:rsidP="00A5352B">
            <w:pPr>
              <w:spacing w:after="0" w:line="240" w:lineRule="auto"/>
              <w:jc w:val="center"/>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kern w:val="0"/>
                <w:sz w:val="16"/>
                <w:szCs w:val="16"/>
                <w:lang w:eastAsia="en-GB"/>
                <w14:ligatures w14:val="none"/>
              </w:rPr>
              <w:t>Донаторска подршка СЕКО - РЕЛОФ3</w:t>
            </w:r>
          </w:p>
          <w:p w14:paraId="06CABB77" w14:textId="76897A3A" w:rsidR="00966E49" w:rsidRPr="00226F9D" w:rsidRDefault="00966E49" w:rsidP="00A37CF5">
            <w:pPr>
              <w:spacing w:after="0" w:line="240" w:lineRule="auto"/>
              <w:rPr>
                <w:rFonts w:ascii="Times New Roman" w:eastAsia="Times New Roman" w:hAnsi="Times New Roman" w:cs="Times New Roman"/>
                <w:sz w:val="16"/>
                <w:szCs w:val="16"/>
                <w:lang w:val="sr-Cyrl-RS" w:eastAsia="en-GB"/>
              </w:rPr>
            </w:pPr>
          </w:p>
        </w:tc>
        <w:tc>
          <w:tcPr>
            <w:tcW w:w="1275" w:type="dxa"/>
          </w:tcPr>
          <w:p w14:paraId="2A868066" w14:textId="7777777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04F89D6E" w14:textId="7DE80801" w:rsidR="00966E49" w:rsidRPr="00226F9D" w:rsidRDefault="00966E49" w:rsidP="7AD1A102">
            <w:pPr>
              <w:spacing w:after="0" w:line="240" w:lineRule="auto"/>
              <w:jc w:val="center"/>
              <w:rPr>
                <w:rFonts w:ascii="Times New Roman" w:eastAsia="Times New Roman" w:hAnsi="Times New Roman" w:cs="Times New Roman"/>
                <w:sz w:val="16"/>
                <w:szCs w:val="16"/>
                <w:lang w:val="sr-Cyrl-RS" w:eastAsia="en-GB"/>
              </w:rPr>
            </w:pPr>
            <w:r w:rsidRPr="00226F9D">
              <w:rPr>
                <w:rFonts w:ascii="Times New Roman" w:eastAsia="Times New Roman" w:hAnsi="Times New Roman" w:cs="Times New Roman"/>
                <w:sz w:val="16"/>
                <w:szCs w:val="16"/>
                <w:lang w:val="sr-Cyrl-RS" w:eastAsia="en-GB"/>
              </w:rPr>
              <w:t>4.000</w:t>
            </w:r>
          </w:p>
        </w:tc>
        <w:tc>
          <w:tcPr>
            <w:tcW w:w="850" w:type="dxa"/>
          </w:tcPr>
          <w:p w14:paraId="50BC264E" w14:textId="2674CDF2"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1.000</w:t>
            </w:r>
          </w:p>
        </w:tc>
        <w:tc>
          <w:tcPr>
            <w:tcW w:w="851" w:type="dxa"/>
          </w:tcPr>
          <w:p w14:paraId="5D1651A8" w14:textId="7832A221"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0" w:type="dxa"/>
          </w:tcPr>
          <w:p w14:paraId="3C477345" w14:textId="7777777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969" w:type="dxa"/>
          </w:tcPr>
          <w:p w14:paraId="1C1E04B8" w14:textId="7777777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r>
      <w:tr w:rsidR="00966E49" w:rsidRPr="00226F9D" w14:paraId="51581E38" w14:textId="77777777" w:rsidTr="00966E49">
        <w:trPr>
          <w:trHeight w:val="897"/>
        </w:trPr>
        <w:tc>
          <w:tcPr>
            <w:tcW w:w="2262" w:type="dxa"/>
            <w:vMerge/>
            <w:shd w:val="clear" w:color="auto" w:fill="FFFFFF" w:themeFill="background1"/>
            <w:noWrap/>
          </w:tcPr>
          <w:p w14:paraId="48175D8D" w14:textId="77777777" w:rsidR="00966E49" w:rsidRPr="00226F9D" w:rsidRDefault="00966E49" w:rsidP="7AD1A102">
            <w:pPr>
              <w:spacing w:after="0" w:line="240" w:lineRule="auto"/>
              <w:rPr>
                <w:rFonts w:ascii="Times New Roman" w:eastAsia="Times New Roman" w:hAnsi="Times New Roman" w:cs="Times New Roman"/>
                <w:color w:val="000000" w:themeColor="text1"/>
                <w:sz w:val="16"/>
                <w:szCs w:val="16"/>
                <w:lang w:eastAsia="en-GB"/>
              </w:rPr>
            </w:pPr>
          </w:p>
        </w:tc>
        <w:tc>
          <w:tcPr>
            <w:tcW w:w="1561" w:type="dxa"/>
            <w:vMerge/>
          </w:tcPr>
          <w:p w14:paraId="436CB2FA" w14:textId="7777777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1417" w:type="dxa"/>
            <w:vMerge/>
            <w:shd w:val="clear" w:color="auto" w:fill="FFFFFF" w:themeFill="background1"/>
          </w:tcPr>
          <w:p w14:paraId="3C1B08F9" w14:textId="7777777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tcPr>
          <w:p w14:paraId="7433FE5D" w14:textId="218C0119"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III квартал 2027 - IV квартал 2028.</w:t>
            </w:r>
          </w:p>
        </w:tc>
        <w:tc>
          <w:tcPr>
            <w:tcW w:w="2127" w:type="dxa"/>
          </w:tcPr>
          <w:p w14:paraId="09B221AF" w14:textId="5D4F532B" w:rsidR="00966E49" w:rsidRPr="00226F9D" w:rsidRDefault="00966E49" w:rsidP="00A5352B">
            <w:pPr>
              <w:spacing w:after="0" w:line="240" w:lineRule="auto"/>
              <w:jc w:val="center"/>
              <w:rPr>
                <w:rFonts w:ascii="Times New Roman" w:eastAsia="Times New Roman" w:hAnsi="Times New Roman" w:cs="Times New Roman"/>
                <w:sz w:val="16"/>
                <w:szCs w:val="16"/>
                <w:lang w:val="sr-Cyrl-RS" w:eastAsia="en-GB"/>
              </w:rPr>
            </w:pPr>
            <w:r w:rsidRPr="00226F9D">
              <w:rPr>
                <w:rFonts w:ascii="Times New Roman" w:eastAsia="Times New Roman" w:hAnsi="Times New Roman" w:cs="Times New Roman"/>
                <w:sz w:val="16"/>
                <w:szCs w:val="16"/>
                <w:lang w:eastAsia="en-GB"/>
              </w:rPr>
              <w:t>Донаторска подршка* - средства нису обезбеђена</w:t>
            </w:r>
            <w:r w:rsidRPr="00226F9D">
              <w:rPr>
                <w:rFonts w:ascii="Times New Roman" w:eastAsia="Times New Roman" w:hAnsi="Times New Roman" w:cs="Times New Roman"/>
                <w:sz w:val="16"/>
                <w:szCs w:val="16"/>
                <w:lang w:eastAsia="en-GB"/>
              </w:rPr>
              <w:br/>
              <w:t>Очекивана подршка из донације (</w:t>
            </w:r>
            <w:r w:rsidRPr="00226F9D">
              <w:rPr>
                <w:rFonts w:ascii="Times New Roman" w:eastAsia="Times New Roman" w:hAnsi="Times New Roman" w:cs="Times New Roman"/>
                <w:sz w:val="16"/>
                <w:szCs w:val="16"/>
                <w:lang w:val="sr-Cyrl-RS" w:eastAsia="en-GB"/>
              </w:rPr>
              <w:t>СЕКО-РЕЛОФ4</w:t>
            </w:r>
            <w:r w:rsidRPr="00226F9D">
              <w:rPr>
                <w:rFonts w:ascii="Times New Roman" w:eastAsia="Times New Roman" w:hAnsi="Times New Roman" w:cs="Times New Roman"/>
                <w:sz w:val="16"/>
                <w:szCs w:val="16"/>
                <w:lang w:eastAsia="en-GB"/>
              </w:rPr>
              <w:t>)</w:t>
            </w:r>
          </w:p>
        </w:tc>
        <w:tc>
          <w:tcPr>
            <w:tcW w:w="1275" w:type="dxa"/>
          </w:tcPr>
          <w:p w14:paraId="11C2FFA2" w14:textId="7777777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00D5A127" w14:textId="77777777" w:rsidR="00966E49" w:rsidRPr="00226F9D" w:rsidRDefault="00966E49" w:rsidP="7AD1A102">
            <w:pPr>
              <w:spacing w:after="0" w:line="240" w:lineRule="auto"/>
              <w:jc w:val="center"/>
              <w:rPr>
                <w:rFonts w:ascii="Times New Roman" w:eastAsia="Times New Roman" w:hAnsi="Times New Roman" w:cs="Times New Roman"/>
                <w:sz w:val="16"/>
                <w:szCs w:val="16"/>
                <w:lang w:val="sr-Cyrl-RS" w:eastAsia="en-GB"/>
              </w:rPr>
            </w:pPr>
          </w:p>
        </w:tc>
        <w:tc>
          <w:tcPr>
            <w:tcW w:w="850" w:type="dxa"/>
          </w:tcPr>
          <w:p w14:paraId="1E940A98" w14:textId="26B2F986"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2.000*</w:t>
            </w:r>
          </w:p>
        </w:tc>
        <w:tc>
          <w:tcPr>
            <w:tcW w:w="851" w:type="dxa"/>
          </w:tcPr>
          <w:p w14:paraId="30673041" w14:textId="101DD548"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4.000*</w:t>
            </w:r>
          </w:p>
        </w:tc>
        <w:tc>
          <w:tcPr>
            <w:tcW w:w="850" w:type="dxa"/>
          </w:tcPr>
          <w:p w14:paraId="01B2F416" w14:textId="7777777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969" w:type="dxa"/>
          </w:tcPr>
          <w:p w14:paraId="494AB03E" w14:textId="77777777" w:rsidR="00966E49" w:rsidRPr="00226F9D" w:rsidRDefault="00966E4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r>
      <w:tr w:rsidR="00716159" w:rsidRPr="00226F9D" w14:paraId="2E7727DE" w14:textId="77777777" w:rsidTr="5445EFBE">
        <w:trPr>
          <w:trHeight w:val="320"/>
        </w:trPr>
        <w:tc>
          <w:tcPr>
            <w:tcW w:w="2262" w:type="dxa"/>
            <w:vMerge w:val="restart"/>
            <w:shd w:val="clear" w:color="auto" w:fill="FFFFFF" w:themeFill="background1"/>
            <w:noWrap/>
          </w:tcPr>
          <w:p w14:paraId="30833556" w14:textId="2183F57A" w:rsidR="00716159" w:rsidRPr="00226F9D" w:rsidRDefault="00716159" w:rsidP="7AD1A102">
            <w:pPr>
              <w:spacing w:after="0" w:line="240" w:lineRule="auto"/>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4.3.12. Пакети подршк</w:t>
            </w:r>
            <w:r w:rsidRPr="00226F9D">
              <w:rPr>
                <w:rFonts w:ascii="Times New Roman" w:eastAsia="Times New Roman" w:hAnsi="Times New Roman" w:cs="Times New Roman"/>
                <w:color w:val="000000" w:themeColor="text1"/>
                <w:sz w:val="16"/>
                <w:szCs w:val="16"/>
                <w:lang w:eastAsia="en-GB"/>
              </w:rPr>
              <w:t xml:space="preserve">e </w:t>
            </w:r>
            <w:r w:rsidRPr="00226F9D">
              <w:rPr>
                <w:rFonts w:ascii="Times New Roman" w:eastAsia="Times New Roman" w:hAnsi="Times New Roman" w:cs="Times New Roman"/>
                <w:color w:val="000000" w:themeColor="text1"/>
                <w:sz w:val="16"/>
                <w:szCs w:val="16"/>
                <w:lang w:val="sr-Cyrl-RS" w:eastAsia="en-GB"/>
              </w:rPr>
              <w:t xml:space="preserve">ЈЛС за увођење/унапређење надзора над предузећима којима је оснивач ЈЛС </w:t>
            </w:r>
          </w:p>
        </w:tc>
        <w:tc>
          <w:tcPr>
            <w:tcW w:w="1561" w:type="dxa"/>
            <w:vMerge w:val="restart"/>
          </w:tcPr>
          <w:p w14:paraId="34A1E5CE" w14:textId="6727D8FF"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МИНПРИВ</w:t>
            </w:r>
          </w:p>
        </w:tc>
        <w:tc>
          <w:tcPr>
            <w:tcW w:w="1417" w:type="dxa"/>
            <w:vMerge w:val="restart"/>
            <w:shd w:val="clear" w:color="auto" w:fill="FFFFFF" w:themeFill="background1"/>
          </w:tcPr>
          <w:p w14:paraId="41F9E734" w14:textId="512BB0E3"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shd w:val="clear" w:color="auto" w:fill="FFFFFF" w:themeFill="background1"/>
          </w:tcPr>
          <w:p w14:paraId="2B2787CA"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II квартал 202</w:t>
            </w:r>
            <w:r w:rsidRPr="00226F9D">
              <w:rPr>
                <w:rFonts w:ascii="Times New Roman" w:eastAsia="Times New Roman" w:hAnsi="Times New Roman" w:cs="Times New Roman"/>
                <w:color w:val="000000" w:themeColor="text1"/>
                <w:sz w:val="16"/>
                <w:szCs w:val="16"/>
                <w:lang w:val="sr-Cyrl-RS" w:eastAsia="en-GB"/>
              </w:rPr>
              <w:t>6</w:t>
            </w:r>
            <w:r w:rsidRPr="00226F9D">
              <w:rPr>
                <w:rFonts w:ascii="Times New Roman" w:eastAsia="Times New Roman" w:hAnsi="Times New Roman" w:cs="Times New Roman"/>
                <w:color w:val="000000" w:themeColor="text1"/>
                <w:sz w:val="16"/>
                <w:szCs w:val="16"/>
                <w:lang w:eastAsia="en-GB"/>
              </w:rPr>
              <w:t>. - IV квартал</w:t>
            </w:r>
            <w:r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w:t>
            </w:r>
            <w:r w:rsidRPr="00226F9D">
              <w:rPr>
                <w:rFonts w:ascii="Times New Roman" w:eastAsia="Times New Roman" w:hAnsi="Times New Roman" w:cs="Times New Roman"/>
                <w:color w:val="000000" w:themeColor="text1"/>
                <w:sz w:val="16"/>
                <w:szCs w:val="16"/>
                <w:lang w:val="sr-Cyrl-RS" w:eastAsia="en-GB"/>
              </w:rPr>
              <w:t>26</w:t>
            </w:r>
            <w:r w:rsidRPr="00226F9D">
              <w:rPr>
                <w:rFonts w:ascii="Times New Roman" w:eastAsia="Times New Roman" w:hAnsi="Times New Roman" w:cs="Times New Roman"/>
                <w:color w:val="000000" w:themeColor="text1"/>
                <w:sz w:val="16"/>
                <w:szCs w:val="16"/>
                <w:lang w:eastAsia="en-GB"/>
              </w:rPr>
              <w:t>.</w:t>
            </w:r>
          </w:p>
        </w:tc>
        <w:tc>
          <w:tcPr>
            <w:tcW w:w="2127" w:type="dxa"/>
          </w:tcPr>
          <w:p w14:paraId="26911851"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eastAsia="en-GB"/>
              </w:rPr>
            </w:pPr>
            <w:r w:rsidRPr="00226F9D">
              <w:rPr>
                <w:rFonts w:ascii="Times New Roman" w:eastAsia="Times New Roman" w:hAnsi="Times New Roman" w:cs="Times New Roman"/>
                <w:sz w:val="16"/>
                <w:szCs w:val="16"/>
                <w:lang w:eastAsia="en-GB"/>
              </w:rPr>
              <w:t>Донаторска подршка СЕКО - РЕЛОФ3</w:t>
            </w:r>
          </w:p>
          <w:p w14:paraId="275E9D4A"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val="sr-Cyrl-RS" w:eastAsia="en-GB"/>
              </w:rPr>
            </w:pPr>
          </w:p>
          <w:p w14:paraId="73C4ECC2"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1275" w:type="dxa"/>
          </w:tcPr>
          <w:p w14:paraId="64BBB640"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104BA51F"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val="sr-Cyrl-RS" w:eastAsia="en-GB"/>
              </w:rPr>
            </w:pPr>
            <w:r w:rsidRPr="00226F9D">
              <w:rPr>
                <w:rFonts w:ascii="Times New Roman" w:eastAsia="Times New Roman" w:hAnsi="Times New Roman" w:cs="Times New Roman"/>
                <w:sz w:val="16"/>
                <w:szCs w:val="16"/>
                <w:lang w:val="sr-Cyrl-RS" w:eastAsia="en-GB"/>
              </w:rPr>
              <w:t>500</w:t>
            </w:r>
          </w:p>
        </w:tc>
        <w:tc>
          <w:tcPr>
            <w:tcW w:w="850" w:type="dxa"/>
          </w:tcPr>
          <w:p w14:paraId="410A5101"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43D27CCA"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850" w:type="dxa"/>
          </w:tcPr>
          <w:p w14:paraId="7D0A1AA9"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969" w:type="dxa"/>
          </w:tcPr>
          <w:p w14:paraId="07ADB7F7"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r>
      <w:tr w:rsidR="00716159" w:rsidRPr="00226F9D" w14:paraId="3FA166E5" w14:textId="77777777" w:rsidTr="5445EFBE">
        <w:trPr>
          <w:trHeight w:val="320"/>
        </w:trPr>
        <w:tc>
          <w:tcPr>
            <w:tcW w:w="2262" w:type="dxa"/>
            <w:vMerge/>
            <w:noWrap/>
          </w:tcPr>
          <w:p w14:paraId="051B45EF" w14:textId="77777777" w:rsidR="00716159" w:rsidRPr="00226F9D" w:rsidRDefault="00716159">
            <w:pPr>
              <w:rPr>
                <w:rFonts w:ascii="Times New Roman" w:hAnsi="Times New Roman" w:cs="Times New Roman"/>
              </w:rPr>
            </w:pPr>
          </w:p>
        </w:tc>
        <w:tc>
          <w:tcPr>
            <w:tcW w:w="1561" w:type="dxa"/>
            <w:vMerge/>
          </w:tcPr>
          <w:p w14:paraId="5523C940" w14:textId="77777777" w:rsidR="00716159" w:rsidRPr="00226F9D" w:rsidRDefault="00716159">
            <w:pPr>
              <w:rPr>
                <w:rFonts w:ascii="Times New Roman" w:hAnsi="Times New Roman" w:cs="Times New Roman"/>
              </w:rPr>
            </w:pPr>
          </w:p>
        </w:tc>
        <w:tc>
          <w:tcPr>
            <w:tcW w:w="1417" w:type="dxa"/>
            <w:vMerge/>
            <w:shd w:val="clear" w:color="auto" w:fill="FFFFFF" w:themeFill="background1"/>
          </w:tcPr>
          <w:p w14:paraId="744662A7" w14:textId="689565C5"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p>
        </w:tc>
        <w:tc>
          <w:tcPr>
            <w:tcW w:w="2693" w:type="dxa"/>
            <w:gridSpan w:val="2"/>
            <w:shd w:val="clear" w:color="auto" w:fill="FFFFFF" w:themeFill="background1"/>
          </w:tcPr>
          <w:p w14:paraId="4B43860C"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r w:rsidRPr="00226F9D">
              <w:rPr>
                <w:rFonts w:ascii="Times New Roman" w:eastAsia="Times New Roman" w:hAnsi="Times New Roman" w:cs="Times New Roman"/>
                <w:color w:val="000000" w:themeColor="text1"/>
                <w:sz w:val="16"/>
                <w:szCs w:val="16"/>
                <w:lang w:eastAsia="en-GB"/>
              </w:rPr>
              <w:t>I квартал 202</w:t>
            </w:r>
            <w:r w:rsidRPr="00226F9D">
              <w:rPr>
                <w:rFonts w:ascii="Times New Roman" w:eastAsia="Times New Roman" w:hAnsi="Times New Roman" w:cs="Times New Roman"/>
                <w:color w:val="000000" w:themeColor="text1"/>
                <w:sz w:val="16"/>
                <w:szCs w:val="16"/>
                <w:lang w:val="sr-Cyrl-RS" w:eastAsia="en-GB"/>
              </w:rPr>
              <w:t>8</w:t>
            </w:r>
            <w:r w:rsidRPr="00226F9D">
              <w:rPr>
                <w:rFonts w:ascii="Times New Roman" w:eastAsia="Times New Roman" w:hAnsi="Times New Roman" w:cs="Times New Roman"/>
                <w:color w:val="000000" w:themeColor="text1"/>
                <w:sz w:val="16"/>
                <w:szCs w:val="16"/>
                <w:lang w:eastAsia="en-GB"/>
              </w:rPr>
              <w:t>. - IV квартал</w:t>
            </w:r>
            <w:r w:rsidRPr="00226F9D">
              <w:rPr>
                <w:rFonts w:ascii="Times New Roman" w:hAnsi="Times New Roman" w:cs="Times New Roman"/>
              </w:rPr>
              <w:br/>
            </w:r>
            <w:r w:rsidRPr="00226F9D">
              <w:rPr>
                <w:rFonts w:ascii="Times New Roman" w:eastAsia="Times New Roman" w:hAnsi="Times New Roman" w:cs="Times New Roman"/>
                <w:color w:val="000000" w:themeColor="text1"/>
                <w:sz w:val="16"/>
                <w:szCs w:val="16"/>
                <w:lang w:eastAsia="en-GB"/>
              </w:rPr>
              <w:t>20</w:t>
            </w:r>
            <w:r w:rsidRPr="00226F9D">
              <w:rPr>
                <w:rFonts w:ascii="Times New Roman" w:eastAsia="Times New Roman" w:hAnsi="Times New Roman" w:cs="Times New Roman"/>
                <w:color w:val="000000" w:themeColor="text1"/>
                <w:sz w:val="16"/>
                <w:szCs w:val="16"/>
                <w:lang w:val="sr-Cyrl-RS" w:eastAsia="en-GB"/>
              </w:rPr>
              <w:t>30</w:t>
            </w:r>
            <w:r w:rsidRPr="00226F9D">
              <w:rPr>
                <w:rFonts w:ascii="Times New Roman" w:eastAsia="Times New Roman" w:hAnsi="Times New Roman" w:cs="Times New Roman"/>
                <w:color w:val="000000" w:themeColor="text1"/>
                <w:sz w:val="16"/>
                <w:szCs w:val="16"/>
                <w:lang w:eastAsia="en-GB"/>
              </w:rPr>
              <w:t>.</w:t>
            </w:r>
          </w:p>
        </w:tc>
        <w:tc>
          <w:tcPr>
            <w:tcW w:w="2127" w:type="dxa"/>
          </w:tcPr>
          <w:p w14:paraId="787A4B0E"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eastAsia="en-GB"/>
              </w:rPr>
            </w:pPr>
            <w:r w:rsidRPr="00226F9D">
              <w:rPr>
                <w:rFonts w:ascii="Times New Roman" w:eastAsia="Times New Roman" w:hAnsi="Times New Roman" w:cs="Times New Roman"/>
                <w:sz w:val="16"/>
                <w:szCs w:val="16"/>
                <w:lang w:eastAsia="en-GB"/>
              </w:rPr>
              <w:t>Донаторска подршка* - средства нису обезбеђена</w:t>
            </w:r>
            <w:r w:rsidRPr="00226F9D">
              <w:rPr>
                <w:rFonts w:ascii="Times New Roman" w:hAnsi="Times New Roman" w:cs="Times New Roman"/>
              </w:rPr>
              <w:br/>
            </w:r>
            <w:r w:rsidRPr="00226F9D">
              <w:rPr>
                <w:rFonts w:ascii="Times New Roman" w:eastAsia="Times New Roman" w:hAnsi="Times New Roman" w:cs="Times New Roman"/>
                <w:sz w:val="16"/>
                <w:szCs w:val="16"/>
                <w:lang w:eastAsia="en-GB"/>
              </w:rPr>
              <w:t>Очекивана подршка из донације (</w:t>
            </w:r>
            <w:r w:rsidRPr="00226F9D">
              <w:rPr>
                <w:rFonts w:ascii="Times New Roman" w:eastAsia="Times New Roman" w:hAnsi="Times New Roman" w:cs="Times New Roman"/>
                <w:sz w:val="16"/>
                <w:szCs w:val="16"/>
                <w:lang w:val="sr-Cyrl-RS" w:eastAsia="en-GB"/>
              </w:rPr>
              <w:t>СЕКО-РЕЛОФ4</w:t>
            </w:r>
            <w:r w:rsidRPr="00226F9D">
              <w:rPr>
                <w:rFonts w:ascii="Times New Roman" w:eastAsia="Times New Roman" w:hAnsi="Times New Roman" w:cs="Times New Roman"/>
                <w:sz w:val="16"/>
                <w:szCs w:val="16"/>
                <w:lang w:eastAsia="en-GB"/>
              </w:rPr>
              <w:t>)</w:t>
            </w:r>
          </w:p>
        </w:tc>
        <w:tc>
          <w:tcPr>
            <w:tcW w:w="1275" w:type="dxa"/>
          </w:tcPr>
          <w:p w14:paraId="069E49FB"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0188D943" w14:textId="77777777" w:rsidR="00716159" w:rsidRPr="00226F9D" w:rsidRDefault="00716159" w:rsidP="7AD1A102">
            <w:pPr>
              <w:spacing w:after="0" w:line="240" w:lineRule="auto"/>
              <w:jc w:val="center"/>
              <w:rPr>
                <w:rFonts w:ascii="Times New Roman" w:eastAsia="Times New Roman" w:hAnsi="Times New Roman" w:cs="Times New Roman"/>
                <w:sz w:val="16"/>
                <w:szCs w:val="16"/>
                <w:lang w:val="sr-Cyrl-RS" w:eastAsia="en-GB"/>
              </w:rPr>
            </w:pPr>
          </w:p>
        </w:tc>
        <w:tc>
          <w:tcPr>
            <w:tcW w:w="850" w:type="dxa"/>
          </w:tcPr>
          <w:p w14:paraId="7A037FDB" w14:textId="7777777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eastAsia="en-GB"/>
              </w:rPr>
            </w:pPr>
          </w:p>
        </w:tc>
        <w:tc>
          <w:tcPr>
            <w:tcW w:w="851" w:type="dxa"/>
          </w:tcPr>
          <w:p w14:paraId="734CEE51" w14:textId="596AF21B"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1.000*</w:t>
            </w:r>
          </w:p>
        </w:tc>
        <w:tc>
          <w:tcPr>
            <w:tcW w:w="850" w:type="dxa"/>
          </w:tcPr>
          <w:p w14:paraId="695F853F" w14:textId="45ACA7F7"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3.000*</w:t>
            </w:r>
          </w:p>
        </w:tc>
        <w:tc>
          <w:tcPr>
            <w:tcW w:w="969" w:type="dxa"/>
          </w:tcPr>
          <w:p w14:paraId="1087AA6A" w14:textId="69FF4BE0" w:rsidR="00716159" w:rsidRPr="00226F9D" w:rsidRDefault="00716159" w:rsidP="7AD1A102">
            <w:pPr>
              <w:spacing w:after="0" w:line="240" w:lineRule="auto"/>
              <w:jc w:val="center"/>
              <w:rPr>
                <w:rFonts w:ascii="Times New Roman" w:eastAsia="Times New Roman" w:hAnsi="Times New Roman" w:cs="Times New Roman"/>
                <w:color w:val="000000" w:themeColor="text1"/>
                <w:sz w:val="16"/>
                <w:szCs w:val="16"/>
                <w:lang w:val="sr-Cyrl-RS" w:eastAsia="en-GB"/>
              </w:rPr>
            </w:pPr>
            <w:r w:rsidRPr="00226F9D">
              <w:rPr>
                <w:rFonts w:ascii="Times New Roman" w:eastAsia="Times New Roman" w:hAnsi="Times New Roman" w:cs="Times New Roman"/>
                <w:color w:val="000000" w:themeColor="text1"/>
                <w:sz w:val="16"/>
                <w:szCs w:val="16"/>
                <w:lang w:val="sr-Cyrl-RS" w:eastAsia="en-GB"/>
              </w:rPr>
              <w:t>3.000*</w:t>
            </w:r>
          </w:p>
        </w:tc>
      </w:tr>
      <w:tr w:rsidR="00FB70CD" w:rsidRPr="00226F9D" w14:paraId="19745A37" w14:textId="77777777" w:rsidTr="5445EFBE">
        <w:trPr>
          <w:trHeight w:val="137"/>
        </w:trPr>
        <w:tc>
          <w:tcPr>
            <w:tcW w:w="15706" w:type="dxa"/>
            <w:gridSpan w:val="12"/>
            <w:shd w:val="clear" w:color="auto" w:fill="FFFFFF" w:themeFill="background1"/>
            <w:noWrap/>
          </w:tcPr>
          <w:p w14:paraId="398409AF" w14:textId="77777777" w:rsidR="00FB70CD" w:rsidRPr="00226F9D" w:rsidRDefault="00FB70CD" w:rsidP="005B0999">
            <w:pPr>
              <w:spacing w:after="0" w:line="240" w:lineRule="auto"/>
              <w:rPr>
                <w:rFonts w:ascii="Times New Roman" w:eastAsia="Times New Roman" w:hAnsi="Times New Roman" w:cs="Times New Roman"/>
                <w:kern w:val="0"/>
                <w:sz w:val="16"/>
                <w:szCs w:val="16"/>
                <w:lang w:eastAsia="en-GB"/>
                <w14:ligatures w14:val="none"/>
              </w:rPr>
            </w:pPr>
            <w:r w:rsidRPr="00226F9D">
              <w:rPr>
                <w:rFonts w:ascii="Times New Roman" w:eastAsia="Times New Roman" w:hAnsi="Times New Roman" w:cs="Times New Roman"/>
                <w:color w:val="000000"/>
                <w:kern w:val="0"/>
                <w:sz w:val="16"/>
                <w:szCs w:val="16"/>
                <w:lang w:eastAsia="en-GB"/>
                <w14:ligatures w14:val="none"/>
              </w:rPr>
              <w:t>* средства нису обезбеђена у тренутку израде АП</w:t>
            </w:r>
          </w:p>
        </w:tc>
      </w:tr>
    </w:tbl>
    <w:p w14:paraId="7E470550" w14:textId="31F903CE" w:rsidR="00E56490" w:rsidRPr="00226F9D" w:rsidRDefault="00E56490" w:rsidP="007C438C">
      <w:pPr>
        <w:rPr>
          <w:rFonts w:ascii="Times New Roman" w:hAnsi="Times New Roman" w:cs="Times New Roman"/>
          <w:highlight w:val="yellow"/>
          <w:lang w:val="sr-Cyrl-RS"/>
        </w:rPr>
        <w:sectPr w:rsidR="00E56490" w:rsidRPr="00226F9D" w:rsidSect="00FB70CD">
          <w:pgSz w:w="16840" w:h="11900" w:orient="landscape"/>
          <w:pgMar w:top="567" w:right="567" w:bottom="567" w:left="567" w:header="720" w:footer="283" w:gutter="0"/>
          <w:cols w:space="720"/>
          <w:docGrid w:linePitch="360"/>
        </w:sectPr>
      </w:pPr>
    </w:p>
    <w:p w14:paraId="6A52A512" w14:textId="4035A583" w:rsidR="00BD0BD3" w:rsidRPr="00226F9D" w:rsidRDefault="00BD0BD3" w:rsidP="00BD0BD3">
      <w:pPr>
        <w:rPr>
          <w:rFonts w:ascii="Times New Roman" w:hAnsi="Times New Roman" w:cs="Times New Roman"/>
          <w:lang w:val="sr-Cyrl-RS"/>
        </w:rPr>
      </w:pPr>
    </w:p>
    <w:p w14:paraId="055ED14D" w14:textId="5CF4838F" w:rsidR="00C85670" w:rsidRPr="00226F9D" w:rsidRDefault="004B5362" w:rsidP="00BD0BD3">
      <w:pPr>
        <w:pStyle w:val="Heading1"/>
        <w:rPr>
          <w:rFonts w:ascii="Times New Roman" w:hAnsi="Times New Roman" w:cs="Times New Roman"/>
        </w:rPr>
      </w:pPr>
      <w:bookmarkStart w:id="57" w:name="_Toc222753932"/>
      <w:r w:rsidRPr="00226F9D">
        <w:rPr>
          <w:rFonts w:ascii="Times New Roman" w:hAnsi="Times New Roman" w:cs="Times New Roman"/>
        </w:rPr>
        <w:t xml:space="preserve">VIII </w:t>
      </w:r>
      <w:r w:rsidR="00C85670" w:rsidRPr="00226F9D">
        <w:rPr>
          <w:rFonts w:ascii="Times New Roman" w:hAnsi="Times New Roman" w:cs="Times New Roman"/>
        </w:rPr>
        <w:t>ПРИЛОЗИ</w:t>
      </w:r>
      <w:bookmarkEnd w:id="57"/>
    </w:p>
    <w:p w14:paraId="71893C03" w14:textId="77777777" w:rsidR="00FB70CD" w:rsidRPr="00226F9D" w:rsidRDefault="00FB70CD" w:rsidP="00FB70CD">
      <w:pPr>
        <w:rPr>
          <w:rFonts w:ascii="Times New Roman" w:hAnsi="Times New Roman" w:cs="Times New Roman"/>
          <w:lang w:val="sr-Cyrl-RS"/>
        </w:rPr>
      </w:pPr>
    </w:p>
    <w:p w14:paraId="5095E57A" w14:textId="2C5859EC" w:rsidR="00BA5DCA" w:rsidRPr="00226F9D" w:rsidRDefault="005B0999" w:rsidP="0098208A">
      <w:pPr>
        <w:rPr>
          <w:rFonts w:ascii="Times New Roman" w:hAnsi="Times New Roman" w:cs="Times New Roman"/>
          <w:lang w:val="sr-Cyrl-RS"/>
        </w:rPr>
      </w:pPr>
      <w:r w:rsidRPr="00226F9D">
        <w:rPr>
          <w:rFonts w:ascii="Times New Roman" w:hAnsi="Times New Roman" w:cs="Times New Roman"/>
          <w:lang w:val="sr-Cyrl-RS"/>
        </w:rPr>
        <w:br w:type="page"/>
      </w:r>
      <w:bookmarkStart w:id="58" w:name="_Toc77068898"/>
    </w:p>
    <w:p w14:paraId="61259686" w14:textId="4EA5010C" w:rsidR="00001C5C" w:rsidRPr="00226F9D" w:rsidRDefault="00001C5C" w:rsidP="00B40FD1">
      <w:pPr>
        <w:pStyle w:val="Heading2"/>
        <w:rPr>
          <w:rFonts w:ascii="Times New Roman" w:hAnsi="Times New Roman" w:cs="Times New Roman"/>
          <w:i/>
          <w:lang w:val="sr-Latn-RS" w:eastAsia="en-GB"/>
        </w:rPr>
      </w:pPr>
      <w:bookmarkStart w:id="59" w:name="_Toc222753933"/>
      <w:r w:rsidRPr="00226F9D">
        <w:rPr>
          <w:rFonts w:ascii="Times New Roman" w:hAnsi="Times New Roman" w:cs="Times New Roman"/>
          <w:iCs/>
          <w:lang w:val="sr-Cyrl-RS" w:eastAsia="en-GB"/>
        </w:rPr>
        <w:lastRenderedPageBreak/>
        <w:t>П</w:t>
      </w:r>
      <w:r w:rsidR="00C85670" w:rsidRPr="00226F9D">
        <w:rPr>
          <w:rFonts w:ascii="Times New Roman" w:hAnsi="Times New Roman" w:cs="Times New Roman"/>
          <w:iCs/>
          <w:lang w:val="sr-Cyrl-RS" w:eastAsia="en-GB"/>
        </w:rPr>
        <w:t>рилог</w:t>
      </w:r>
      <w:r w:rsidRPr="00226F9D">
        <w:rPr>
          <w:rFonts w:ascii="Times New Roman" w:hAnsi="Times New Roman" w:cs="Times New Roman"/>
          <w:iCs/>
          <w:lang w:val="sr-Cyrl-RS" w:eastAsia="en-GB"/>
        </w:rPr>
        <w:t xml:space="preserve"> </w:t>
      </w:r>
      <w:r w:rsidR="00233A32" w:rsidRPr="00226F9D">
        <w:rPr>
          <w:rFonts w:ascii="Times New Roman" w:hAnsi="Times New Roman" w:cs="Times New Roman"/>
          <w:iCs/>
          <w:lang w:val="sr-Cyrl-RS" w:eastAsia="en-GB"/>
        </w:rPr>
        <w:t>1</w:t>
      </w:r>
      <w:r w:rsidRPr="00226F9D">
        <w:rPr>
          <w:rFonts w:ascii="Times New Roman" w:hAnsi="Times New Roman" w:cs="Times New Roman"/>
          <w:iCs/>
          <w:lang w:val="sr-Cyrl-RS" w:eastAsia="en-GB"/>
        </w:rPr>
        <w:t>:</w:t>
      </w:r>
      <w:r w:rsidRPr="00226F9D">
        <w:rPr>
          <w:rFonts w:ascii="Times New Roman" w:hAnsi="Times New Roman" w:cs="Times New Roman"/>
          <w:lang w:val="sr-Cyrl-RS" w:eastAsia="en-GB"/>
        </w:rPr>
        <w:t xml:space="preserve"> Пасош - показатељи</w:t>
      </w:r>
      <w:bookmarkEnd w:id="58"/>
      <w:bookmarkEnd w:id="59"/>
    </w:p>
    <w:p w14:paraId="482039E2" w14:textId="681A55C6" w:rsidR="00001C5C" w:rsidRPr="00226F9D" w:rsidRDefault="004D388A" w:rsidP="008E4D40">
      <w:pPr>
        <w:pStyle w:val="Heading2"/>
        <w:jc w:val="both"/>
        <w:rPr>
          <w:rFonts w:ascii="Times New Roman" w:eastAsia="Yu Gothic Light" w:hAnsi="Times New Roman" w:cs="Times New Roman"/>
          <w:sz w:val="28"/>
          <w:szCs w:val="28"/>
          <w:lang w:val="sr-Cyrl-RS" w:eastAsia="en-GB"/>
        </w:rPr>
      </w:pPr>
      <w:bookmarkStart w:id="60" w:name="_Toc222753934"/>
      <w:r w:rsidRPr="00226F9D">
        <w:rPr>
          <w:rFonts w:ascii="Times New Roman" w:eastAsia="Yu Gothic Light" w:hAnsi="Times New Roman" w:cs="Times New Roman"/>
          <w:sz w:val="28"/>
          <w:szCs w:val="28"/>
          <w:lang w:val="sr-Cyrl-RS" w:eastAsia="en-GB"/>
        </w:rPr>
        <w:t>Општи циљ:</w:t>
      </w:r>
      <w:r w:rsidR="00001C5C" w:rsidRPr="00226F9D">
        <w:rPr>
          <w:rFonts w:ascii="Times New Roman" w:eastAsia="Yu Gothic Light" w:hAnsi="Times New Roman" w:cs="Times New Roman"/>
          <w:sz w:val="28"/>
          <w:szCs w:val="28"/>
          <w:lang w:val="sr-Cyrl-RS" w:eastAsia="en-GB"/>
        </w:rPr>
        <w:t xml:space="preserve"> </w:t>
      </w:r>
      <w:r w:rsidRPr="00226F9D">
        <w:rPr>
          <w:rFonts w:ascii="Times New Roman" w:eastAsia="Yu Gothic Light" w:hAnsi="Times New Roman" w:cs="Times New Roman"/>
          <w:sz w:val="28"/>
          <w:szCs w:val="28"/>
          <w:lang w:val="sr-Cyrl-RS" w:eastAsia="en-GB"/>
        </w:rPr>
        <w:t>Успостављање система локалне самоуправе који омогућава ефикасно и одрживо остваривање права грађана на локалну самоуправу</w:t>
      </w:r>
      <w:bookmarkEnd w:id="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03"/>
        <w:gridCol w:w="1936"/>
        <w:gridCol w:w="1413"/>
        <w:gridCol w:w="1704"/>
        <w:gridCol w:w="1494"/>
        <w:gridCol w:w="1107"/>
        <w:gridCol w:w="4005"/>
      </w:tblGrid>
      <w:tr w:rsidR="00BF2F32" w:rsidRPr="00226F9D" w14:paraId="301AA311" w14:textId="77777777" w:rsidTr="00E63E75">
        <w:trPr>
          <w:trHeight w:val="489"/>
          <w:jc w:val="center"/>
        </w:trPr>
        <w:tc>
          <w:tcPr>
            <w:tcW w:w="997" w:type="pct"/>
            <w:shd w:val="clear" w:color="auto" w:fill="D9D9D9"/>
            <w:vAlign w:val="center"/>
          </w:tcPr>
          <w:p w14:paraId="5DF0C472" w14:textId="039FD9EE" w:rsidR="00BF2F32" w:rsidRPr="00226F9D" w:rsidRDefault="00BF2F32" w:rsidP="00E63E75">
            <w:pPr>
              <w:spacing w:after="0" w:line="240" w:lineRule="auto"/>
              <w:rPr>
                <w:rFonts w:ascii="Times New Roman" w:eastAsia="Calibri" w:hAnsi="Times New Roman" w:cs="Times New Roman"/>
                <w:b/>
                <w:bCs/>
                <w:color w:val="000000"/>
                <w:kern w:val="0"/>
                <w:sz w:val="20"/>
                <w:szCs w:val="20"/>
                <w:lang w:val="sr-Latn-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Назив показатеља</w:t>
            </w:r>
          </w:p>
        </w:tc>
        <w:tc>
          <w:tcPr>
            <w:tcW w:w="4003" w:type="pct"/>
            <w:gridSpan w:val="6"/>
            <w:shd w:val="clear" w:color="auto" w:fill="D9D9D9"/>
            <w:vAlign w:val="center"/>
          </w:tcPr>
          <w:p w14:paraId="27562D75" w14:textId="0824B77D" w:rsidR="00BF2F32" w:rsidRPr="00226F9D" w:rsidRDefault="00BF2F32" w:rsidP="00E63E75">
            <w:pPr>
              <w:spacing w:after="0" w:line="240" w:lineRule="auto"/>
              <w:rPr>
                <w:rFonts w:ascii="Times New Roman" w:eastAsia="Yu Mincho" w:hAnsi="Times New Roman" w:cs="Times New Roman"/>
                <w:b/>
                <w:bCs/>
                <w:color w:val="000000"/>
                <w:kern w:val="0"/>
                <w:sz w:val="20"/>
                <w:szCs w:val="20"/>
                <w:lang w:eastAsia="en-GB"/>
                <w14:ligatures w14:val="none"/>
              </w:rPr>
            </w:pPr>
            <w:r w:rsidRPr="00226F9D">
              <w:rPr>
                <w:rFonts w:ascii="Times New Roman" w:eastAsia="Yu Mincho" w:hAnsi="Times New Roman" w:cs="Times New Roman"/>
                <w:b/>
                <w:bCs/>
                <w:color w:val="000000"/>
                <w:kern w:val="0"/>
                <w:sz w:val="20"/>
                <w:szCs w:val="20"/>
                <w:lang w:eastAsia="en-GB"/>
                <w14:ligatures w14:val="none"/>
              </w:rPr>
              <w:t>СИГМА индикатор 14</w:t>
            </w:r>
            <w:r w:rsidRPr="00226F9D">
              <w:rPr>
                <w:rFonts w:ascii="Times New Roman" w:eastAsia="Yu Mincho" w:hAnsi="Times New Roman" w:cs="Times New Roman"/>
                <w:b/>
                <w:bCs/>
                <w:color w:val="000000"/>
                <w:kern w:val="0"/>
                <w:sz w:val="20"/>
                <w:szCs w:val="20"/>
                <w:lang w:val="sr-Cyrl-RS" w:eastAsia="en-GB"/>
                <w14:ligatures w14:val="none"/>
              </w:rPr>
              <w:t xml:space="preserve"> </w:t>
            </w:r>
            <w:r w:rsidR="004973D4" w:rsidRPr="00226F9D">
              <w:rPr>
                <w:rFonts w:ascii="Times New Roman" w:eastAsia="Yu Mincho" w:hAnsi="Times New Roman" w:cs="Times New Roman"/>
                <w:b/>
                <w:bCs/>
                <w:color w:val="000000"/>
                <w:kern w:val="0"/>
                <w:sz w:val="20"/>
                <w:szCs w:val="20"/>
                <w:lang w:eastAsia="en-GB"/>
                <w14:ligatures w14:val="none"/>
              </w:rPr>
              <w:t>(multilevel governance</w:t>
            </w:r>
            <w:r w:rsidRPr="00226F9D">
              <w:rPr>
                <w:rFonts w:ascii="Times New Roman" w:eastAsia="Yu Mincho" w:hAnsi="Times New Roman" w:cs="Times New Roman"/>
                <w:b/>
                <w:bCs/>
                <w:color w:val="000000"/>
                <w:kern w:val="0"/>
                <w:sz w:val="20"/>
                <w:szCs w:val="20"/>
                <w:lang w:eastAsia="en-GB"/>
                <w14:ligatures w14:val="none"/>
              </w:rPr>
              <w:t>)</w:t>
            </w:r>
          </w:p>
        </w:tc>
      </w:tr>
      <w:tr w:rsidR="00BF2F32" w:rsidRPr="00226F9D" w14:paraId="060222A0" w14:textId="77777777" w:rsidTr="00BA5DCA">
        <w:trPr>
          <w:jc w:val="center"/>
        </w:trPr>
        <w:tc>
          <w:tcPr>
            <w:tcW w:w="997" w:type="pct"/>
            <w:shd w:val="clear" w:color="auto" w:fill="FFC000"/>
          </w:tcPr>
          <w:p w14:paraId="08EE9A8C" w14:textId="77777777" w:rsidR="00BF2F32" w:rsidRPr="00226F9D" w:rsidRDefault="00BF2F32" w:rsidP="004A0952">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Одговарајући општи, посебни циљ или мера</w:t>
            </w:r>
          </w:p>
        </w:tc>
        <w:tc>
          <w:tcPr>
            <w:tcW w:w="4003" w:type="pct"/>
            <w:gridSpan w:val="6"/>
          </w:tcPr>
          <w:p w14:paraId="44AB9865" w14:textId="77777777" w:rsidR="00BF2F32" w:rsidRPr="00226F9D" w:rsidRDefault="00BF2F32" w:rsidP="00090884">
            <w:pPr>
              <w:spacing w:after="0" w:line="240" w:lineRule="auto"/>
              <w:jc w:val="both"/>
              <w:rPr>
                <w:rFonts w:ascii="Times New Roman" w:eastAsia="Calibri" w:hAnsi="Times New Roman" w:cs="Times New Roman"/>
                <w:iCs/>
                <w:color w:val="000000"/>
                <w:kern w:val="0"/>
                <w:sz w:val="20"/>
                <w:szCs w:val="20"/>
                <w:lang w:val="sr-Cyrl-RS" w:eastAsia="en-GB"/>
                <w14:ligatures w14:val="none"/>
              </w:rPr>
            </w:pPr>
            <w:r w:rsidRPr="00226F9D">
              <w:rPr>
                <w:rFonts w:ascii="Times New Roman" w:eastAsia="Times New Roman" w:hAnsi="Times New Roman" w:cs="Times New Roman"/>
                <w:bCs/>
                <w:iCs/>
                <w:color w:val="000000"/>
                <w:kern w:val="24"/>
                <w:sz w:val="20"/>
                <w:szCs w:val="20"/>
                <w:lang w:val="sr-Cyrl-RS" w:eastAsia="en-GB"/>
                <w14:ligatures w14:val="none"/>
              </w:rPr>
              <w:t>Успостављање система локалне самоуправе који омогућава ефикасно и одрживо остваривање права грађана на локалну самоуправу</w:t>
            </w:r>
          </w:p>
        </w:tc>
      </w:tr>
      <w:tr w:rsidR="00BF2F32" w:rsidRPr="00226F9D" w14:paraId="501AD88A" w14:textId="77777777" w:rsidTr="00BA5DCA">
        <w:trPr>
          <w:jc w:val="center"/>
        </w:trPr>
        <w:tc>
          <w:tcPr>
            <w:tcW w:w="997" w:type="pct"/>
            <w:shd w:val="clear" w:color="auto" w:fill="FFC000"/>
          </w:tcPr>
          <w:p w14:paraId="1AF715FD" w14:textId="77777777" w:rsidR="00BF2F32" w:rsidRPr="00226F9D" w:rsidRDefault="00BF2F32" w:rsidP="004A0952">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Тип и ниво показатеља</w:t>
            </w:r>
          </w:p>
        </w:tc>
        <w:tc>
          <w:tcPr>
            <w:tcW w:w="2248" w:type="pct"/>
            <w:gridSpan w:val="4"/>
          </w:tcPr>
          <w:p w14:paraId="141357CA" w14:textId="77777777" w:rsidR="00BF2F32" w:rsidRPr="00226F9D" w:rsidRDefault="00BF2F32" w:rsidP="00090884">
            <w:pPr>
              <w:spacing w:after="0" w:line="240" w:lineRule="auto"/>
              <w:jc w:val="both"/>
              <w:rPr>
                <w:rFonts w:ascii="Times New Roman" w:eastAsia="Calibri" w:hAnsi="Times New Roman" w:cs="Times New Roman"/>
                <w:bCs/>
                <w:color w:val="000000"/>
                <w:kern w:val="24"/>
                <w:sz w:val="20"/>
                <w:szCs w:val="20"/>
                <w:lang w:val="sr-Cyrl-RS" w:eastAsia="en-GB"/>
                <w14:ligatures w14:val="none"/>
              </w:rPr>
            </w:pPr>
            <w:r w:rsidRPr="00226F9D">
              <w:rPr>
                <w:rFonts w:ascii="Times New Roman" w:eastAsia="Calibri" w:hAnsi="Times New Roman" w:cs="Times New Roman"/>
                <w:bCs/>
                <w:color w:val="000000"/>
                <w:kern w:val="24"/>
                <w:sz w:val="20"/>
                <w:szCs w:val="20"/>
                <w:lang w:val="sr-Cyrl-RS" w:eastAsia="en-GB"/>
                <w14:ligatures w14:val="none"/>
              </w:rPr>
              <w:t>Квалитативни</w:t>
            </w:r>
          </w:p>
        </w:tc>
        <w:tc>
          <w:tcPr>
            <w:tcW w:w="1755" w:type="pct"/>
            <w:gridSpan w:val="2"/>
            <w:shd w:val="clear" w:color="auto" w:fill="FFFFFF"/>
          </w:tcPr>
          <w:p w14:paraId="451BA1CC" w14:textId="77777777" w:rsidR="00BF2F32" w:rsidRPr="00226F9D" w:rsidRDefault="00BF2F32" w:rsidP="00090884">
            <w:pPr>
              <w:spacing w:after="0" w:line="240" w:lineRule="auto"/>
              <w:jc w:val="both"/>
              <w:rPr>
                <w:rFonts w:ascii="Times New Roman" w:eastAsia="Calibri" w:hAnsi="Times New Roman" w:cs="Times New Roman"/>
                <w:iCs/>
                <w:color w:val="000000"/>
                <w:kern w:val="0"/>
                <w:sz w:val="20"/>
                <w:szCs w:val="20"/>
                <w:lang w:val="sr-Cyrl-RS" w:eastAsia="en-GB"/>
                <w14:ligatures w14:val="none"/>
              </w:rPr>
            </w:pPr>
            <w:r w:rsidRPr="00226F9D">
              <w:rPr>
                <w:rFonts w:ascii="Times New Roman" w:eastAsia="Calibri" w:hAnsi="Times New Roman" w:cs="Times New Roman"/>
                <w:iCs/>
                <w:color w:val="000000"/>
                <w:kern w:val="0"/>
                <w:sz w:val="20"/>
                <w:szCs w:val="20"/>
                <w:lang w:val="sr-Cyrl-RS" w:eastAsia="en-GB"/>
                <w14:ligatures w14:val="none"/>
              </w:rPr>
              <w:t>Показатељ на нивоу општег циља</w:t>
            </w:r>
          </w:p>
        </w:tc>
      </w:tr>
      <w:tr w:rsidR="00BF2F32" w:rsidRPr="00226F9D" w14:paraId="0E4E0447" w14:textId="77777777" w:rsidTr="00BA5DCA">
        <w:trPr>
          <w:trHeight w:val="394"/>
          <w:jc w:val="center"/>
        </w:trPr>
        <w:tc>
          <w:tcPr>
            <w:tcW w:w="997" w:type="pct"/>
            <w:shd w:val="clear" w:color="auto" w:fill="FFC000"/>
          </w:tcPr>
          <w:p w14:paraId="30F20046" w14:textId="77777777" w:rsidR="00BF2F32" w:rsidRPr="00226F9D" w:rsidRDefault="00BF2F32" w:rsidP="004A0952">
            <w:pPr>
              <w:spacing w:after="0" w:line="240" w:lineRule="auto"/>
              <w:rPr>
                <w:rFonts w:ascii="Times New Roman" w:eastAsia="Calibri" w:hAnsi="Times New Roman" w:cs="Times New Roman"/>
                <w:b/>
                <w:color w:val="000000"/>
                <w:kern w:val="24"/>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Јединица мере и природа</w:t>
            </w:r>
          </w:p>
        </w:tc>
        <w:tc>
          <w:tcPr>
            <w:tcW w:w="2248" w:type="pct"/>
            <w:gridSpan w:val="4"/>
          </w:tcPr>
          <w:p w14:paraId="4F01449C" w14:textId="77777777" w:rsidR="00BF2F32" w:rsidRPr="00226F9D" w:rsidRDefault="00BF2F32"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Бодови</w:t>
            </w:r>
          </w:p>
        </w:tc>
        <w:tc>
          <w:tcPr>
            <w:tcW w:w="1755" w:type="pct"/>
            <w:gridSpan w:val="2"/>
            <w:shd w:val="clear" w:color="auto" w:fill="FFFFFF"/>
          </w:tcPr>
          <w:p w14:paraId="7EB203F0" w14:textId="77777777" w:rsidR="00BF2F32" w:rsidRPr="00226F9D" w:rsidRDefault="00BF2F32"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Пожељна је већа вредност</w:t>
            </w:r>
          </w:p>
        </w:tc>
      </w:tr>
      <w:tr w:rsidR="00BF2F32" w:rsidRPr="00226F9D" w14:paraId="681F582D" w14:textId="77777777" w:rsidTr="00BA5DCA">
        <w:trPr>
          <w:jc w:val="center"/>
        </w:trPr>
        <w:tc>
          <w:tcPr>
            <w:tcW w:w="997" w:type="pct"/>
            <w:shd w:val="clear" w:color="auto" w:fill="FFC000"/>
          </w:tcPr>
          <w:p w14:paraId="6206D575" w14:textId="77777777"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Извор података за праћење показатеља учинка</w:t>
            </w:r>
          </w:p>
        </w:tc>
        <w:tc>
          <w:tcPr>
            <w:tcW w:w="4003" w:type="pct"/>
            <w:gridSpan w:val="6"/>
            <w:shd w:val="clear" w:color="auto" w:fill="FFFFFF"/>
          </w:tcPr>
          <w:p w14:paraId="3B37D627" w14:textId="77777777" w:rsidR="00BF2F32" w:rsidRPr="00226F9D" w:rsidRDefault="00BF2F32" w:rsidP="006B59F4">
            <w:pPr>
              <w:spacing w:after="0" w:line="240" w:lineRule="auto"/>
              <w:jc w:val="both"/>
              <w:rPr>
                <w:rFonts w:ascii="Times New Roman" w:eastAsia="Yu Mincho"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Периодични извештаји СИГМА програма</w:t>
            </w:r>
          </w:p>
        </w:tc>
      </w:tr>
      <w:tr w:rsidR="00BF2F32" w:rsidRPr="00226F9D" w14:paraId="3D840724" w14:textId="77777777" w:rsidTr="00BA5DCA">
        <w:trPr>
          <w:jc w:val="center"/>
        </w:trPr>
        <w:tc>
          <w:tcPr>
            <w:tcW w:w="997" w:type="pct"/>
            <w:shd w:val="clear" w:color="auto" w:fill="FFC000"/>
          </w:tcPr>
          <w:p w14:paraId="1586B787" w14:textId="77777777"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Назив носиоца прикупљања података</w:t>
            </w:r>
          </w:p>
        </w:tc>
        <w:tc>
          <w:tcPr>
            <w:tcW w:w="4003" w:type="pct"/>
            <w:gridSpan w:val="6"/>
            <w:shd w:val="clear" w:color="auto" w:fill="FFFFFF"/>
          </w:tcPr>
          <w:p w14:paraId="6C3B6F36" w14:textId="045E5591" w:rsidR="00BF2F32" w:rsidRPr="00226F9D" w:rsidRDefault="00BF2F32" w:rsidP="00090884">
            <w:pPr>
              <w:spacing w:after="0" w:line="240" w:lineRule="auto"/>
              <w:jc w:val="both"/>
              <w:rPr>
                <w:rFonts w:ascii="Times New Roman" w:eastAsia="Calibri" w:hAnsi="Times New Roman" w:cs="Times New Roman"/>
                <w:kern w:val="0"/>
                <w:sz w:val="20"/>
                <w:szCs w:val="20"/>
                <w:lang w:val="sr-Cyrl-RS" w:eastAsia="en-GB"/>
                <w14:ligatures w14:val="none"/>
              </w:rPr>
            </w:pPr>
            <w:r w:rsidRPr="00226F9D">
              <w:rPr>
                <w:rFonts w:ascii="Times New Roman" w:eastAsia="Calibri" w:hAnsi="Times New Roman" w:cs="Times New Roman"/>
                <w:kern w:val="0"/>
                <w:sz w:val="20"/>
                <w:szCs w:val="20"/>
                <w:lang w:val="sr-Cyrl-RS" w:eastAsia="en-GB"/>
                <w14:ligatures w14:val="none"/>
              </w:rPr>
              <w:t>МДУЛС</w:t>
            </w:r>
            <w:r w:rsidR="005068D0" w:rsidRPr="00226F9D">
              <w:rPr>
                <w:rFonts w:ascii="Times New Roman" w:eastAsia="Calibri" w:hAnsi="Times New Roman" w:cs="Times New Roman"/>
                <w:kern w:val="0"/>
                <w:sz w:val="20"/>
                <w:szCs w:val="20"/>
                <w:lang w:val="sr-Cyrl-RS" w:eastAsia="en-GB"/>
                <w14:ligatures w14:val="none"/>
              </w:rPr>
              <w:t xml:space="preserve">, Душанка Јовановић, </w:t>
            </w:r>
            <w:hyperlink r:id="rId35" w:history="1">
              <w:r w:rsidR="00CE1BB6" w:rsidRPr="00226F9D">
                <w:rPr>
                  <w:rStyle w:val="Hyperlink"/>
                  <w:rFonts w:ascii="Times New Roman" w:eastAsia="Calibri" w:hAnsi="Times New Roman" w:cs="Times New Roman"/>
                  <w:kern w:val="0"/>
                  <w:sz w:val="20"/>
                  <w:szCs w:val="20"/>
                  <w:lang w:val="sr-Cyrl-RS" w:eastAsia="en-GB"/>
                  <w14:ligatures w14:val="none"/>
                </w:rPr>
                <w:t>dusanka.jovanovic@mduls.gov.</w:t>
              </w:r>
              <w:r w:rsidR="00CE1BB6" w:rsidRPr="00226F9D">
                <w:rPr>
                  <w:rStyle w:val="Hyperlink"/>
                  <w:rFonts w:ascii="Times New Roman" w:eastAsia="Calibri" w:hAnsi="Times New Roman" w:cs="Times New Roman"/>
                  <w:kern w:val="0"/>
                  <w:sz w:val="20"/>
                  <w:szCs w:val="20"/>
                  <w:lang w:eastAsia="en-GB"/>
                  <w14:ligatures w14:val="none"/>
                </w:rPr>
                <w:t>rs</w:t>
              </w:r>
            </w:hyperlink>
            <w:r w:rsidR="00CE1BB6" w:rsidRPr="00226F9D">
              <w:rPr>
                <w:rFonts w:ascii="Times New Roman" w:eastAsia="Calibri" w:hAnsi="Times New Roman" w:cs="Times New Roman"/>
                <w:kern w:val="0"/>
                <w:sz w:val="20"/>
                <w:szCs w:val="20"/>
                <w:lang w:val="sr-Cyrl-RS" w:eastAsia="en-GB"/>
                <w14:ligatures w14:val="none"/>
              </w:rPr>
              <w:t xml:space="preserve"> </w:t>
            </w:r>
          </w:p>
          <w:p w14:paraId="3F265B29" w14:textId="77777777" w:rsidR="00BF2F32" w:rsidRPr="00226F9D" w:rsidRDefault="00BF2F32" w:rsidP="00090884">
            <w:pPr>
              <w:spacing w:after="0" w:line="240" w:lineRule="auto"/>
              <w:jc w:val="both"/>
              <w:rPr>
                <w:rFonts w:ascii="Times New Roman" w:eastAsia="Calibri"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СКГО, Милена Радомировић,  </w:t>
            </w:r>
            <w:hyperlink r:id="rId36" w:history="1">
              <w:r w:rsidRPr="00226F9D">
                <w:rPr>
                  <w:rStyle w:val="Hyperlink"/>
                  <w:rFonts w:ascii="Times New Roman" w:eastAsia="Yu Mincho" w:hAnsi="Times New Roman" w:cs="Times New Roman"/>
                  <w:kern w:val="0"/>
                  <w:sz w:val="20"/>
                  <w:szCs w:val="20"/>
                  <w:lang w:val="sr-Cyrl-RS" w:eastAsia="en-GB"/>
                  <w14:ligatures w14:val="none"/>
                </w:rPr>
                <w:t>m</w:t>
              </w:r>
              <w:r w:rsidRPr="00226F9D">
                <w:rPr>
                  <w:rStyle w:val="Hyperlink"/>
                  <w:rFonts w:ascii="Times New Roman" w:eastAsia="Yu Mincho" w:hAnsi="Times New Roman" w:cs="Times New Roman"/>
                  <w:kern w:val="0"/>
                  <w:sz w:val="20"/>
                  <w:szCs w:val="20"/>
                  <w:lang w:eastAsia="en-GB"/>
                  <w14:ligatures w14:val="none"/>
                </w:rPr>
                <w:t>ilena</w:t>
              </w:r>
              <w:r w:rsidRPr="00226F9D">
                <w:rPr>
                  <w:rStyle w:val="Hyperlink"/>
                  <w:rFonts w:ascii="Times New Roman" w:eastAsia="Yu Mincho" w:hAnsi="Times New Roman" w:cs="Times New Roman"/>
                  <w:kern w:val="0"/>
                  <w:sz w:val="20"/>
                  <w:szCs w:val="20"/>
                  <w:lang w:val="sr-Cyrl-RS" w:eastAsia="en-GB"/>
                  <w14:ligatures w14:val="none"/>
                </w:rPr>
                <w:t>.</w:t>
              </w:r>
              <w:r w:rsidRPr="00226F9D">
                <w:rPr>
                  <w:rStyle w:val="Hyperlink"/>
                  <w:rFonts w:ascii="Times New Roman" w:eastAsia="Yu Mincho" w:hAnsi="Times New Roman" w:cs="Times New Roman"/>
                  <w:kern w:val="0"/>
                  <w:sz w:val="20"/>
                  <w:szCs w:val="20"/>
                  <w:lang w:eastAsia="en-GB"/>
                  <w14:ligatures w14:val="none"/>
                </w:rPr>
                <w:t>radomirovic</w:t>
              </w:r>
              <w:r w:rsidRPr="00226F9D">
                <w:rPr>
                  <w:rStyle w:val="Hyperlink"/>
                  <w:rFonts w:ascii="Times New Roman" w:eastAsia="Yu Mincho" w:hAnsi="Times New Roman" w:cs="Times New Roman"/>
                  <w:kern w:val="0"/>
                  <w:sz w:val="20"/>
                  <w:szCs w:val="20"/>
                  <w:lang w:val="sr-Cyrl-RS" w:eastAsia="en-GB"/>
                  <w14:ligatures w14:val="none"/>
                </w:rPr>
                <w:t>@</w:t>
              </w:r>
              <w:r w:rsidRPr="00226F9D">
                <w:rPr>
                  <w:rStyle w:val="Hyperlink"/>
                  <w:rFonts w:ascii="Times New Roman" w:eastAsia="Yu Mincho" w:hAnsi="Times New Roman" w:cs="Times New Roman"/>
                  <w:kern w:val="0"/>
                  <w:sz w:val="20"/>
                  <w:szCs w:val="20"/>
                  <w:lang w:eastAsia="en-GB"/>
                  <w14:ligatures w14:val="none"/>
                </w:rPr>
                <w:t>skgo</w:t>
              </w:r>
              <w:r w:rsidRPr="00226F9D">
                <w:rPr>
                  <w:rStyle w:val="Hyperlink"/>
                  <w:rFonts w:ascii="Times New Roman" w:eastAsia="Yu Mincho" w:hAnsi="Times New Roman" w:cs="Times New Roman"/>
                  <w:kern w:val="0"/>
                  <w:sz w:val="20"/>
                  <w:szCs w:val="20"/>
                  <w:lang w:val="sr-Cyrl-RS" w:eastAsia="en-GB"/>
                  <w14:ligatures w14:val="none"/>
                </w:rPr>
                <w:t>.</w:t>
              </w:r>
              <w:r w:rsidRPr="00226F9D">
                <w:rPr>
                  <w:rStyle w:val="Hyperlink"/>
                  <w:rFonts w:ascii="Times New Roman" w:eastAsia="Yu Mincho" w:hAnsi="Times New Roman" w:cs="Times New Roman"/>
                  <w:kern w:val="0"/>
                  <w:sz w:val="20"/>
                  <w:szCs w:val="20"/>
                  <w:lang w:eastAsia="en-GB"/>
                  <w14:ligatures w14:val="none"/>
                </w:rPr>
                <w:t>org</w:t>
              </w:r>
            </w:hyperlink>
          </w:p>
        </w:tc>
      </w:tr>
      <w:tr w:rsidR="00BF2F32" w:rsidRPr="00226F9D" w14:paraId="3434CE6E" w14:textId="77777777" w:rsidTr="00BA5DCA">
        <w:trPr>
          <w:jc w:val="center"/>
        </w:trPr>
        <w:tc>
          <w:tcPr>
            <w:tcW w:w="997" w:type="pct"/>
            <w:shd w:val="clear" w:color="auto" w:fill="FFC000"/>
          </w:tcPr>
          <w:p w14:paraId="0D12C25A" w14:textId="77777777"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Учесталост прикупљања података</w:t>
            </w:r>
          </w:p>
        </w:tc>
        <w:tc>
          <w:tcPr>
            <w:tcW w:w="4003" w:type="pct"/>
            <w:gridSpan w:val="6"/>
            <w:shd w:val="clear" w:color="auto" w:fill="FFFFFF"/>
          </w:tcPr>
          <w:p w14:paraId="23B6BB1B" w14:textId="77777777" w:rsidR="00BF2F32" w:rsidRPr="00226F9D" w:rsidRDefault="00BF2F32" w:rsidP="00090884">
            <w:pPr>
              <w:spacing w:after="0" w:line="240" w:lineRule="auto"/>
              <w:jc w:val="both"/>
              <w:rPr>
                <w:rFonts w:ascii="Times New Roman" w:eastAsia="Calibri"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Подаци се прикупљају на период од 2 до 3 године зависно од динамике припреме извештаја о реформи јавне управе у Србији који израђује СИГМА програм.</w:t>
            </w:r>
          </w:p>
        </w:tc>
      </w:tr>
      <w:tr w:rsidR="00BF2F32" w:rsidRPr="00226F9D" w14:paraId="7EE8E71E" w14:textId="77777777" w:rsidTr="00BA5DCA">
        <w:trPr>
          <w:trHeight w:val="553"/>
          <w:jc w:val="center"/>
        </w:trPr>
        <w:tc>
          <w:tcPr>
            <w:tcW w:w="997" w:type="pct"/>
            <w:shd w:val="clear" w:color="auto" w:fill="FFC000"/>
          </w:tcPr>
          <w:p w14:paraId="68E020B5" w14:textId="77777777" w:rsidR="00BF2F32" w:rsidRPr="00226F9D" w:rsidRDefault="00BF2F32" w:rsidP="004A0952">
            <w:pPr>
              <w:spacing w:after="0" w:line="240" w:lineRule="auto"/>
              <w:rPr>
                <w:rFonts w:ascii="Times New Roman" w:eastAsia="Calibri" w:hAnsi="Times New Roman" w:cs="Times New Roman"/>
                <w:b/>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Кратак опис показатеља и методологије израчунавања</w:t>
            </w:r>
          </w:p>
          <w:p w14:paraId="7953BC48" w14:textId="6E317B1E"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(формуле/једначине</w:t>
            </w:r>
            <w:r w:rsidR="00C85670" w:rsidRPr="00226F9D">
              <w:rPr>
                <w:rFonts w:ascii="Times New Roman" w:eastAsia="Calibri" w:hAnsi="Times New Roman" w:cs="Times New Roman"/>
                <w:b/>
                <w:kern w:val="0"/>
                <w:sz w:val="20"/>
                <w:szCs w:val="20"/>
                <w:lang w:val="sr-Cyrl-RS" w:eastAsia="en-GB"/>
                <w14:ligatures w14:val="none"/>
              </w:rPr>
              <w:t>)</w:t>
            </w:r>
          </w:p>
        </w:tc>
        <w:tc>
          <w:tcPr>
            <w:tcW w:w="4003" w:type="pct"/>
            <w:gridSpan w:val="6"/>
            <w:shd w:val="clear" w:color="auto" w:fill="FFFFFF"/>
          </w:tcPr>
          <w:p w14:paraId="1C6B1204" w14:textId="77777777" w:rsidR="00BF2F32" w:rsidRPr="00226F9D" w:rsidRDefault="00BF2F32"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Показатељ је креиран од стране Програма СИГМА као део процеса праћења спровођења реформе јавне управе у домену организације, одговорности и надзора. Први пут је коришћен у извештају СИГМА о реформи јавне управе у Републици Србији за 2024. годину и другим земљама региона. </w:t>
            </w:r>
          </w:p>
          <w:p w14:paraId="529EE0AB" w14:textId="620D369D" w:rsidR="00BF2F32" w:rsidRPr="00226F9D" w:rsidRDefault="00BF2F32"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Показатељ показује да ли су одговорности јасно расподељене између нивоа власти у складу са принципом супсидијарности и локалне аутономије, уз подстицање међуинституционалне координације и успостављања ефикасних механизама надзора. Показатељ има седам по</w:t>
            </w:r>
            <w:r w:rsidR="000E49B2" w:rsidRPr="00226F9D">
              <w:rPr>
                <w:rFonts w:ascii="Times New Roman" w:eastAsia="Yu Mincho" w:hAnsi="Times New Roman" w:cs="Times New Roman"/>
                <w:kern w:val="0"/>
                <w:sz w:val="20"/>
                <w:szCs w:val="20"/>
                <w:lang w:val="sr-Cyrl-RS" w:eastAsia="en-GB"/>
                <w14:ligatures w14:val="none"/>
              </w:rPr>
              <w:t>т</w:t>
            </w:r>
            <w:r w:rsidRPr="00226F9D">
              <w:rPr>
                <w:rFonts w:ascii="Times New Roman" w:eastAsia="Yu Mincho" w:hAnsi="Times New Roman" w:cs="Times New Roman"/>
                <w:kern w:val="0"/>
                <w:sz w:val="20"/>
                <w:szCs w:val="20"/>
                <w:lang w:val="sr-Cyrl-RS" w:eastAsia="en-GB"/>
                <w14:ligatures w14:val="none"/>
              </w:rPr>
              <w:t xml:space="preserve">показатеља кроз које се анализирају: 1) Правне гаранције за оснивање и функционисање локалних самоуправа које обезбеђују вишеслојно управљање у оквиру јавне администрације; 2) Обезбеђивање политичке аутономије локалних самоуправа и права да организују своју администрацију и оснивају локалне ентитете; 3) Правила и процедуре за административни надзор над активностима и одлукама локалних самоуправа; 4) Правила и институционални оквир за решавање сукоба надлежности између нивоа власти; 5) Обезбеђена је координација и сарадња између локалних самоуправа и централне власти; 6) Сарадња између локалних самоуправа; и 7) Функције за које локалне самоуправе преузимају одговорност. </w:t>
            </w:r>
          </w:p>
          <w:p w14:paraId="341DE952" w14:textId="77777777" w:rsidR="00BF2F32" w:rsidRPr="00226F9D" w:rsidRDefault="00BF2F32"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Максимални број бодова укупно за све индикаторе износи 100. </w:t>
            </w:r>
          </w:p>
          <w:p w14:paraId="061C189D" w14:textId="364F2EC2" w:rsidR="00BF2F32" w:rsidRPr="00226F9D" w:rsidRDefault="00BF2F32" w:rsidP="006B59F4">
            <w:pPr>
              <w:spacing w:after="0" w:line="240" w:lineRule="auto"/>
              <w:jc w:val="both"/>
              <w:rPr>
                <w:rFonts w:ascii="Times New Roman" w:eastAsia="Yu Mincho" w:hAnsi="Times New Roman" w:cs="Times New Roman"/>
                <w:kern w:val="0"/>
                <w:sz w:val="20"/>
                <w:szCs w:val="20"/>
                <w:lang w:val="sr-Latn-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Видети више о методологији израчунавања показатеља у публикацији СИГМА - Јавна управа у Србији 2024 </w:t>
            </w:r>
            <w:hyperlink r:id="rId37" w:history="1">
              <w:r w:rsidRPr="00226F9D">
                <w:rPr>
                  <w:rStyle w:val="Hyperlink"/>
                  <w:rFonts w:ascii="Times New Roman" w:eastAsia="Yu Mincho" w:hAnsi="Times New Roman" w:cs="Times New Roman"/>
                  <w:kern w:val="0"/>
                  <w:sz w:val="20"/>
                  <w:szCs w:val="20"/>
                  <w:lang w:val="sr-Cyrl-RS" w:eastAsia="en-GB"/>
                  <w14:ligatures w14:val="none"/>
                </w:rPr>
                <w:t>https://www.sigmaweb.org/en/publications/public-administration-in-serbia-2024_02001fe4-en.html</w:t>
              </w:r>
            </w:hyperlink>
          </w:p>
        </w:tc>
      </w:tr>
      <w:tr w:rsidR="00BF2F32" w:rsidRPr="00226F9D" w14:paraId="3D01F47E" w14:textId="77777777" w:rsidTr="00BA5DCA">
        <w:trPr>
          <w:trHeight w:val="265"/>
          <w:jc w:val="center"/>
        </w:trPr>
        <w:tc>
          <w:tcPr>
            <w:tcW w:w="997" w:type="pct"/>
            <w:vMerge w:val="restart"/>
            <w:shd w:val="clear" w:color="auto" w:fill="FFC000"/>
          </w:tcPr>
          <w:p w14:paraId="47F770EB" w14:textId="77777777" w:rsidR="00BF2F32" w:rsidRPr="00226F9D" w:rsidRDefault="00BF2F32" w:rsidP="004A0952">
            <w:pPr>
              <w:spacing w:after="0" w:line="240" w:lineRule="auto"/>
              <w:rPr>
                <w:rFonts w:ascii="Times New Roman" w:eastAsia="Yu Mincho" w:hAnsi="Times New Roman" w:cs="Times New Roman"/>
                <w:b/>
                <w:bCs/>
                <w:kern w:val="0"/>
                <w:sz w:val="20"/>
                <w:szCs w:val="20"/>
                <w:lang w:val="sr-Cyrl-RS" w:eastAsia="en-GB"/>
                <w14:ligatures w14:val="none"/>
              </w:rPr>
            </w:pPr>
            <w:r w:rsidRPr="00226F9D">
              <w:rPr>
                <w:rFonts w:ascii="Times New Roman" w:eastAsia="Yu Mincho" w:hAnsi="Times New Roman" w:cs="Times New Roman"/>
                <w:b/>
                <w:bCs/>
                <w:kern w:val="0"/>
                <w:sz w:val="20"/>
                <w:szCs w:val="20"/>
                <w:lang w:val="sr-Cyrl-RS" w:eastAsia="en-GB"/>
                <w14:ligatures w14:val="none"/>
              </w:rPr>
              <w:t>Подаци о полазној вредности и години кад је измерена, као и о тренду у прошлости</w:t>
            </w:r>
          </w:p>
        </w:tc>
        <w:tc>
          <w:tcPr>
            <w:tcW w:w="1735" w:type="pct"/>
            <w:gridSpan w:val="3"/>
            <w:tcBorders>
              <w:bottom w:val="single" w:sz="4" w:space="0" w:color="auto"/>
            </w:tcBorders>
            <w:shd w:val="clear" w:color="auto" w:fill="FFFFFF"/>
          </w:tcPr>
          <w:p w14:paraId="7AB3CD7F" w14:textId="77777777" w:rsidR="00BF2F32" w:rsidRPr="00226F9D" w:rsidRDefault="00BF2F32"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Тренд у прошлости</w:t>
            </w:r>
          </w:p>
        </w:tc>
        <w:tc>
          <w:tcPr>
            <w:tcW w:w="2268" w:type="pct"/>
            <w:gridSpan w:val="3"/>
            <w:shd w:val="clear" w:color="auto" w:fill="FFFFFF"/>
          </w:tcPr>
          <w:p w14:paraId="5EDF7114" w14:textId="77777777" w:rsidR="00BF2F32" w:rsidRPr="00226F9D" w:rsidRDefault="00BF2F32"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Полазна вредност</w:t>
            </w:r>
          </w:p>
        </w:tc>
      </w:tr>
      <w:tr w:rsidR="00BF2F32" w:rsidRPr="00226F9D" w14:paraId="0B8F8E8B" w14:textId="77777777" w:rsidTr="00BA5DCA">
        <w:trPr>
          <w:trHeight w:val="137"/>
          <w:jc w:val="center"/>
        </w:trPr>
        <w:tc>
          <w:tcPr>
            <w:tcW w:w="997" w:type="pct"/>
            <w:vMerge/>
          </w:tcPr>
          <w:p w14:paraId="0F0D52A7" w14:textId="77777777"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p>
        </w:tc>
        <w:tc>
          <w:tcPr>
            <w:tcW w:w="665" w:type="pct"/>
            <w:tcBorders>
              <w:top w:val="single" w:sz="4" w:space="0" w:color="auto"/>
              <w:left w:val="single" w:sz="4" w:space="0" w:color="auto"/>
              <w:bottom w:val="single" w:sz="4" w:space="0" w:color="auto"/>
              <w:right w:val="single" w:sz="4" w:space="0" w:color="auto"/>
            </w:tcBorders>
            <w:shd w:val="clear" w:color="auto" w:fill="FFFFFF"/>
          </w:tcPr>
          <w:p w14:paraId="0D289215" w14:textId="1AA77BAC"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2021</w:t>
            </w:r>
            <w:r w:rsidR="00244256" w:rsidRPr="00226F9D">
              <w:rPr>
                <w:rFonts w:ascii="Times New Roman" w:eastAsia="Yu Mincho" w:hAnsi="Times New Roman" w:cs="Times New Roman"/>
                <w:color w:val="000000"/>
                <w:kern w:val="0"/>
                <w:sz w:val="20"/>
                <w:szCs w:val="20"/>
                <w:lang w:val="sr-Cyrl-RS" w:eastAsia="en-GB"/>
                <w14:ligatures w14:val="none"/>
              </w:rPr>
              <w:t>.</w:t>
            </w:r>
          </w:p>
        </w:tc>
        <w:tc>
          <w:tcPr>
            <w:tcW w:w="485" w:type="pct"/>
            <w:tcBorders>
              <w:top w:val="single" w:sz="4" w:space="0" w:color="auto"/>
              <w:left w:val="single" w:sz="4" w:space="0" w:color="auto"/>
              <w:bottom w:val="single" w:sz="4" w:space="0" w:color="auto"/>
              <w:right w:val="single" w:sz="4" w:space="0" w:color="auto"/>
            </w:tcBorders>
            <w:shd w:val="clear" w:color="auto" w:fill="FFFFFF"/>
          </w:tcPr>
          <w:p w14:paraId="6878F90E" w14:textId="264025F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2022</w:t>
            </w:r>
            <w:r w:rsidR="00244256" w:rsidRPr="00226F9D">
              <w:rPr>
                <w:rFonts w:ascii="Times New Roman" w:eastAsia="Yu Mincho" w:hAnsi="Times New Roman" w:cs="Times New Roman"/>
                <w:color w:val="000000"/>
                <w:kern w:val="0"/>
                <w:sz w:val="20"/>
                <w:szCs w:val="20"/>
                <w:lang w:val="sr-Cyrl-RS" w:eastAsia="en-GB"/>
                <w14:ligatures w14:val="none"/>
              </w:rPr>
              <w:t>.</w:t>
            </w:r>
          </w:p>
        </w:tc>
        <w:tc>
          <w:tcPr>
            <w:tcW w:w="585" w:type="pct"/>
            <w:tcBorders>
              <w:top w:val="single" w:sz="4" w:space="0" w:color="auto"/>
              <w:left w:val="single" w:sz="4" w:space="0" w:color="auto"/>
              <w:bottom w:val="single" w:sz="4" w:space="0" w:color="auto"/>
              <w:right w:val="single" w:sz="4" w:space="0" w:color="auto"/>
            </w:tcBorders>
            <w:shd w:val="clear" w:color="auto" w:fill="FFFFFF"/>
          </w:tcPr>
          <w:p w14:paraId="03F78E98" w14:textId="05FD3C3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2023</w:t>
            </w:r>
            <w:r w:rsidR="00244256" w:rsidRPr="00226F9D">
              <w:rPr>
                <w:rFonts w:ascii="Times New Roman" w:eastAsia="Yu Mincho" w:hAnsi="Times New Roman" w:cs="Times New Roman"/>
                <w:color w:val="000000"/>
                <w:kern w:val="0"/>
                <w:sz w:val="20"/>
                <w:szCs w:val="20"/>
                <w:lang w:val="sr-Cyrl-RS" w:eastAsia="en-GB"/>
                <w14:ligatures w14:val="none"/>
              </w:rPr>
              <w:t>.</w:t>
            </w:r>
          </w:p>
        </w:tc>
        <w:tc>
          <w:tcPr>
            <w:tcW w:w="2268" w:type="pct"/>
            <w:gridSpan w:val="3"/>
            <w:tcBorders>
              <w:left w:val="single" w:sz="4" w:space="0" w:color="auto"/>
            </w:tcBorders>
            <w:shd w:val="clear" w:color="auto" w:fill="FFFFFF"/>
          </w:tcPr>
          <w:p w14:paraId="4B25FE09" w14:textId="5EFBC865" w:rsidR="00BF2F32" w:rsidRPr="00226F9D" w:rsidRDefault="00BF2F32"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2024</w:t>
            </w:r>
            <w:r w:rsidR="00244256" w:rsidRPr="00226F9D">
              <w:rPr>
                <w:rFonts w:ascii="Times New Roman" w:eastAsia="Yu Mincho" w:hAnsi="Times New Roman" w:cs="Times New Roman"/>
                <w:kern w:val="0"/>
                <w:sz w:val="20"/>
                <w:szCs w:val="20"/>
                <w:lang w:val="sr-Cyrl-RS" w:eastAsia="en-GB"/>
                <w14:ligatures w14:val="none"/>
              </w:rPr>
              <w:t>.</w:t>
            </w:r>
          </w:p>
        </w:tc>
      </w:tr>
      <w:tr w:rsidR="00BF2F32" w:rsidRPr="00226F9D" w14:paraId="7886FBCE" w14:textId="77777777" w:rsidTr="009549DA">
        <w:trPr>
          <w:trHeight w:val="213"/>
          <w:jc w:val="center"/>
        </w:trPr>
        <w:tc>
          <w:tcPr>
            <w:tcW w:w="997" w:type="pct"/>
            <w:vMerge/>
          </w:tcPr>
          <w:p w14:paraId="1D5C13DC" w14:textId="77777777"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p>
        </w:tc>
        <w:tc>
          <w:tcPr>
            <w:tcW w:w="665" w:type="pct"/>
            <w:tcBorders>
              <w:top w:val="single" w:sz="4" w:space="0" w:color="auto"/>
            </w:tcBorders>
            <w:shd w:val="clear" w:color="auto" w:fill="FFFFFF"/>
          </w:tcPr>
          <w:p w14:paraId="70729C96" w14:textId="77777777" w:rsidR="00BF2F32" w:rsidRPr="00226F9D" w:rsidRDefault="00BF2F32"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w:t>
            </w:r>
          </w:p>
        </w:tc>
        <w:tc>
          <w:tcPr>
            <w:tcW w:w="485" w:type="pct"/>
            <w:tcBorders>
              <w:top w:val="single" w:sz="4" w:space="0" w:color="auto"/>
            </w:tcBorders>
            <w:shd w:val="clear" w:color="auto" w:fill="FFFFFF"/>
          </w:tcPr>
          <w:p w14:paraId="77EE1323" w14:textId="77777777" w:rsidR="00BF2F32" w:rsidRPr="00226F9D" w:rsidRDefault="00BF2F32"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w:t>
            </w:r>
          </w:p>
        </w:tc>
        <w:tc>
          <w:tcPr>
            <w:tcW w:w="585" w:type="pct"/>
            <w:tcBorders>
              <w:top w:val="single" w:sz="4" w:space="0" w:color="auto"/>
            </w:tcBorders>
            <w:shd w:val="clear" w:color="auto" w:fill="FFFFFF"/>
          </w:tcPr>
          <w:p w14:paraId="03610E3E" w14:textId="77777777" w:rsidR="00BF2F32" w:rsidRPr="00226F9D" w:rsidRDefault="00BF2F32"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w:t>
            </w:r>
          </w:p>
        </w:tc>
        <w:tc>
          <w:tcPr>
            <w:tcW w:w="2268" w:type="pct"/>
            <w:gridSpan w:val="3"/>
            <w:shd w:val="clear" w:color="auto" w:fill="FFFFFF"/>
          </w:tcPr>
          <w:p w14:paraId="3D6C22FC" w14:textId="77777777" w:rsidR="00BF2F32" w:rsidRPr="00226F9D" w:rsidRDefault="00BF2F32" w:rsidP="00090884">
            <w:pPr>
              <w:spacing w:after="0" w:line="240" w:lineRule="auto"/>
              <w:jc w:val="both"/>
              <w:rPr>
                <w:rFonts w:ascii="Times New Roman" w:eastAsia="Calibri" w:hAnsi="Times New Roman" w:cs="Times New Roman"/>
                <w:kern w:val="0"/>
                <w:sz w:val="20"/>
                <w:szCs w:val="20"/>
                <w:lang w:val="sr-Cyrl-RS" w:eastAsia="en-GB"/>
                <w14:ligatures w14:val="none"/>
              </w:rPr>
            </w:pPr>
            <w:r w:rsidRPr="00226F9D">
              <w:rPr>
                <w:rFonts w:ascii="Times New Roman" w:eastAsia="Calibri" w:hAnsi="Times New Roman" w:cs="Times New Roman"/>
                <w:kern w:val="0"/>
                <w:sz w:val="20"/>
                <w:szCs w:val="20"/>
                <w:lang w:val="sr-Cyrl-RS" w:eastAsia="en-GB"/>
                <w14:ligatures w14:val="none"/>
              </w:rPr>
              <w:t>76</w:t>
            </w:r>
          </w:p>
        </w:tc>
      </w:tr>
      <w:tr w:rsidR="00BF2F32" w:rsidRPr="00226F9D" w14:paraId="0B7DFA6B" w14:textId="77777777" w:rsidTr="00BA5DCA">
        <w:trPr>
          <w:trHeight w:val="274"/>
          <w:jc w:val="center"/>
        </w:trPr>
        <w:tc>
          <w:tcPr>
            <w:tcW w:w="997" w:type="pct"/>
            <w:vMerge w:val="restart"/>
            <w:shd w:val="clear" w:color="auto" w:fill="FFC000"/>
          </w:tcPr>
          <w:p w14:paraId="6D76FB01" w14:textId="77777777"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Подаци о циљним вредностима</w:t>
            </w:r>
          </w:p>
        </w:tc>
        <w:tc>
          <w:tcPr>
            <w:tcW w:w="665" w:type="pct"/>
            <w:shd w:val="clear" w:color="auto" w:fill="FFFFFF"/>
          </w:tcPr>
          <w:p w14:paraId="0888483B"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2026.</w:t>
            </w:r>
          </w:p>
        </w:tc>
        <w:tc>
          <w:tcPr>
            <w:tcW w:w="485" w:type="pct"/>
            <w:shd w:val="clear" w:color="auto" w:fill="FFFFFF"/>
          </w:tcPr>
          <w:p w14:paraId="6F47C471"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2027.</w:t>
            </w:r>
          </w:p>
        </w:tc>
        <w:tc>
          <w:tcPr>
            <w:tcW w:w="585" w:type="pct"/>
            <w:shd w:val="clear" w:color="auto" w:fill="FFFFFF"/>
          </w:tcPr>
          <w:p w14:paraId="2F48080E"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2028.</w:t>
            </w:r>
          </w:p>
        </w:tc>
        <w:tc>
          <w:tcPr>
            <w:tcW w:w="893" w:type="pct"/>
            <w:gridSpan w:val="2"/>
            <w:shd w:val="clear" w:color="auto" w:fill="FFFFFF"/>
          </w:tcPr>
          <w:p w14:paraId="7969D53A"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2029.</w:t>
            </w:r>
          </w:p>
        </w:tc>
        <w:tc>
          <w:tcPr>
            <w:tcW w:w="1375" w:type="pct"/>
            <w:shd w:val="clear" w:color="auto" w:fill="FFFFFF"/>
          </w:tcPr>
          <w:p w14:paraId="6C261199"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2030.</w:t>
            </w:r>
          </w:p>
        </w:tc>
      </w:tr>
      <w:tr w:rsidR="00BF2F32" w:rsidRPr="00226F9D" w14:paraId="057BDACB" w14:textId="77777777" w:rsidTr="00BA5DCA">
        <w:trPr>
          <w:trHeight w:val="368"/>
          <w:jc w:val="center"/>
        </w:trPr>
        <w:tc>
          <w:tcPr>
            <w:tcW w:w="997" w:type="pct"/>
            <w:vMerge/>
          </w:tcPr>
          <w:p w14:paraId="7AFC9AA2" w14:textId="77777777"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p>
        </w:tc>
        <w:tc>
          <w:tcPr>
            <w:tcW w:w="665" w:type="pct"/>
            <w:shd w:val="clear" w:color="auto" w:fill="FFFFFF"/>
          </w:tcPr>
          <w:p w14:paraId="47C528CB" w14:textId="77777777" w:rsidR="00BF2F32" w:rsidRPr="00226F9D" w:rsidRDefault="00BF2F32"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w:t>
            </w:r>
          </w:p>
        </w:tc>
        <w:tc>
          <w:tcPr>
            <w:tcW w:w="485" w:type="pct"/>
            <w:shd w:val="clear" w:color="auto" w:fill="FFFFFF"/>
          </w:tcPr>
          <w:p w14:paraId="71BADBF8"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w:t>
            </w:r>
          </w:p>
        </w:tc>
        <w:tc>
          <w:tcPr>
            <w:tcW w:w="585" w:type="pct"/>
            <w:shd w:val="clear" w:color="auto" w:fill="FFFFFF"/>
          </w:tcPr>
          <w:p w14:paraId="2895AC56" w14:textId="77777777" w:rsidR="00BF2F32" w:rsidRPr="00226F9D" w:rsidDel="007F2DA5"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80</w:t>
            </w:r>
          </w:p>
        </w:tc>
        <w:tc>
          <w:tcPr>
            <w:tcW w:w="893" w:type="pct"/>
            <w:gridSpan w:val="2"/>
            <w:shd w:val="clear" w:color="auto" w:fill="FFFFFF"/>
          </w:tcPr>
          <w:p w14:paraId="110120CF"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w:t>
            </w:r>
          </w:p>
        </w:tc>
        <w:tc>
          <w:tcPr>
            <w:tcW w:w="1375" w:type="pct"/>
            <w:shd w:val="clear" w:color="auto" w:fill="FFFFFF"/>
          </w:tcPr>
          <w:p w14:paraId="73545633"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85</w:t>
            </w:r>
          </w:p>
        </w:tc>
      </w:tr>
      <w:tr w:rsidR="00BF2F32" w:rsidRPr="00226F9D" w14:paraId="6F88F5A6" w14:textId="77777777" w:rsidTr="00BA5DCA">
        <w:trPr>
          <w:trHeight w:val="57"/>
          <w:jc w:val="center"/>
        </w:trPr>
        <w:tc>
          <w:tcPr>
            <w:tcW w:w="997" w:type="pct"/>
            <w:shd w:val="clear" w:color="auto" w:fill="FFC000"/>
          </w:tcPr>
          <w:p w14:paraId="7B853F63" w14:textId="77777777" w:rsidR="00BF2F32" w:rsidRPr="00226F9D" w:rsidRDefault="00BF2F32"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Процена успешности</w:t>
            </w:r>
          </w:p>
        </w:tc>
        <w:tc>
          <w:tcPr>
            <w:tcW w:w="4003" w:type="pct"/>
            <w:gridSpan w:val="6"/>
            <w:shd w:val="clear" w:color="auto" w:fill="FFFFFF"/>
          </w:tcPr>
          <w:p w14:paraId="41DDA829" w14:textId="77777777" w:rsidR="00BF2F32" w:rsidRPr="00226F9D" w:rsidRDefault="00BF2F32"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Прихватљиво је одступање до пет бодова</w:t>
            </w:r>
            <w:r w:rsidRPr="00226F9D">
              <w:rPr>
                <w:rFonts w:ascii="Times New Roman" w:eastAsia="Yu Mincho" w:hAnsi="Times New Roman" w:cs="Times New Roman"/>
                <w:kern w:val="0"/>
                <w:sz w:val="20"/>
                <w:szCs w:val="20"/>
                <w:lang w:val="sr-Latn-RS" w:eastAsia="en-GB"/>
                <w14:ligatures w14:val="none"/>
              </w:rPr>
              <w:t xml:space="preserve"> </w:t>
            </w:r>
            <w:r w:rsidRPr="00226F9D">
              <w:rPr>
                <w:rFonts w:ascii="Times New Roman" w:eastAsia="Yu Mincho" w:hAnsi="Times New Roman" w:cs="Times New Roman"/>
                <w:kern w:val="0"/>
                <w:sz w:val="20"/>
                <w:szCs w:val="20"/>
                <w:lang w:val="sr-Cyrl-RS" w:eastAsia="en-GB"/>
                <w14:ligatures w14:val="none"/>
              </w:rPr>
              <w:t>у односу на циљану вредност</w:t>
            </w:r>
          </w:p>
        </w:tc>
      </w:tr>
    </w:tbl>
    <w:p w14:paraId="2AAC301C" w14:textId="77777777" w:rsidR="00BF2F32" w:rsidRPr="00226F9D" w:rsidRDefault="00BF2F32" w:rsidP="00090884">
      <w:pPr>
        <w:spacing w:after="0" w:line="240" w:lineRule="auto"/>
        <w:jc w:val="both"/>
        <w:rPr>
          <w:rFonts w:ascii="Times New Roman" w:eastAsia="Times New Roman" w:hAnsi="Times New Roman" w:cs="Times New Roman"/>
          <w:b/>
          <w:bCs/>
          <w:color w:val="2F5496"/>
          <w:kern w:val="0"/>
          <w:lang w:val="sr-Cyrl-RS" w:eastAsia="en-GB"/>
          <w14:ligatures w14:val="none"/>
        </w:rPr>
      </w:pPr>
    </w:p>
    <w:p w14:paraId="43B5A77C" w14:textId="77777777" w:rsidR="00E41816" w:rsidRPr="00226F9D" w:rsidRDefault="00E41816" w:rsidP="00090884">
      <w:pPr>
        <w:spacing w:after="0" w:line="240" w:lineRule="auto"/>
        <w:jc w:val="both"/>
        <w:rPr>
          <w:rFonts w:ascii="Times New Roman" w:eastAsia="Times New Roman" w:hAnsi="Times New Roman" w:cs="Times New Roman"/>
          <w:b/>
          <w:bCs/>
          <w:color w:val="2F5496"/>
          <w:kern w:val="0"/>
          <w:lang w:val="sr-Latn-RS" w:eastAsia="en-GB"/>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2"/>
        <w:gridCol w:w="2292"/>
        <w:gridCol w:w="1978"/>
        <w:gridCol w:w="149"/>
        <w:gridCol w:w="1841"/>
        <w:gridCol w:w="1616"/>
        <w:gridCol w:w="1727"/>
        <w:gridCol w:w="1727"/>
      </w:tblGrid>
      <w:tr w:rsidR="00001C5C" w:rsidRPr="00226F9D" w14:paraId="040DEE98" w14:textId="77777777" w:rsidTr="00BA5DCA">
        <w:trPr>
          <w:trHeight w:val="555"/>
          <w:jc w:val="center"/>
        </w:trPr>
        <w:tc>
          <w:tcPr>
            <w:tcW w:w="1110" w:type="pct"/>
            <w:shd w:val="clear" w:color="auto" w:fill="D9D9D9"/>
            <w:vAlign w:val="center"/>
          </w:tcPr>
          <w:p w14:paraId="080D9993"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Назив показатеља</w:t>
            </w:r>
          </w:p>
        </w:tc>
        <w:tc>
          <w:tcPr>
            <w:tcW w:w="3890" w:type="pct"/>
            <w:gridSpan w:val="7"/>
            <w:shd w:val="clear" w:color="auto" w:fill="D9D9D9"/>
            <w:vAlign w:val="center"/>
          </w:tcPr>
          <w:p w14:paraId="1ADF5007" w14:textId="410E9E51" w:rsidR="00001C5C" w:rsidRPr="00226F9D" w:rsidRDefault="00001C5C" w:rsidP="00090884">
            <w:pPr>
              <w:spacing w:after="0" w:line="240" w:lineRule="auto"/>
              <w:jc w:val="both"/>
              <w:rPr>
                <w:rFonts w:ascii="Times New Roman" w:eastAsia="Yu Mincho" w:hAnsi="Times New Roman" w:cs="Times New Roman"/>
                <w:b/>
                <w:bCs/>
                <w:color w:val="000000"/>
                <w:kern w:val="0"/>
                <w:sz w:val="20"/>
                <w:szCs w:val="20"/>
                <w:lang w:val="sr-Latn-RS" w:eastAsia="en-GB"/>
                <w14:ligatures w14:val="none"/>
              </w:rPr>
            </w:pPr>
            <w:r w:rsidRPr="00226F9D">
              <w:rPr>
                <w:rFonts w:ascii="Times New Roman" w:eastAsia="Yu Mincho" w:hAnsi="Times New Roman" w:cs="Times New Roman"/>
                <w:b/>
                <w:bCs/>
                <w:color w:val="000000"/>
                <w:kern w:val="0"/>
                <w:sz w:val="20"/>
                <w:szCs w:val="20"/>
                <w:lang w:val="sr-Cyrl-RS" w:eastAsia="en-GB"/>
                <w14:ligatures w14:val="none"/>
              </w:rPr>
              <w:t>Удео расхода ЛС у консолидованим јавним расходима у Републици Србији</w:t>
            </w:r>
          </w:p>
        </w:tc>
      </w:tr>
      <w:tr w:rsidR="00001C5C" w:rsidRPr="00226F9D" w14:paraId="26B5066E" w14:textId="77777777" w:rsidTr="00BA5DCA">
        <w:trPr>
          <w:jc w:val="center"/>
        </w:trPr>
        <w:tc>
          <w:tcPr>
            <w:tcW w:w="1110" w:type="pct"/>
            <w:shd w:val="clear" w:color="auto" w:fill="FFC000"/>
            <w:vAlign w:val="center"/>
          </w:tcPr>
          <w:p w14:paraId="2586ECBA"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bookmarkStart w:id="61" w:name="_Hlk57115024"/>
            <w:r w:rsidRPr="00226F9D">
              <w:rPr>
                <w:rFonts w:ascii="Times New Roman" w:eastAsia="Calibri" w:hAnsi="Times New Roman" w:cs="Times New Roman"/>
                <w:b/>
                <w:bCs/>
                <w:color w:val="000000"/>
                <w:kern w:val="0"/>
                <w:sz w:val="20"/>
                <w:szCs w:val="20"/>
                <w:lang w:val="sr-Cyrl-RS" w:eastAsia="en-GB"/>
                <w14:ligatures w14:val="none"/>
              </w:rPr>
              <w:t>Одговарајући општи, посебни циљ или мера</w:t>
            </w:r>
          </w:p>
        </w:tc>
        <w:tc>
          <w:tcPr>
            <w:tcW w:w="3890" w:type="pct"/>
            <w:gridSpan w:val="7"/>
            <w:vAlign w:val="center"/>
          </w:tcPr>
          <w:p w14:paraId="44345531" w14:textId="77777777" w:rsidR="00001C5C" w:rsidRPr="00226F9D" w:rsidRDefault="00001C5C" w:rsidP="00090884">
            <w:pPr>
              <w:spacing w:after="0" w:line="240" w:lineRule="auto"/>
              <w:jc w:val="both"/>
              <w:rPr>
                <w:rFonts w:ascii="Times New Roman" w:eastAsia="Calibri" w:hAnsi="Times New Roman" w:cs="Times New Roman"/>
                <w:bCs/>
                <w:color w:val="000000"/>
                <w:kern w:val="24"/>
                <w:sz w:val="20"/>
                <w:szCs w:val="20"/>
                <w:lang w:val="sr-Cyrl-RS" w:eastAsia="en-GB"/>
                <w14:ligatures w14:val="none"/>
              </w:rPr>
            </w:pPr>
            <w:r w:rsidRPr="00226F9D">
              <w:rPr>
                <w:rFonts w:ascii="Times New Roman" w:eastAsia="Times New Roman" w:hAnsi="Times New Roman" w:cs="Times New Roman"/>
                <w:bCs/>
                <w:iCs/>
                <w:color w:val="000000"/>
                <w:kern w:val="24"/>
                <w:sz w:val="20"/>
                <w:szCs w:val="20"/>
                <w:lang w:val="sr-Cyrl-RS" w:eastAsia="en-GB"/>
                <w14:ligatures w14:val="none"/>
              </w:rPr>
              <w:t>Успостављање система локалне самоуправе који омогућава ефикасно и одрживо остваривање права грађана на локалну самоуправу</w:t>
            </w:r>
          </w:p>
        </w:tc>
      </w:tr>
      <w:tr w:rsidR="00001C5C" w:rsidRPr="00226F9D" w14:paraId="62BF6171" w14:textId="77777777" w:rsidTr="00BA5DCA">
        <w:trPr>
          <w:jc w:val="center"/>
        </w:trPr>
        <w:tc>
          <w:tcPr>
            <w:tcW w:w="1110" w:type="pct"/>
            <w:shd w:val="clear" w:color="auto" w:fill="FFC000"/>
            <w:vAlign w:val="center"/>
          </w:tcPr>
          <w:p w14:paraId="09C46455"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Тип и ниво показатеља</w:t>
            </w:r>
          </w:p>
        </w:tc>
        <w:tc>
          <w:tcPr>
            <w:tcW w:w="1466" w:type="pct"/>
            <w:gridSpan w:val="2"/>
            <w:vAlign w:val="center"/>
          </w:tcPr>
          <w:p w14:paraId="4E49D776" w14:textId="77777777" w:rsidR="00001C5C" w:rsidRPr="00226F9D" w:rsidRDefault="00001C5C" w:rsidP="00090884">
            <w:pPr>
              <w:spacing w:after="0" w:line="240" w:lineRule="auto"/>
              <w:jc w:val="both"/>
              <w:rPr>
                <w:rFonts w:ascii="Times New Roman" w:eastAsia="Yu Mincho" w:hAnsi="Times New Roman" w:cs="Times New Roman"/>
                <w:color w:val="000000"/>
                <w:kern w:val="24"/>
                <w:sz w:val="20"/>
                <w:szCs w:val="20"/>
                <w:lang w:val="sr-Cyrl-RS" w:eastAsia="en-GB"/>
                <w14:ligatures w14:val="none"/>
              </w:rPr>
            </w:pPr>
            <w:r w:rsidRPr="00226F9D">
              <w:rPr>
                <w:rFonts w:ascii="Times New Roman" w:eastAsia="Yu Mincho" w:hAnsi="Times New Roman" w:cs="Times New Roman"/>
                <w:color w:val="000000"/>
                <w:kern w:val="24"/>
                <w:sz w:val="20"/>
                <w:szCs w:val="20"/>
                <w:lang w:val="sr-Cyrl-RS" w:eastAsia="en-GB"/>
                <w14:ligatures w14:val="none"/>
              </w:rPr>
              <w:t>Квантитативни</w:t>
            </w:r>
          </w:p>
        </w:tc>
        <w:tc>
          <w:tcPr>
            <w:tcW w:w="2424" w:type="pct"/>
            <w:gridSpan w:val="5"/>
            <w:vAlign w:val="center"/>
          </w:tcPr>
          <w:p w14:paraId="01DBA7C2" w14:textId="77777777" w:rsidR="00001C5C" w:rsidRPr="00226F9D" w:rsidRDefault="00001C5C" w:rsidP="00090884">
            <w:pPr>
              <w:spacing w:after="0" w:line="240" w:lineRule="auto"/>
              <w:jc w:val="both"/>
              <w:rPr>
                <w:rFonts w:ascii="Times New Roman" w:eastAsia="Calibri" w:hAnsi="Times New Roman" w:cs="Times New Roman"/>
                <w:bCs/>
                <w:color w:val="000000"/>
                <w:kern w:val="24"/>
                <w:sz w:val="20"/>
                <w:szCs w:val="20"/>
                <w:lang w:val="sr-Cyrl-RS" w:eastAsia="en-GB"/>
                <w14:ligatures w14:val="none"/>
              </w:rPr>
            </w:pPr>
            <w:r w:rsidRPr="00226F9D">
              <w:rPr>
                <w:rFonts w:ascii="Times New Roman" w:eastAsia="Calibri" w:hAnsi="Times New Roman" w:cs="Times New Roman"/>
                <w:bCs/>
                <w:color w:val="000000"/>
                <w:kern w:val="24"/>
                <w:sz w:val="20"/>
                <w:szCs w:val="20"/>
                <w:lang w:val="sr-Cyrl-RS" w:eastAsia="en-GB"/>
                <w14:ligatures w14:val="none"/>
              </w:rPr>
              <w:t>Показатељ на нивоу општег циља</w:t>
            </w:r>
          </w:p>
        </w:tc>
      </w:tr>
      <w:tr w:rsidR="00001C5C" w:rsidRPr="00226F9D" w14:paraId="1FF488F4" w14:textId="77777777" w:rsidTr="00BA5DCA">
        <w:trPr>
          <w:trHeight w:val="373"/>
          <w:jc w:val="center"/>
        </w:trPr>
        <w:tc>
          <w:tcPr>
            <w:tcW w:w="1110" w:type="pct"/>
            <w:shd w:val="clear" w:color="auto" w:fill="FFC000"/>
            <w:vAlign w:val="center"/>
          </w:tcPr>
          <w:p w14:paraId="630A0D15" w14:textId="77777777" w:rsidR="00001C5C" w:rsidRPr="00226F9D" w:rsidRDefault="00001C5C" w:rsidP="00090884">
            <w:pPr>
              <w:spacing w:after="0" w:line="240" w:lineRule="auto"/>
              <w:jc w:val="both"/>
              <w:rPr>
                <w:rFonts w:ascii="Times New Roman" w:eastAsia="Calibri" w:hAnsi="Times New Roman" w:cs="Times New Roman"/>
                <w:b/>
                <w:color w:val="000000"/>
                <w:kern w:val="24"/>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Јединица мере и природа</w:t>
            </w:r>
          </w:p>
        </w:tc>
        <w:tc>
          <w:tcPr>
            <w:tcW w:w="1466" w:type="pct"/>
            <w:gridSpan w:val="2"/>
            <w:vAlign w:val="center"/>
          </w:tcPr>
          <w:p w14:paraId="13A4D817"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24"/>
                <w:sz w:val="20"/>
                <w:szCs w:val="20"/>
                <w:lang w:val="sr-Cyrl-RS" w:eastAsia="en-GB"/>
                <w14:ligatures w14:val="none"/>
              </w:rPr>
              <w:t xml:space="preserve">% </w:t>
            </w:r>
          </w:p>
        </w:tc>
        <w:tc>
          <w:tcPr>
            <w:tcW w:w="2424" w:type="pct"/>
            <w:gridSpan w:val="5"/>
            <w:vAlign w:val="center"/>
          </w:tcPr>
          <w:p w14:paraId="3602AEB1" w14:textId="77777777" w:rsidR="00001C5C" w:rsidRPr="00226F9D" w:rsidRDefault="00001C5C" w:rsidP="0009088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bookmarkEnd w:id="61"/>
      <w:tr w:rsidR="00001C5C" w:rsidRPr="00226F9D" w14:paraId="2312E625" w14:textId="77777777" w:rsidTr="00BA5DCA">
        <w:trPr>
          <w:jc w:val="center"/>
        </w:trPr>
        <w:tc>
          <w:tcPr>
            <w:tcW w:w="1110" w:type="pct"/>
            <w:shd w:val="clear" w:color="auto" w:fill="FFC000"/>
            <w:vAlign w:val="center"/>
          </w:tcPr>
          <w:p w14:paraId="0336CB84"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Извор података за праћење показатеља учинка</w:t>
            </w:r>
          </w:p>
        </w:tc>
        <w:tc>
          <w:tcPr>
            <w:tcW w:w="3890" w:type="pct"/>
            <w:gridSpan w:val="7"/>
            <w:vAlign w:val="center"/>
          </w:tcPr>
          <w:p w14:paraId="682A3661"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Подаци ИСИБ АП и ЈЛС</w:t>
            </w:r>
          </w:p>
          <w:p w14:paraId="3675269F"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Подаци СПИРИ</w:t>
            </w:r>
          </w:p>
          <w:p w14:paraId="47576426" w14:textId="4D15AABD" w:rsidR="00001C5C" w:rsidRPr="00226F9D" w:rsidRDefault="00001C5C" w:rsidP="00090884">
            <w:pPr>
              <w:spacing w:after="0" w:line="240" w:lineRule="auto"/>
              <w:jc w:val="both"/>
              <w:rPr>
                <w:rFonts w:ascii="Times New Roman" w:eastAsia="Yu Mincho" w:hAnsi="Times New Roman" w:cs="Times New Roman"/>
                <w:color w:val="000000"/>
                <w:kern w:val="0"/>
                <w:sz w:val="20"/>
                <w:szCs w:val="20"/>
                <w:u w:val="single"/>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Подаци из </w:t>
            </w:r>
            <w:r w:rsidRPr="00226F9D">
              <w:rPr>
                <w:rFonts w:ascii="Times New Roman" w:eastAsia="Yu Mincho" w:hAnsi="Times New Roman" w:cs="Times New Roman"/>
                <w:i/>
                <w:iCs/>
                <w:color w:val="000000"/>
                <w:kern w:val="0"/>
                <w:sz w:val="20"/>
                <w:szCs w:val="20"/>
                <w:lang w:val="sr-Cyrl-RS" w:eastAsia="en-GB"/>
                <w14:ligatures w14:val="none"/>
              </w:rPr>
              <w:t>Месечног билтена јавних финансија</w:t>
            </w:r>
            <w:r w:rsidRPr="00226F9D">
              <w:rPr>
                <w:rFonts w:ascii="Times New Roman" w:eastAsia="Yu Mincho" w:hAnsi="Times New Roman" w:cs="Times New Roman"/>
                <w:color w:val="000000"/>
                <w:kern w:val="0"/>
                <w:sz w:val="20"/>
                <w:szCs w:val="20"/>
                <w:lang w:val="sr-Cyrl-RS" w:eastAsia="en-GB"/>
                <w14:ligatures w14:val="none"/>
              </w:rPr>
              <w:t>,</w:t>
            </w:r>
            <w:r w:rsidR="0077298A" w:rsidRPr="00226F9D">
              <w:rPr>
                <w:rFonts w:ascii="Times New Roman" w:eastAsia="Yu Mincho" w:hAnsi="Times New Roman" w:cs="Times New Roman"/>
                <w:color w:val="000000"/>
                <w:kern w:val="0"/>
                <w:sz w:val="20"/>
                <w:szCs w:val="20"/>
                <w:lang w:val="sr-Cyrl-RS" w:eastAsia="en-GB"/>
                <w14:ligatures w14:val="none"/>
              </w:rPr>
              <w:t xml:space="preserve"> </w:t>
            </w:r>
            <w:hyperlink r:id="rId38" w:history="1">
              <w:r w:rsidR="0077298A" w:rsidRPr="00226F9D">
                <w:rPr>
                  <w:rStyle w:val="Hyperlink"/>
                  <w:rFonts w:ascii="Times New Roman" w:eastAsia="Yu Mincho" w:hAnsi="Times New Roman" w:cs="Times New Roman"/>
                  <w:kern w:val="0"/>
                  <w:sz w:val="20"/>
                  <w:szCs w:val="20"/>
                  <w:lang w:val="sr-Cyrl-RS" w:eastAsia="en-GB"/>
                  <w14:ligatures w14:val="none"/>
                </w:rPr>
                <w:t>https://www.mfin.gov.rs/aktivnosti/bilten-javnih-finansija</w:t>
              </w:r>
            </w:hyperlink>
            <w:r w:rsidR="0077298A" w:rsidRPr="00226F9D">
              <w:rPr>
                <w:rFonts w:ascii="Times New Roman" w:eastAsia="Yu Mincho" w:hAnsi="Times New Roman" w:cs="Times New Roman"/>
                <w:color w:val="000000"/>
                <w:kern w:val="0"/>
                <w:sz w:val="20"/>
                <w:szCs w:val="20"/>
                <w:u w:val="single"/>
                <w:lang w:val="sr-Cyrl-RS" w:eastAsia="en-GB"/>
                <w14:ligatures w14:val="none"/>
              </w:rPr>
              <w:t xml:space="preserve"> </w:t>
            </w:r>
          </w:p>
          <w:p w14:paraId="7EA9DD18"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Подаци Управе за трезор Министарства финансија, </w:t>
            </w:r>
            <w:hyperlink r:id="rId39">
              <w:r w:rsidRPr="00226F9D">
                <w:rPr>
                  <w:rFonts w:ascii="Times New Roman" w:eastAsia="Yu Mincho" w:hAnsi="Times New Roman" w:cs="Times New Roman"/>
                  <w:color w:val="000000"/>
                  <w:kern w:val="0"/>
                  <w:sz w:val="20"/>
                  <w:szCs w:val="20"/>
                  <w:u w:val="single"/>
                  <w:lang w:val="sr-Cyrl-RS" w:eastAsia="en-GB"/>
                  <w14:ligatures w14:val="none"/>
                </w:rPr>
                <w:t>https://www.trezor.gov.rs/src/services/</w:t>
              </w:r>
            </w:hyperlink>
          </w:p>
          <w:p w14:paraId="5593D302"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u w:val="single"/>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Подаци из аналитичког сервиса ЈЛС, МДУЛС и РСЈП, </w:t>
            </w:r>
            <w:hyperlink r:id="rId40">
              <w:r w:rsidRPr="00226F9D">
                <w:rPr>
                  <w:rFonts w:ascii="Times New Roman" w:eastAsia="Yu Mincho" w:hAnsi="Times New Roman" w:cs="Times New Roman"/>
                  <w:color w:val="000000"/>
                  <w:kern w:val="0"/>
                  <w:sz w:val="20"/>
                  <w:szCs w:val="20"/>
                  <w:u w:val="single"/>
                  <w:lang w:val="sr-Cyrl-RS" w:eastAsia="en-GB"/>
                  <w14:ligatures w14:val="none"/>
                </w:rPr>
                <w:t>https://rsjp.gov.rs/jls-baza/</w:t>
              </w:r>
            </w:hyperlink>
          </w:p>
        </w:tc>
      </w:tr>
      <w:tr w:rsidR="00001C5C" w:rsidRPr="00226F9D" w14:paraId="714E798E" w14:textId="77777777" w:rsidTr="00BA5DCA">
        <w:trPr>
          <w:jc w:val="center"/>
        </w:trPr>
        <w:tc>
          <w:tcPr>
            <w:tcW w:w="1110" w:type="pct"/>
            <w:shd w:val="clear" w:color="auto" w:fill="FFC000"/>
            <w:vAlign w:val="center"/>
          </w:tcPr>
          <w:p w14:paraId="2713DAEE"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Назив носиоца прикупљања података</w:t>
            </w:r>
          </w:p>
        </w:tc>
        <w:tc>
          <w:tcPr>
            <w:tcW w:w="3890" w:type="pct"/>
            <w:gridSpan w:val="7"/>
            <w:vAlign w:val="center"/>
          </w:tcPr>
          <w:p w14:paraId="3FC2ACDC" w14:textId="34F4980A" w:rsidR="00001C5C" w:rsidRPr="00226F9D" w:rsidRDefault="00001C5C" w:rsidP="00090884">
            <w:pPr>
              <w:spacing w:after="0" w:line="240" w:lineRule="auto"/>
              <w:jc w:val="both"/>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 xml:space="preserve">Министарство финансија, Иван Зечић, </w:t>
            </w:r>
            <w:hyperlink r:id="rId41" w:history="1">
              <w:r w:rsidR="00517077" w:rsidRPr="00226F9D">
                <w:rPr>
                  <w:rStyle w:val="Hyperlink"/>
                  <w:rFonts w:ascii="Times New Roman" w:eastAsia="Times New Roman" w:hAnsi="Times New Roman" w:cs="Times New Roman"/>
                  <w:kern w:val="0"/>
                  <w:sz w:val="20"/>
                  <w:szCs w:val="20"/>
                  <w:lang w:val="sr-Cyrl-RS" w:eastAsia="en-GB"/>
                  <w14:ligatures w14:val="none"/>
                </w:rPr>
                <w:t>ivan.zecic@mfin.gov.rs</w:t>
              </w:r>
            </w:hyperlink>
            <w:r w:rsidR="00517077" w:rsidRPr="00226F9D">
              <w:rPr>
                <w:rFonts w:ascii="Times New Roman" w:eastAsia="Times New Roman" w:hAnsi="Times New Roman" w:cs="Times New Roman"/>
                <w:kern w:val="0"/>
                <w:sz w:val="20"/>
                <w:szCs w:val="20"/>
                <w:lang w:val="sr-Latn-RS" w:eastAsia="en-GB"/>
                <w14:ligatures w14:val="none"/>
              </w:rPr>
              <w:t xml:space="preserve"> </w:t>
            </w:r>
          </w:p>
          <w:p w14:paraId="64176A1B" w14:textId="65CB3DCC"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Latn-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СКГО, Александар Маринковић, </w:t>
            </w:r>
            <w:hyperlink r:id="rId42" w:history="1">
              <w:r w:rsidRPr="00226F9D">
                <w:rPr>
                  <w:rStyle w:val="Hyperlink"/>
                  <w:rFonts w:ascii="Times New Roman" w:eastAsia="Yu Mincho" w:hAnsi="Times New Roman" w:cs="Times New Roman"/>
                  <w:kern w:val="0"/>
                  <w:sz w:val="20"/>
                  <w:szCs w:val="20"/>
                  <w:lang w:val="sr-Latn-RS" w:eastAsia="en-GB"/>
                  <w14:ligatures w14:val="none"/>
                </w:rPr>
                <w:t>aleksandar</w:t>
              </w:r>
              <w:r w:rsidRPr="00226F9D">
                <w:rPr>
                  <w:rStyle w:val="Hyperlink"/>
                  <w:rFonts w:ascii="Times New Roman" w:eastAsia="Yu Mincho" w:hAnsi="Times New Roman" w:cs="Times New Roman"/>
                  <w:kern w:val="0"/>
                  <w:sz w:val="20"/>
                  <w:szCs w:val="20"/>
                  <w:lang w:val="sr-Cyrl-RS" w:eastAsia="en-GB"/>
                  <w14:ligatures w14:val="none"/>
                </w:rPr>
                <w:t>.</w:t>
              </w:r>
              <w:r w:rsidRPr="00226F9D">
                <w:rPr>
                  <w:rStyle w:val="Hyperlink"/>
                  <w:rFonts w:ascii="Times New Roman" w:eastAsia="Yu Mincho" w:hAnsi="Times New Roman" w:cs="Times New Roman"/>
                  <w:kern w:val="0"/>
                  <w:sz w:val="20"/>
                  <w:szCs w:val="20"/>
                  <w:lang w:val="sr-Latn-RS" w:eastAsia="en-GB"/>
                  <w14:ligatures w14:val="none"/>
                </w:rPr>
                <w:t>marinko</w:t>
              </w:r>
              <w:r w:rsidRPr="00226F9D">
                <w:rPr>
                  <w:rStyle w:val="Hyperlink"/>
                  <w:rFonts w:ascii="Times New Roman" w:eastAsia="Yu Mincho" w:hAnsi="Times New Roman" w:cs="Times New Roman"/>
                  <w:kern w:val="0"/>
                  <w:sz w:val="20"/>
                  <w:szCs w:val="20"/>
                  <w:lang w:val="sr-Cyrl-RS" w:eastAsia="en-GB"/>
                  <w14:ligatures w14:val="none"/>
                </w:rPr>
                <w:t>vic@skgo.org</w:t>
              </w:r>
            </w:hyperlink>
          </w:p>
        </w:tc>
      </w:tr>
      <w:tr w:rsidR="00001C5C" w:rsidRPr="00226F9D" w14:paraId="17C2B22D" w14:textId="77777777" w:rsidTr="00BA5DCA">
        <w:trPr>
          <w:jc w:val="center"/>
        </w:trPr>
        <w:tc>
          <w:tcPr>
            <w:tcW w:w="1110" w:type="pct"/>
            <w:shd w:val="clear" w:color="auto" w:fill="FFC000"/>
            <w:vAlign w:val="center"/>
          </w:tcPr>
          <w:p w14:paraId="6A9A1E11"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Учесталост прикупљања података</w:t>
            </w:r>
          </w:p>
        </w:tc>
        <w:tc>
          <w:tcPr>
            <w:tcW w:w="3890" w:type="pct"/>
            <w:gridSpan w:val="7"/>
            <w:shd w:val="clear" w:color="auto" w:fill="FFFFFF"/>
            <w:vAlign w:val="center"/>
          </w:tcPr>
          <w:p w14:paraId="35805827"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Подаци се прикупљају до 30. септембра текуће године за претходну.</w:t>
            </w:r>
          </w:p>
        </w:tc>
      </w:tr>
      <w:tr w:rsidR="00001C5C" w:rsidRPr="00226F9D" w14:paraId="36FFEB92" w14:textId="77777777" w:rsidTr="00BA5DCA">
        <w:trPr>
          <w:jc w:val="center"/>
        </w:trPr>
        <w:tc>
          <w:tcPr>
            <w:tcW w:w="1110" w:type="pct"/>
            <w:shd w:val="clear" w:color="auto" w:fill="FFC000"/>
            <w:vAlign w:val="center"/>
          </w:tcPr>
          <w:p w14:paraId="233A324E" w14:textId="77777777" w:rsidR="00001C5C" w:rsidRPr="00226F9D" w:rsidRDefault="00001C5C" w:rsidP="00090884">
            <w:pPr>
              <w:spacing w:after="0" w:line="240" w:lineRule="auto"/>
              <w:jc w:val="both"/>
              <w:rPr>
                <w:rFonts w:ascii="Times New Roman" w:eastAsia="Calibri" w:hAnsi="Times New Roman" w:cs="Times New Roman"/>
                <w:b/>
                <w:color w:val="000000"/>
                <w:kern w:val="0"/>
                <w:sz w:val="20"/>
                <w:szCs w:val="20"/>
                <w:lang w:val="sr-Cyrl-RS" w:eastAsia="en-GB"/>
                <w14:ligatures w14:val="none"/>
              </w:rPr>
            </w:pPr>
            <w:r w:rsidRPr="00226F9D">
              <w:rPr>
                <w:rFonts w:ascii="Times New Roman" w:eastAsia="Calibri" w:hAnsi="Times New Roman" w:cs="Times New Roman"/>
                <w:b/>
                <w:color w:val="000000"/>
                <w:kern w:val="0"/>
                <w:sz w:val="20"/>
                <w:szCs w:val="20"/>
                <w:lang w:val="sr-Cyrl-RS" w:eastAsia="en-GB"/>
                <w14:ligatures w14:val="none"/>
              </w:rPr>
              <w:t>Кратак опис показатеља и методологије израчунавања</w:t>
            </w:r>
          </w:p>
          <w:p w14:paraId="0AA89888" w14:textId="77777777" w:rsidR="00001C5C" w:rsidRPr="00226F9D" w:rsidRDefault="00001C5C" w:rsidP="00090884">
            <w:pPr>
              <w:spacing w:after="0" w:line="240" w:lineRule="auto"/>
              <w:jc w:val="both"/>
              <w:rPr>
                <w:rFonts w:ascii="Times New Roman" w:eastAsia="Yu Mincho" w:hAnsi="Times New Roman" w:cs="Times New Roman"/>
                <w:b/>
                <w:bCs/>
                <w:color w:val="000000"/>
                <w:kern w:val="0"/>
                <w:sz w:val="20"/>
                <w:szCs w:val="20"/>
                <w:lang w:val="sr-Cyrl-RS" w:eastAsia="en-GB"/>
                <w14:ligatures w14:val="none"/>
              </w:rPr>
            </w:pPr>
            <w:r w:rsidRPr="00226F9D">
              <w:rPr>
                <w:rFonts w:ascii="Times New Roman" w:eastAsia="Yu Mincho" w:hAnsi="Times New Roman" w:cs="Times New Roman"/>
                <w:b/>
                <w:bCs/>
                <w:color w:val="000000"/>
                <w:kern w:val="0"/>
                <w:sz w:val="20"/>
                <w:szCs w:val="20"/>
                <w:lang w:val="sr-Cyrl-RS" w:eastAsia="en-GB"/>
                <w14:ligatures w14:val="none"/>
              </w:rPr>
              <w:t>(формуле/једначине)</w:t>
            </w:r>
          </w:p>
          <w:p w14:paraId="00F043BF"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p>
          <w:p w14:paraId="1C639B8E"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Latn-RS" w:eastAsia="en-GB"/>
                <w14:ligatures w14:val="none"/>
              </w:rPr>
            </w:pPr>
          </w:p>
          <w:p w14:paraId="7F92ADBB" w14:textId="77777777" w:rsidR="00E63E75" w:rsidRPr="00226F9D" w:rsidRDefault="00E63E75" w:rsidP="00090884">
            <w:pPr>
              <w:spacing w:after="0" w:line="240" w:lineRule="auto"/>
              <w:jc w:val="both"/>
              <w:rPr>
                <w:rFonts w:ascii="Times New Roman" w:eastAsia="Calibri" w:hAnsi="Times New Roman" w:cs="Times New Roman"/>
                <w:b/>
                <w:bCs/>
                <w:color w:val="000000"/>
                <w:kern w:val="0"/>
                <w:sz w:val="20"/>
                <w:szCs w:val="20"/>
                <w:lang w:val="sr-Latn-RS" w:eastAsia="en-GB"/>
                <w14:ligatures w14:val="none"/>
              </w:rPr>
            </w:pPr>
          </w:p>
          <w:p w14:paraId="34534DA9"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p>
          <w:p w14:paraId="7AD71EC6"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p>
        </w:tc>
        <w:tc>
          <w:tcPr>
            <w:tcW w:w="3890" w:type="pct"/>
            <w:gridSpan w:val="7"/>
            <w:shd w:val="clear" w:color="auto" w:fill="FFFFFF"/>
            <w:vAlign w:val="center"/>
          </w:tcPr>
          <w:p w14:paraId="29C49A57" w14:textId="77777777" w:rsidR="00001C5C" w:rsidRPr="00226F9D" w:rsidRDefault="00001C5C" w:rsidP="006B59F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Овај показатељ показује степен учешћа расхода ЛС у консолидованим јавним расходима. Раст процента учешћа локалних расхода указује на већу децентрализацију јавних послова, коју треба да прати и већи удео у јавним расходима; повећање одговорности/надлежности и самосталности ЛС. Овај индикатор се израчунава тако што се укупни расходи локалне самоуправе (УРЛС) поделе са консолидованим јавним расходима</w:t>
            </w:r>
          </w:p>
          <w:p w14:paraId="7661B5F9" w14:textId="77777777" w:rsidR="00001C5C" w:rsidRPr="00226F9D" w:rsidRDefault="00001C5C" w:rsidP="00090884">
            <w:pPr>
              <w:spacing w:after="0" w:line="240" w:lineRule="auto"/>
              <w:jc w:val="both"/>
              <w:rPr>
                <w:rFonts w:ascii="Times New Roman" w:eastAsia="Calibri" w:hAnsi="Times New Roman" w:cs="Times New Roman"/>
                <w:b/>
                <w:color w:val="000000"/>
                <w:kern w:val="0"/>
                <w:sz w:val="20"/>
                <w:szCs w:val="20"/>
                <w:lang w:val="sr-Cyrl-RS" w:eastAsia="en-GB"/>
                <w14:ligatures w14:val="none"/>
              </w:rPr>
            </w:pPr>
            <w:r w:rsidRPr="00226F9D">
              <w:rPr>
                <w:rFonts w:ascii="Times New Roman" w:eastAsia="Calibri" w:hAnsi="Times New Roman" w:cs="Times New Roman"/>
                <w:b/>
                <w:color w:val="000000"/>
                <w:kern w:val="0"/>
                <w:sz w:val="20"/>
                <w:szCs w:val="20"/>
                <w:lang w:val="sr-Cyrl-RS" w:eastAsia="en-GB"/>
                <w14:ligatures w14:val="none"/>
              </w:rPr>
              <w:t xml:space="preserve">                                                                          ФОРМУЛА/ЈЕДНАЧИНА</w:t>
            </w:r>
          </w:p>
          <w:p w14:paraId="1D8EFE68" w14:textId="77777777" w:rsidR="00001C5C" w:rsidRPr="00226F9D" w:rsidRDefault="00001C5C" w:rsidP="00090884">
            <w:pPr>
              <w:spacing w:after="0" w:line="240" w:lineRule="auto"/>
              <w:jc w:val="both"/>
              <w:rPr>
                <w:rFonts w:ascii="Times New Roman" w:eastAsia="Calibri" w:hAnsi="Times New Roman" w:cs="Times New Roman"/>
                <w:b/>
                <w:color w:val="000000"/>
                <w:kern w:val="0"/>
                <w:sz w:val="20"/>
                <w:szCs w:val="20"/>
                <w:lang w:val="sr-Cyrl-RS" w:eastAsia="en-GB"/>
                <w14:ligatures w14:val="none"/>
              </w:rPr>
            </w:pPr>
            <w:r w:rsidRPr="00226F9D">
              <w:rPr>
                <w:rFonts w:ascii="Times New Roman" w:eastAsia="Calibri" w:hAnsi="Times New Roman" w:cs="Times New Roman"/>
                <w:noProof/>
                <w:color w:val="000000"/>
                <w:kern w:val="0"/>
                <w:sz w:val="20"/>
                <w:szCs w:val="20"/>
                <w14:ligatures w14:val="none"/>
              </w:rPr>
              <mc:AlternateContent>
                <mc:Choice Requires="wps">
                  <w:drawing>
                    <wp:anchor distT="0" distB="0" distL="114300" distR="114300" simplePos="0" relativeHeight="251658240" behindDoc="0" locked="0" layoutInCell="1" allowOverlap="1" wp14:anchorId="3D6E13F1" wp14:editId="42FFDD57">
                      <wp:simplePos x="0" y="0"/>
                      <wp:positionH relativeFrom="column">
                        <wp:posOffset>2286000</wp:posOffset>
                      </wp:positionH>
                      <wp:positionV relativeFrom="paragraph">
                        <wp:posOffset>13970</wp:posOffset>
                      </wp:positionV>
                      <wp:extent cx="2567305" cy="381000"/>
                      <wp:effectExtent l="0" t="0" r="10795" b="0"/>
                      <wp:wrapNone/>
                      <wp:docPr id="376" name="TextBox 1"/>
                      <wp:cNvGraphicFramePr/>
                      <a:graphic xmlns:a="http://schemas.openxmlformats.org/drawingml/2006/main">
                        <a:graphicData uri="http://schemas.microsoft.com/office/word/2010/wordprocessingShape">
                          <wps:wsp>
                            <wps:cNvSpPr txBox="1"/>
                            <wps:spPr>
                              <a:xfrm>
                                <a:off x="0" y="0"/>
                                <a:ext cx="2567305" cy="381000"/>
                              </a:xfrm>
                              <a:prstGeom prst="rect">
                                <a:avLst/>
                              </a:prstGeom>
                              <a:noFill/>
                              <a:ln>
                                <a:noFill/>
                              </a:ln>
                              <a:effectLst/>
                            </wps:spPr>
                            <wps:txbx>
                              <w:txbxContent>
                                <w:p w14:paraId="6627E39F" w14:textId="77777777" w:rsidR="00C01216" w:rsidRDefault="00D155C4" w:rsidP="00001C5C">
                                  <w:pPr>
                                    <w:spacing w:after="99"/>
                                    <w:jc w:val="center"/>
                                  </w:pPr>
                                  <m:oMath>
                                    <m:f>
                                      <m:fPr>
                                        <m:ctrlPr>
                                          <w:rPr>
                                            <w:rFonts w:ascii="Cambria Math" w:eastAsia="Yu Mincho" w:hAnsi="Cambria Math"/>
                                            <w:i/>
                                            <w:iCs/>
                                            <w:color w:val="000000"/>
                                            <w:sz w:val="28"/>
                                            <w:szCs w:val="28"/>
                                          </w:rPr>
                                        </m:ctrlPr>
                                      </m:fPr>
                                      <m:num>
                                        <m:r>
                                          <w:rPr>
                                            <w:rFonts w:ascii="Cambria Math" w:hAnsi="Cambria Math"/>
                                            <w:color w:val="000000"/>
                                            <w:sz w:val="28"/>
                                            <w:szCs w:val="28"/>
                                          </w:rPr>
                                          <m:t>Укупни локални расходи</m:t>
                                        </m:r>
                                      </m:num>
                                      <m:den>
                                        <m:r>
                                          <w:rPr>
                                            <w:rFonts w:ascii="Cambria Math" w:hAnsi="Cambria Math"/>
                                            <w:color w:val="000000"/>
                                            <w:sz w:val="28"/>
                                            <w:szCs w:val="28"/>
                                          </w:rPr>
                                          <m:t>Консолидовани јавни расходи</m:t>
                                        </m:r>
                                      </m:den>
                                    </m:f>
                                  </m:oMath>
                                  <w:r w:rsidR="00C01216" w:rsidRPr="004136FD">
                                    <w:rPr>
                                      <w:color w:val="000000"/>
                                    </w:rPr>
                                    <w:t xml:space="preserve"> </w:t>
                                  </w:r>
                                  <m:oMath>
                                    <m:r>
                                      <w:rPr>
                                        <w:rFonts w:ascii="Cambria Math" w:eastAsia="Cambria Math" w:hAnsi="Cambria Math"/>
                                        <w:color w:val="000000"/>
                                      </w:rPr>
                                      <m:t>×100</m:t>
                                    </m:r>
                                  </m:oMath>
                                </w:p>
                              </w:txbxContent>
                            </wps:txbx>
                            <wps:bodyPr vertOverflow="clip" horzOverflow="clip"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3D6E13F1" id="_x0000_t202" coordsize="21600,21600" o:spt="202" path="m,l,21600r21600,l21600,xe">
                      <v:stroke joinstyle="miter"/>
                      <v:path gradientshapeok="t" o:connecttype="rect"/>
                    </v:shapetype>
                    <v:shape id="TextBox 1" o:spid="_x0000_s1026" type="#_x0000_t202" style="position:absolute;left:0;text-align:left;margin-left:180pt;margin-top:1.1pt;width:202.1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" filled="f" stroked="f">
                      <v:textbox inset="0,0,0,0">
                        <w:txbxContent>
                          <w:p w14:paraId="6627E39F" w14:textId="77777777" w:rsidR="00C01216" w:rsidRDefault="00C01216" w:rsidP="00001C5C">
                            <w:pPr>
                              <w:spacing w:after="99"/>
                              <w:jc w:val="center"/>
                            </w:pPr>
                            <m:oMath>
                              <m:f>
                                <m:fPr>
                                  <m:ctrlPr>
                                    <w:rPr>
                                      <w:rFonts w:ascii="Cambria Math" w:eastAsia="Yu Mincho" w:hAnsi="Cambria Math"/>
                                      <w:i/>
                                      <w:iCs/>
                                      <w:color w:val="000000"/>
                                      <w:sz w:val="28"/>
                                      <w:szCs w:val="28"/>
                                    </w:rPr>
                                  </m:ctrlPr>
                                </m:fPr>
                                <m:num>
                                  <m:r>
                                    <w:rPr>
                                      <w:rFonts w:ascii="Cambria Math" w:hAnsi="Cambria Math"/>
                                      <w:color w:val="000000"/>
                                      <w:sz w:val="28"/>
                                      <w:szCs w:val="28"/>
                                    </w:rPr>
                                    <m:t>Укупни локални расходи</m:t>
                                  </m:r>
                                </m:num>
                                <m:den>
                                  <m:r>
                                    <w:rPr>
                                      <w:rFonts w:ascii="Cambria Math" w:hAnsi="Cambria Math"/>
                                      <w:color w:val="000000"/>
                                      <w:sz w:val="28"/>
                                      <w:szCs w:val="28"/>
                                    </w:rPr>
                                    <m:t>Консолидовани јавни расходи</m:t>
                                  </m:r>
                                </m:den>
                              </m:f>
                            </m:oMath>
                            <w:r w:rsidRPr="004136FD">
                              <w:rPr>
                                <w:color w:val="000000"/>
                              </w:rPr>
                              <w:t xml:space="preserve"> </w:t>
                            </w:r>
                            <m:oMath>
                              <m:r>
                                <w:rPr>
                                  <w:rFonts w:ascii="Cambria Math" w:eastAsia="Cambria Math" w:hAnsi="Cambria Math"/>
                                  <w:color w:val="000000"/>
                                </w:rPr>
                                <m:t>×100</m:t>
                              </m:r>
                            </m:oMath>
                          </w:p>
                        </w:txbxContent>
                      </v:textbox>
                    </v:shape>
                  </w:pict>
                </mc:Fallback>
              </mc:AlternateContent>
            </w:r>
          </w:p>
          <w:p w14:paraId="709FA167" w14:textId="77777777" w:rsidR="00001C5C" w:rsidRPr="00226F9D" w:rsidRDefault="00001C5C" w:rsidP="00090884">
            <w:pPr>
              <w:spacing w:after="0" w:line="240" w:lineRule="auto"/>
              <w:jc w:val="both"/>
              <w:rPr>
                <w:rFonts w:ascii="Times New Roman" w:eastAsia="Calibri" w:hAnsi="Times New Roman" w:cs="Times New Roman"/>
                <w:color w:val="000000"/>
                <w:kern w:val="0"/>
                <w:sz w:val="20"/>
                <w:szCs w:val="20"/>
                <w:lang w:val="sr-Latn-RS" w:eastAsia="en-GB"/>
                <w14:ligatures w14:val="none"/>
              </w:rPr>
            </w:pPr>
          </w:p>
        </w:tc>
      </w:tr>
      <w:tr w:rsidR="00001C5C" w:rsidRPr="00226F9D" w14:paraId="7158FE8A" w14:textId="77777777" w:rsidTr="00BA5DCA">
        <w:trPr>
          <w:trHeight w:val="274"/>
          <w:jc w:val="center"/>
        </w:trPr>
        <w:tc>
          <w:tcPr>
            <w:tcW w:w="1110" w:type="pct"/>
            <w:vMerge w:val="restart"/>
            <w:shd w:val="clear" w:color="auto" w:fill="FFC000"/>
            <w:vAlign w:val="center"/>
          </w:tcPr>
          <w:p w14:paraId="12FD2352" w14:textId="77777777" w:rsidR="00001C5C" w:rsidRPr="00226F9D" w:rsidRDefault="00001C5C" w:rsidP="00090884">
            <w:pPr>
              <w:spacing w:after="0" w:line="240" w:lineRule="auto"/>
              <w:jc w:val="both"/>
              <w:rPr>
                <w:rFonts w:ascii="Times New Roman" w:eastAsia="Yu Mincho" w:hAnsi="Times New Roman" w:cs="Times New Roman"/>
                <w:b/>
                <w:bCs/>
                <w:color w:val="000000"/>
                <w:kern w:val="0"/>
                <w:sz w:val="20"/>
                <w:szCs w:val="20"/>
                <w:lang w:val="sr-Cyrl-RS" w:eastAsia="en-GB"/>
                <w14:ligatures w14:val="none"/>
              </w:rPr>
            </w:pPr>
            <w:r w:rsidRPr="00226F9D">
              <w:rPr>
                <w:rFonts w:ascii="Times New Roman" w:eastAsia="Yu Mincho" w:hAnsi="Times New Roman" w:cs="Times New Roman"/>
                <w:b/>
                <w:bCs/>
                <w:color w:val="000000"/>
                <w:kern w:val="0"/>
                <w:sz w:val="20"/>
                <w:szCs w:val="20"/>
                <w:lang w:val="sr-Cyrl-RS" w:eastAsia="en-GB"/>
                <w14:ligatures w14:val="none"/>
              </w:rPr>
              <w:t>Подаци о полазној вредности и години кад је измерена, као и о тренду у прошлости</w:t>
            </w:r>
          </w:p>
        </w:tc>
        <w:tc>
          <w:tcPr>
            <w:tcW w:w="2704" w:type="pct"/>
            <w:gridSpan w:val="5"/>
            <w:tcBorders>
              <w:bottom w:val="single" w:sz="4" w:space="0" w:color="auto"/>
            </w:tcBorders>
            <w:shd w:val="clear" w:color="auto" w:fill="FFFFFF"/>
            <w:vAlign w:val="center"/>
          </w:tcPr>
          <w:p w14:paraId="1440CE1E" w14:textId="77777777" w:rsidR="00001C5C" w:rsidRPr="00226F9D" w:rsidRDefault="00001C5C"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Тренд у прошлости</w:t>
            </w:r>
          </w:p>
        </w:tc>
        <w:tc>
          <w:tcPr>
            <w:tcW w:w="1186" w:type="pct"/>
            <w:gridSpan w:val="2"/>
            <w:shd w:val="clear" w:color="auto" w:fill="FFFFFF"/>
            <w:vAlign w:val="center"/>
          </w:tcPr>
          <w:p w14:paraId="153019C3" w14:textId="77777777" w:rsidR="00001C5C" w:rsidRPr="00226F9D" w:rsidRDefault="00001C5C"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Полазна вредност</w:t>
            </w:r>
          </w:p>
        </w:tc>
      </w:tr>
      <w:tr w:rsidR="00690B63" w:rsidRPr="00226F9D" w14:paraId="09985B04" w14:textId="77777777" w:rsidTr="007A70FC">
        <w:trPr>
          <w:trHeight w:val="137"/>
          <w:jc w:val="center"/>
        </w:trPr>
        <w:tc>
          <w:tcPr>
            <w:tcW w:w="1110" w:type="pct"/>
            <w:vMerge/>
            <w:vAlign w:val="center"/>
          </w:tcPr>
          <w:p w14:paraId="7E29F6E1" w14:textId="77777777" w:rsidR="00690B63" w:rsidRPr="00226F9D" w:rsidRDefault="00690B63"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p>
        </w:tc>
        <w:tc>
          <w:tcPr>
            <w:tcW w:w="787" w:type="pct"/>
            <w:tcBorders>
              <w:top w:val="single" w:sz="4" w:space="0" w:color="auto"/>
              <w:left w:val="single" w:sz="4" w:space="0" w:color="auto"/>
              <w:bottom w:val="single" w:sz="4" w:space="0" w:color="auto"/>
              <w:right w:val="single" w:sz="4" w:space="0" w:color="auto"/>
            </w:tcBorders>
            <w:shd w:val="clear" w:color="auto" w:fill="FFFFFF"/>
            <w:vAlign w:val="center"/>
          </w:tcPr>
          <w:p w14:paraId="2AF11498" w14:textId="77777777" w:rsidR="00690B63" w:rsidRPr="00226F9D" w:rsidRDefault="00690B63"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kern w:val="0"/>
                <w:sz w:val="20"/>
                <w:szCs w:val="20"/>
                <w:lang w:eastAsia="en-GB"/>
                <w14:ligatures w14:val="none"/>
              </w:rPr>
              <w:t>202</w:t>
            </w:r>
            <w:r w:rsidRPr="00226F9D">
              <w:rPr>
                <w:rFonts w:ascii="Times New Roman" w:eastAsia="Yu Mincho" w:hAnsi="Times New Roman" w:cs="Times New Roman"/>
                <w:kern w:val="0"/>
                <w:sz w:val="20"/>
                <w:szCs w:val="20"/>
                <w:lang w:val="sr-Cyrl-RS" w:eastAsia="en-GB"/>
                <w14:ligatures w14:val="none"/>
              </w:rPr>
              <w:t>1.</w:t>
            </w:r>
          </w:p>
        </w:tc>
        <w:tc>
          <w:tcPr>
            <w:tcW w:w="73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AFD29F" w14:textId="77777777" w:rsidR="00690B63" w:rsidRPr="00226F9D" w:rsidRDefault="00690B63"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w:t>
            </w:r>
            <w:r w:rsidRPr="00226F9D">
              <w:rPr>
                <w:rFonts w:ascii="Times New Roman" w:eastAsia="Yu Mincho" w:hAnsi="Times New Roman" w:cs="Times New Roman"/>
                <w:kern w:val="0"/>
                <w:sz w:val="20"/>
                <w:szCs w:val="20"/>
                <w:lang w:val="sr-Cyrl-RS" w:eastAsia="en-GB"/>
                <w14:ligatures w14:val="none"/>
              </w:rPr>
              <w:t>2.</w:t>
            </w: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14:paraId="53B829CD" w14:textId="77777777" w:rsidR="00690B63" w:rsidRPr="00226F9D" w:rsidRDefault="00690B63"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w:t>
            </w:r>
            <w:r w:rsidRPr="00226F9D">
              <w:rPr>
                <w:rFonts w:ascii="Times New Roman" w:eastAsia="Yu Mincho" w:hAnsi="Times New Roman" w:cs="Times New Roman"/>
                <w:kern w:val="0"/>
                <w:sz w:val="20"/>
                <w:szCs w:val="20"/>
                <w:lang w:val="sr-Cyrl-RS" w:eastAsia="en-GB"/>
                <w14:ligatures w14:val="none"/>
              </w:rPr>
              <w:t>3.</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14:paraId="5D3021EF" w14:textId="48986AD2" w:rsidR="00690B63" w:rsidRPr="00226F9D" w:rsidRDefault="007A70F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2024.</w:t>
            </w:r>
          </w:p>
        </w:tc>
        <w:tc>
          <w:tcPr>
            <w:tcW w:w="1186" w:type="pct"/>
            <w:gridSpan w:val="2"/>
            <w:tcBorders>
              <w:left w:val="single" w:sz="4" w:space="0" w:color="auto"/>
            </w:tcBorders>
            <w:shd w:val="clear" w:color="auto" w:fill="FFFFFF"/>
            <w:vAlign w:val="center"/>
          </w:tcPr>
          <w:p w14:paraId="1A92B78D" w14:textId="12B3057D" w:rsidR="00690B63" w:rsidRPr="00226F9D" w:rsidRDefault="00690B63"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2025.</w:t>
            </w:r>
          </w:p>
        </w:tc>
      </w:tr>
      <w:tr w:rsidR="00582066" w:rsidRPr="00226F9D" w14:paraId="01B0980E" w14:textId="77777777" w:rsidTr="007A70FC">
        <w:trPr>
          <w:trHeight w:val="323"/>
          <w:jc w:val="center"/>
        </w:trPr>
        <w:tc>
          <w:tcPr>
            <w:tcW w:w="1110" w:type="pct"/>
            <w:vMerge/>
            <w:vAlign w:val="center"/>
          </w:tcPr>
          <w:p w14:paraId="34E8642C" w14:textId="77777777" w:rsidR="00582066" w:rsidRPr="00226F9D" w:rsidRDefault="00582066"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p>
        </w:tc>
        <w:tc>
          <w:tcPr>
            <w:tcW w:w="787" w:type="pct"/>
            <w:tcBorders>
              <w:top w:val="single" w:sz="4" w:space="0" w:color="auto"/>
            </w:tcBorders>
            <w:shd w:val="clear" w:color="auto" w:fill="FFFFFF"/>
            <w:vAlign w:val="center"/>
          </w:tcPr>
          <w:p w14:paraId="5257BCE8" w14:textId="637CD009" w:rsidR="00582066" w:rsidRPr="00226F9D" w:rsidRDefault="00582066"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12%</w:t>
            </w:r>
          </w:p>
        </w:tc>
        <w:tc>
          <w:tcPr>
            <w:tcW w:w="730" w:type="pct"/>
            <w:gridSpan w:val="2"/>
            <w:tcBorders>
              <w:top w:val="single" w:sz="4" w:space="0" w:color="auto"/>
            </w:tcBorders>
            <w:shd w:val="clear" w:color="auto" w:fill="FFFFFF"/>
            <w:vAlign w:val="center"/>
          </w:tcPr>
          <w:p w14:paraId="0AF6F0B8" w14:textId="5735BCF9" w:rsidR="00582066" w:rsidRPr="00226F9D" w:rsidRDefault="00582066"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12,4%</w:t>
            </w:r>
          </w:p>
        </w:tc>
        <w:tc>
          <w:tcPr>
            <w:tcW w:w="632" w:type="pct"/>
            <w:tcBorders>
              <w:top w:val="single" w:sz="4" w:space="0" w:color="auto"/>
            </w:tcBorders>
            <w:shd w:val="clear" w:color="auto" w:fill="FFFFFF"/>
            <w:vAlign w:val="center"/>
          </w:tcPr>
          <w:p w14:paraId="5BD2DEC3" w14:textId="77777777" w:rsidR="00582066" w:rsidRPr="00226F9D" w:rsidRDefault="00582066" w:rsidP="00090884">
            <w:pPr>
              <w:spacing w:after="0" w:line="240" w:lineRule="auto"/>
              <w:jc w:val="both"/>
              <w:rPr>
                <w:rFonts w:ascii="Times New Roman" w:eastAsia="Yu Mincho" w:hAnsi="Times New Roman" w:cs="Times New Roman"/>
                <w:color w:val="000000"/>
                <w:kern w:val="0"/>
                <w:sz w:val="20"/>
                <w:szCs w:val="20"/>
                <w:lang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12,7%</w:t>
            </w:r>
          </w:p>
        </w:tc>
        <w:tc>
          <w:tcPr>
            <w:tcW w:w="555" w:type="pct"/>
            <w:tcBorders>
              <w:top w:val="single" w:sz="4" w:space="0" w:color="auto"/>
            </w:tcBorders>
            <w:shd w:val="clear" w:color="auto" w:fill="FFFFFF"/>
            <w:vAlign w:val="center"/>
          </w:tcPr>
          <w:p w14:paraId="3E7D6D8E" w14:textId="52669738" w:rsidR="00582066" w:rsidRPr="00226F9D" w:rsidRDefault="002F37DA"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11,7%</w:t>
            </w:r>
          </w:p>
        </w:tc>
        <w:tc>
          <w:tcPr>
            <w:tcW w:w="1186" w:type="pct"/>
            <w:gridSpan w:val="2"/>
            <w:shd w:val="clear" w:color="auto" w:fill="FFFFFF"/>
            <w:vAlign w:val="center"/>
          </w:tcPr>
          <w:p w14:paraId="6CE0A897" w14:textId="34F13058" w:rsidR="00582066" w:rsidRPr="00226F9D" w:rsidRDefault="00582066" w:rsidP="00090884">
            <w:pPr>
              <w:spacing w:after="0" w:line="240" w:lineRule="auto"/>
              <w:jc w:val="both"/>
              <w:rPr>
                <w:rFonts w:ascii="Times New Roman" w:eastAsia="Yu Mincho" w:hAnsi="Times New Roman" w:cs="Times New Roman"/>
                <w:color w:val="000000"/>
                <w:kern w:val="0"/>
                <w:sz w:val="20"/>
                <w:szCs w:val="20"/>
                <w:lang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10,9%</w:t>
            </w:r>
          </w:p>
        </w:tc>
      </w:tr>
      <w:tr w:rsidR="00001C5C" w:rsidRPr="00226F9D" w14:paraId="5C6E40F4" w14:textId="77777777" w:rsidTr="007A70FC">
        <w:trPr>
          <w:trHeight w:val="350"/>
          <w:jc w:val="center"/>
        </w:trPr>
        <w:tc>
          <w:tcPr>
            <w:tcW w:w="1110" w:type="pct"/>
            <w:vMerge w:val="restart"/>
            <w:shd w:val="clear" w:color="auto" w:fill="FFC000"/>
            <w:vAlign w:val="center"/>
          </w:tcPr>
          <w:p w14:paraId="6EC5F37A"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Подаци о циљним вредностима</w:t>
            </w:r>
          </w:p>
        </w:tc>
        <w:tc>
          <w:tcPr>
            <w:tcW w:w="787" w:type="pct"/>
            <w:shd w:val="clear" w:color="auto" w:fill="FFFFFF"/>
            <w:vAlign w:val="center"/>
          </w:tcPr>
          <w:p w14:paraId="3B1A7779" w14:textId="6B28E35E"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eastAsia="en-GB"/>
                <w14:ligatures w14:val="none"/>
              </w:rPr>
              <w:t>2026</w:t>
            </w:r>
            <w:r w:rsidR="00244256" w:rsidRPr="00226F9D">
              <w:rPr>
                <w:rFonts w:ascii="Times New Roman" w:eastAsia="Yu Mincho" w:hAnsi="Times New Roman" w:cs="Times New Roman"/>
                <w:color w:val="000000"/>
                <w:kern w:val="0"/>
                <w:sz w:val="20"/>
                <w:szCs w:val="20"/>
                <w:lang w:val="sr-Cyrl-RS" w:eastAsia="en-GB"/>
                <w14:ligatures w14:val="none"/>
              </w:rPr>
              <w:t>.</w:t>
            </w:r>
          </w:p>
        </w:tc>
        <w:tc>
          <w:tcPr>
            <w:tcW w:w="730" w:type="pct"/>
            <w:gridSpan w:val="2"/>
            <w:shd w:val="clear" w:color="auto" w:fill="FFFFFF"/>
            <w:vAlign w:val="center"/>
          </w:tcPr>
          <w:p w14:paraId="016639F2"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w:t>
            </w:r>
            <w:r w:rsidRPr="00226F9D">
              <w:rPr>
                <w:rFonts w:ascii="Times New Roman" w:eastAsia="Yu Mincho" w:hAnsi="Times New Roman" w:cs="Times New Roman"/>
                <w:color w:val="000000"/>
                <w:kern w:val="0"/>
                <w:sz w:val="20"/>
                <w:szCs w:val="20"/>
                <w:lang w:eastAsia="en-GB"/>
                <w14:ligatures w14:val="none"/>
              </w:rPr>
              <w:t>7</w:t>
            </w:r>
            <w:r w:rsidRPr="00226F9D">
              <w:rPr>
                <w:rFonts w:ascii="Times New Roman" w:eastAsia="Yu Mincho" w:hAnsi="Times New Roman" w:cs="Times New Roman"/>
                <w:color w:val="000000"/>
                <w:kern w:val="0"/>
                <w:sz w:val="20"/>
                <w:szCs w:val="20"/>
                <w:lang w:val="sr-Cyrl-RS" w:eastAsia="en-GB"/>
                <w14:ligatures w14:val="none"/>
              </w:rPr>
              <w:t>.</w:t>
            </w:r>
          </w:p>
        </w:tc>
        <w:tc>
          <w:tcPr>
            <w:tcW w:w="1187" w:type="pct"/>
            <w:gridSpan w:val="2"/>
            <w:shd w:val="clear" w:color="auto" w:fill="FFFFFF"/>
            <w:vAlign w:val="center"/>
          </w:tcPr>
          <w:p w14:paraId="49C9BC59"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w:t>
            </w:r>
            <w:r w:rsidRPr="00226F9D">
              <w:rPr>
                <w:rFonts w:ascii="Times New Roman" w:eastAsia="Yu Mincho" w:hAnsi="Times New Roman" w:cs="Times New Roman"/>
                <w:color w:val="000000"/>
                <w:kern w:val="0"/>
                <w:sz w:val="20"/>
                <w:szCs w:val="20"/>
                <w:lang w:eastAsia="en-GB"/>
                <w14:ligatures w14:val="none"/>
              </w:rPr>
              <w:t>8</w:t>
            </w:r>
            <w:r w:rsidRPr="00226F9D">
              <w:rPr>
                <w:rFonts w:ascii="Times New Roman" w:eastAsia="Yu Mincho" w:hAnsi="Times New Roman" w:cs="Times New Roman"/>
                <w:color w:val="000000"/>
                <w:kern w:val="0"/>
                <w:sz w:val="20"/>
                <w:szCs w:val="20"/>
                <w:lang w:val="sr-Cyrl-RS" w:eastAsia="en-GB"/>
                <w14:ligatures w14:val="none"/>
              </w:rPr>
              <w:t>.</w:t>
            </w:r>
          </w:p>
        </w:tc>
        <w:tc>
          <w:tcPr>
            <w:tcW w:w="593" w:type="pct"/>
            <w:shd w:val="clear" w:color="auto" w:fill="FFFFFF"/>
            <w:vAlign w:val="center"/>
          </w:tcPr>
          <w:p w14:paraId="5B4B8E74"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2029.</w:t>
            </w:r>
          </w:p>
        </w:tc>
        <w:tc>
          <w:tcPr>
            <w:tcW w:w="593" w:type="pct"/>
            <w:shd w:val="clear" w:color="auto" w:fill="FFFFFF"/>
            <w:vAlign w:val="center"/>
          </w:tcPr>
          <w:p w14:paraId="7CA4E190"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2030.</w:t>
            </w:r>
          </w:p>
        </w:tc>
      </w:tr>
      <w:tr w:rsidR="00001C5C" w:rsidRPr="00226F9D" w14:paraId="09C5D1B1" w14:textId="77777777" w:rsidTr="007A70FC">
        <w:trPr>
          <w:trHeight w:val="160"/>
          <w:jc w:val="center"/>
        </w:trPr>
        <w:tc>
          <w:tcPr>
            <w:tcW w:w="1110" w:type="pct"/>
            <w:vMerge/>
            <w:vAlign w:val="center"/>
          </w:tcPr>
          <w:p w14:paraId="0CBEC35C"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p>
        </w:tc>
        <w:tc>
          <w:tcPr>
            <w:tcW w:w="787" w:type="pct"/>
            <w:shd w:val="clear" w:color="auto" w:fill="FFFFFF"/>
            <w:vAlign w:val="center"/>
          </w:tcPr>
          <w:p w14:paraId="0D59576C" w14:textId="45FE89CF" w:rsidR="00001C5C" w:rsidRPr="00226F9D" w:rsidRDefault="005068D0"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12,2</w:t>
            </w:r>
            <w:r w:rsidR="00B067E3" w:rsidRPr="00226F9D">
              <w:rPr>
                <w:rFonts w:ascii="Times New Roman" w:eastAsia="Yu Mincho" w:hAnsi="Times New Roman" w:cs="Times New Roman"/>
                <w:color w:val="000000"/>
                <w:kern w:val="0"/>
                <w:sz w:val="20"/>
                <w:szCs w:val="20"/>
                <w:lang w:val="sr-Cyrl-RS" w:eastAsia="en-GB"/>
                <w14:ligatures w14:val="none"/>
              </w:rPr>
              <w:t>%</w:t>
            </w:r>
          </w:p>
        </w:tc>
        <w:tc>
          <w:tcPr>
            <w:tcW w:w="730" w:type="pct"/>
            <w:gridSpan w:val="2"/>
            <w:shd w:val="clear" w:color="auto" w:fill="FFFFFF"/>
            <w:vAlign w:val="center"/>
          </w:tcPr>
          <w:p w14:paraId="377B8A26" w14:textId="12B507F2" w:rsidR="00001C5C" w:rsidRPr="00226F9D" w:rsidRDefault="005068D0"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12,8</w:t>
            </w:r>
            <w:r w:rsidR="00B067E3" w:rsidRPr="00226F9D">
              <w:rPr>
                <w:rFonts w:ascii="Times New Roman" w:eastAsia="Yu Mincho" w:hAnsi="Times New Roman" w:cs="Times New Roman"/>
                <w:color w:val="000000"/>
                <w:kern w:val="0"/>
                <w:sz w:val="20"/>
                <w:szCs w:val="20"/>
                <w:lang w:val="sr-Cyrl-RS" w:eastAsia="en-GB"/>
                <w14:ligatures w14:val="none"/>
              </w:rPr>
              <w:t>%</w:t>
            </w:r>
          </w:p>
        </w:tc>
        <w:tc>
          <w:tcPr>
            <w:tcW w:w="1187" w:type="pct"/>
            <w:gridSpan w:val="2"/>
            <w:shd w:val="clear" w:color="auto" w:fill="FFFFFF"/>
            <w:vAlign w:val="center"/>
          </w:tcPr>
          <w:p w14:paraId="196FAB53" w14:textId="38AE530E" w:rsidR="00001C5C" w:rsidRPr="00226F9D" w:rsidRDefault="005068D0"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13,5</w:t>
            </w:r>
            <w:r w:rsidR="00B067E3" w:rsidRPr="00226F9D">
              <w:rPr>
                <w:rFonts w:ascii="Times New Roman" w:eastAsia="Yu Mincho" w:hAnsi="Times New Roman" w:cs="Times New Roman"/>
                <w:color w:val="000000"/>
                <w:kern w:val="0"/>
                <w:sz w:val="20"/>
                <w:szCs w:val="20"/>
                <w:lang w:val="sr-Cyrl-RS" w:eastAsia="en-GB"/>
                <w14:ligatures w14:val="none"/>
              </w:rPr>
              <w:t>%</w:t>
            </w:r>
          </w:p>
        </w:tc>
        <w:tc>
          <w:tcPr>
            <w:tcW w:w="593" w:type="pct"/>
            <w:shd w:val="clear" w:color="auto" w:fill="FFFFFF"/>
            <w:vAlign w:val="center"/>
          </w:tcPr>
          <w:p w14:paraId="6C0C489F" w14:textId="210E3259" w:rsidR="00001C5C" w:rsidRPr="00226F9D" w:rsidRDefault="005068D0"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14,2</w:t>
            </w:r>
            <w:r w:rsidR="00B067E3" w:rsidRPr="00226F9D">
              <w:rPr>
                <w:rFonts w:ascii="Times New Roman" w:eastAsia="Yu Mincho" w:hAnsi="Times New Roman" w:cs="Times New Roman"/>
                <w:color w:val="000000"/>
                <w:kern w:val="0"/>
                <w:sz w:val="20"/>
                <w:szCs w:val="20"/>
                <w:lang w:val="sr-Cyrl-RS" w:eastAsia="en-GB"/>
                <w14:ligatures w14:val="none"/>
              </w:rPr>
              <w:t>%</w:t>
            </w:r>
          </w:p>
        </w:tc>
        <w:tc>
          <w:tcPr>
            <w:tcW w:w="593" w:type="pct"/>
            <w:shd w:val="clear" w:color="auto" w:fill="FFFFFF"/>
            <w:vAlign w:val="center"/>
          </w:tcPr>
          <w:p w14:paraId="2E4AE1D1" w14:textId="56D413F3" w:rsidR="00001C5C" w:rsidRPr="00226F9D" w:rsidRDefault="005068D0"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15</w:t>
            </w:r>
            <w:r w:rsidR="00B067E3" w:rsidRPr="00226F9D">
              <w:rPr>
                <w:rFonts w:ascii="Times New Roman" w:eastAsia="Yu Mincho" w:hAnsi="Times New Roman" w:cs="Times New Roman"/>
                <w:color w:val="000000"/>
                <w:kern w:val="0"/>
                <w:sz w:val="20"/>
                <w:szCs w:val="20"/>
                <w:lang w:val="sr-Cyrl-RS" w:eastAsia="en-GB"/>
                <w14:ligatures w14:val="none"/>
              </w:rPr>
              <w:t>%</w:t>
            </w:r>
          </w:p>
        </w:tc>
      </w:tr>
      <w:tr w:rsidR="00001C5C" w:rsidRPr="00226F9D" w14:paraId="369F68FA" w14:textId="77777777" w:rsidTr="00BA5DCA">
        <w:trPr>
          <w:trHeight w:val="160"/>
          <w:jc w:val="center"/>
        </w:trPr>
        <w:tc>
          <w:tcPr>
            <w:tcW w:w="1110" w:type="pct"/>
            <w:shd w:val="clear" w:color="auto" w:fill="FFC000"/>
            <w:vAlign w:val="center"/>
          </w:tcPr>
          <w:p w14:paraId="050A20B6"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Процена успешности</w:t>
            </w:r>
          </w:p>
        </w:tc>
        <w:tc>
          <w:tcPr>
            <w:tcW w:w="3890" w:type="pct"/>
            <w:gridSpan w:val="7"/>
            <w:shd w:val="clear" w:color="auto" w:fill="FFFFFF"/>
            <w:vAlign w:val="center"/>
          </w:tcPr>
          <w:p w14:paraId="70959C70"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Прихватљиво је одступање до 1,5% мање у односу на циљане вредности.</w:t>
            </w:r>
          </w:p>
        </w:tc>
      </w:tr>
    </w:tbl>
    <w:p w14:paraId="5CBE05FB" w14:textId="77777777" w:rsidR="00BA5DCA" w:rsidRPr="00226F9D" w:rsidRDefault="00BA5DCA" w:rsidP="00090884">
      <w:pPr>
        <w:spacing w:after="0" w:line="240" w:lineRule="auto"/>
        <w:jc w:val="both"/>
        <w:rPr>
          <w:rFonts w:ascii="Times New Roman" w:eastAsia="Times New Roman" w:hAnsi="Times New Roman" w:cs="Times New Roman"/>
          <w:b/>
          <w:bCs/>
          <w:color w:val="2F5496"/>
          <w:kern w:val="0"/>
          <w:lang w:val="sr-Cyrl-RS" w:eastAsia="en-GB"/>
          <w14:ligatures w14:val="none"/>
        </w:rPr>
      </w:pPr>
    </w:p>
    <w:tbl>
      <w:tblPr>
        <w:tblpPr w:leftFromText="180" w:rightFromText="180" w:horzAnchor="margin" w:tblpXSpec="center" w:tblpY="-100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2"/>
        <w:gridCol w:w="2732"/>
        <w:gridCol w:w="2364"/>
        <w:gridCol w:w="65"/>
        <w:gridCol w:w="2501"/>
        <w:gridCol w:w="1850"/>
        <w:gridCol w:w="2088"/>
      </w:tblGrid>
      <w:tr w:rsidR="00001C5C" w:rsidRPr="00226F9D" w14:paraId="615AB955" w14:textId="77777777" w:rsidTr="00D04668">
        <w:trPr>
          <w:trHeight w:val="420"/>
        </w:trPr>
        <w:tc>
          <w:tcPr>
            <w:tcW w:w="2962" w:type="dxa"/>
            <w:shd w:val="clear" w:color="auto" w:fill="D9D9D9"/>
            <w:vAlign w:val="center"/>
          </w:tcPr>
          <w:p w14:paraId="68470DF5" w14:textId="0BB58B5A"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Latn-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lastRenderedPageBreak/>
              <w:t>Назив показатеља</w:t>
            </w:r>
          </w:p>
        </w:tc>
        <w:tc>
          <w:tcPr>
            <w:tcW w:w="11600" w:type="dxa"/>
            <w:gridSpan w:val="6"/>
            <w:shd w:val="clear" w:color="auto" w:fill="D9D9D9"/>
            <w:vAlign w:val="center"/>
          </w:tcPr>
          <w:p w14:paraId="08EF59F5" w14:textId="435ABD3E" w:rsidR="00001C5C" w:rsidRPr="00226F9D" w:rsidRDefault="00001C5C" w:rsidP="00090884">
            <w:pPr>
              <w:spacing w:after="0" w:line="240" w:lineRule="auto"/>
              <w:jc w:val="both"/>
              <w:rPr>
                <w:rFonts w:ascii="Times New Roman" w:eastAsia="Calibri" w:hAnsi="Times New Roman" w:cs="Times New Roman"/>
                <w:b/>
                <w:iCs/>
                <w:color w:val="000000"/>
                <w:kern w:val="0"/>
                <w:sz w:val="20"/>
                <w:szCs w:val="20"/>
                <w:lang w:val="sr-Cyrl-RS" w:eastAsia="en-GB"/>
                <w14:ligatures w14:val="none"/>
              </w:rPr>
            </w:pPr>
            <w:r w:rsidRPr="00226F9D">
              <w:rPr>
                <w:rFonts w:ascii="Times New Roman" w:eastAsia="Calibri" w:hAnsi="Times New Roman" w:cs="Times New Roman"/>
                <w:b/>
                <w:iCs/>
                <w:color w:val="000000"/>
                <w:kern w:val="0"/>
                <w:sz w:val="20"/>
                <w:szCs w:val="20"/>
                <w:lang w:val="sr-Cyrl-RS" w:eastAsia="en-GB"/>
                <w14:ligatures w14:val="none"/>
              </w:rPr>
              <w:t>Капацитет ЈЛС за примену начела доброг управљања</w:t>
            </w:r>
          </w:p>
        </w:tc>
      </w:tr>
      <w:tr w:rsidR="00001C5C" w:rsidRPr="00226F9D" w14:paraId="2A7A6074" w14:textId="77777777" w:rsidTr="00D04668">
        <w:tc>
          <w:tcPr>
            <w:tcW w:w="2962" w:type="dxa"/>
            <w:shd w:val="clear" w:color="auto" w:fill="FFC000"/>
            <w:vAlign w:val="center"/>
          </w:tcPr>
          <w:p w14:paraId="7084EDF5"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Одговарајући општи, посебни циљ или мера</w:t>
            </w:r>
          </w:p>
        </w:tc>
        <w:tc>
          <w:tcPr>
            <w:tcW w:w="11600" w:type="dxa"/>
            <w:gridSpan w:val="6"/>
            <w:vAlign w:val="center"/>
          </w:tcPr>
          <w:p w14:paraId="36A9C86A" w14:textId="77777777" w:rsidR="00001C5C" w:rsidRPr="00226F9D" w:rsidRDefault="00001C5C"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bCs/>
                <w:iCs/>
                <w:color w:val="000000"/>
                <w:kern w:val="24"/>
                <w:sz w:val="20"/>
                <w:szCs w:val="20"/>
                <w:lang w:val="sr-Cyrl-RS" w:eastAsia="en-GB"/>
                <w14:ligatures w14:val="none"/>
              </w:rPr>
              <w:t>Успостављање система локалне самоуправе који омогућава ефикасно и одрживо остваривање права грађана на локалну самоуправу</w:t>
            </w:r>
          </w:p>
        </w:tc>
      </w:tr>
      <w:tr w:rsidR="00BA7A0D" w:rsidRPr="00226F9D" w14:paraId="43944B2C" w14:textId="77777777" w:rsidTr="00D04668">
        <w:tc>
          <w:tcPr>
            <w:tcW w:w="2962" w:type="dxa"/>
            <w:shd w:val="clear" w:color="auto" w:fill="FFC000"/>
            <w:vAlign w:val="center"/>
          </w:tcPr>
          <w:p w14:paraId="33D302BB"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Тип и ниво показатеља</w:t>
            </w:r>
          </w:p>
        </w:tc>
        <w:tc>
          <w:tcPr>
            <w:tcW w:w="5096" w:type="dxa"/>
            <w:gridSpan w:val="2"/>
            <w:vAlign w:val="center"/>
          </w:tcPr>
          <w:p w14:paraId="411C8970" w14:textId="77777777" w:rsidR="00001C5C" w:rsidRPr="00226F9D" w:rsidRDefault="00001C5C" w:rsidP="00090884">
            <w:pPr>
              <w:spacing w:after="0" w:line="240" w:lineRule="auto"/>
              <w:jc w:val="both"/>
              <w:rPr>
                <w:rFonts w:ascii="Times New Roman" w:eastAsia="Calibri" w:hAnsi="Times New Roman" w:cs="Times New Roman"/>
                <w:bCs/>
                <w:color w:val="000000"/>
                <w:kern w:val="24"/>
                <w:sz w:val="20"/>
                <w:szCs w:val="20"/>
                <w:lang w:val="sr-Cyrl-RS" w:eastAsia="en-GB"/>
                <w14:ligatures w14:val="none"/>
              </w:rPr>
            </w:pPr>
            <w:r w:rsidRPr="00226F9D">
              <w:rPr>
                <w:rFonts w:ascii="Times New Roman" w:eastAsia="Calibri" w:hAnsi="Times New Roman" w:cs="Times New Roman"/>
                <w:bCs/>
                <w:color w:val="000000"/>
                <w:kern w:val="24"/>
                <w:sz w:val="20"/>
                <w:szCs w:val="20"/>
                <w:lang w:val="sr-Cyrl-RS" w:eastAsia="en-GB"/>
                <w14:ligatures w14:val="none"/>
              </w:rPr>
              <w:t>Квалитативни</w:t>
            </w:r>
          </w:p>
        </w:tc>
        <w:tc>
          <w:tcPr>
            <w:tcW w:w="6504" w:type="dxa"/>
            <w:gridSpan w:val="4"/>
            <w:vAlign w:val="center"/>
          </w:tcPr>
          <w:p w14:paraId="7ED16ECB" w14:textId="77777777" w:rsidR="00001C5C" w:rsidRPr="00226F9D" w:rsidRDefault="00001C5C" w:rsidP="00090884">
            <w:pPr>
              <w:spacing w:after="0" w:line="240" w:lineRule="auto"/>
              <w:jc w:val="both"/>
              <w:rPr>
                <w:rFonts w:ascii="Times New Roman" w:eastAsia="Calibri" w:hAnsi="Times New Roman" w:cs="Times New Roman"/>
                <w:bCs/>
                <w:color w:val="000000"/>
                <w:kern w:val="24"/>
                <w:sz w:val="20"/>
                <w:szCs w:val="20"/>
                <w:lang w:val="sr-Cyrl-RS" w:eastAsia="en-GB"/>
                <w14:ligatures w14:val="none"/>
              </w:rPr>
            </w:pPr>
            <w:r w:rsidRPr="00226F9D">
              <w:rPr>
                <w:rFonts w:ascii="Times New Roman" w:eastAsia="Calibri" w:hAnsi="Times New Roman" w:cs="Times New Roman"/>
                <w:bCs/>
                <w:color w:val="000000"/>
                <w:kern w:val="24"/>
                <w:sz w:val="20"/>
                <w:szCs w:val="20"/>
                <w:lang w:val="sr-Cyrl-RS" w:eastAsia="en-GB"/>
                <w14:ligatures w14:val="none"/>
              </w:rPr>
              <w:t>Показатељ на нивоу општег циља</w:t>
            </w:r>
          </w:p>
        </w:tc>
      </w:tr>
      <w:tr w:rsidR="00BA7A0D" w:rsidRPr="00226F9D" w14:paraId="240D9B1D" w14:textId="77777777" w:rsidTr="00D04668">
        <w:trPr>
          <w:trHeight w:val="373"/>
        </w:trPr>
        <w:tc>
          <w:tcPr>
            <w:tcW w:w="2962" w:type="dxa"/>
            <w:shd w:val="clear" w:color="auto" w:fill="FFC000"/>
            <w:vAlign w:val="center"/>
          </w:tcPr>
          <w:p w14:paraId="2B14A057" w14:textId="77777777" w:rsidR="00001C5C" w:rsidRPr="00226F9D" w:rsidRDefault="00001C5C" w:rsidP="00090884">
            <w:pPr>
              <w:spacing w:after="0" w:line="240" w:lineRule="auto"/>
              <w:jc w:val="both"/>
              <w:rPr>
                <w:rFonts w:ascii="Times New Roman" w:eastAsia="Calibri" w:hAnsi="Times New Roman" w:cs="Times New Roman"/>
                <w:b/>
                <w:color w:val="000000"/>
                <w:kern w:val="24"/>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Јединица мере и природа</w:t>
            </w:r>
          </w:p>
        </w:tc>
        <w:tc>
          <w:tcPr>
            <w:tcW w:w="5096" w:type="dxa"/>
            <w:gridSpan w:val="2"/>
            <w:vAlign w:val="center"/>
          </w:tcPr>
          <w:p w14:paraId="5157FCC6"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24"/>
                <w:sz w:val="20"/>
                <w:szCs w:val="20"/>
                <w:lang w:val="sr-Cyrl-RS" w:eastAsia="en-GB"/>
                <w14:ligatures w14:val="none"/>
              </w:rPr>
              <w:t>%</w:t>
            </w:r>
          </w:p>
        </w:tc>
        <w:tc>
          <w:tcPr>
            <w:tcW w:w="6504" w:type="dxa"/>
            <w:gridSpan w:val="4"/>
            <w:vAlign w:val="center"/>
          </w:tcPr>
          <w:p w14:paraId="37892999" w14:textId="77777777" w:rsidR="00001C5C" w:rsidRPr="00226F9D" w:rsidRDefault="00001C5C" w:rsidP="0009088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tr w:rsidR="00001C5C" w:rsidRPr="00226F9D" w14:paraId="6C4D9ADE" w14:textId="77777777" w:rsidTr="00D04668">
        <w:tc>
          <w:tcPr>
            <w:tcW w:w="2962" w:type="dxa"/>
            <w:shd w:val="clear" w:color="auto" w:fill="FFC000"/>
            <w:vAlign w:val="center"/>
          </w:tcPr>
          <w:p w14:paraId="39047AC8" w14:textId="77777777" w:rsidR="00001C5C" w:rsidRPr="00226F9D" w:rsidRDefault="00001C5C" w:rsidP="00090884">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Извор података за праћење показатеља учинка</w:t>
            </w:r>
          </w:p>
        </w:tc>
        <w:tc>
          <w:tcPr>
            <w:tcW w:w="11600" w:type="dxa"/>
            <w:gridSpan w:val="6"/>
            <w:vAlign w:val="center"/>
          </w:tcPr>
          <w:p w14:paraId="7BE71CED" w14:textId="77777777" w:rsidR="00001C5C" w:rsidRPr="00226F9D" w:rsidRDefault="00001C5C"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Подаци из индекса добре управе СКГО</w:t>
            </w:r>
          </w:p>
        </w:tc>
      </w:tr>
      <w:tr w:rsidR="00001C5C" w:rsidRPr="00226F9D" w14:paraId="260B8A83" w14:textId="77777777" w:rsidTr="00D04668">
        <w:tc>
          <w:tcPr>
            <w:tcW w:w="2962" w:type="dxa"/>
            <w:shd w:val="clear" w:color="auto" w:fill="FFC000"/>
            <w:vAlign w:val="center"/>
          </w:tcPr>
          <w:p w14:paraId="783B30B4" w14:textId="77777777" w:rsidR="00001C5C" w:rsidRPr="00226F9D" w:rsidRDefault="00001C5C" w:rsidP="00090884">
            <w:pPr>
              <w:spacing w:after="0" w:line="240" w:lineRule="auto"/>
              <w:jc w:val="both"/>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Назив носиоца прикупљања података</w:t>
            </w:r>
          </w:p>
        </w:tc>
        <w:tc>
          <w:tcPr>
            <w:tcW w:w="11600" w:type="dxa"/>
            <w:gridSpan w:val="6"/>
            <w:shd w:val="clear" w:color="auto" w:fill="FFFFFF"/>
            <w:vAlign w:val="center"/>
          </w:tcPr>
          <w:p w14:paraId="11C8658D" w14:textId="77777777" w:rsidR="00001C5C" w:rsidRPr="00226F9D" w:rsidRDefault="00001C5C" w:rsidP="00090884">
            <w:pPr>
              <w:spacing w:after="0" w:line="240" w:lineRule="auto"/>
              <w:jc w:val="both"/>
              <w:rPr>
                <w:rFonts w:ascii="Times New Roman" w:eastAsia="Calibri" w:hAnsi="Times New Roman" w:cs="Times New Roman"/>
                <w:kern w:val="0"/>
                <w:sz w:val="20"/>
                <w:szCs w:val="20"/>
                <w:lang w:val="sr-Cyrl-RS" w:eastAsia="en-GB"/>
                <w14:ligatures w14:val="none"/>
              </w:rPr>
            </w:pPr>
          </w:p>
          <w:p w14:paraId="4FEC84F3" w14:textId="6C101CD6"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СКГО, Милена Радомировић, </w:t>
            </w:r>
            <w:hyperlink r:id="rId43" w:history="1">
              <w:r w:rsidR="00117497" w:rsidRPr="00226F9D">
                <w:rPr>
                  <w:rStyle w:val="Hyperlink"/>
                  <w:rFonts w:ascii="Times New Roman" w:eastAsia="Yu Mincho" w:hAnsi="Times New Roman" w:cs="Times New Roman"/>
                  <w:kern w:val="0"/>
                  <w:sz w:val="20"/>
                  <w:szCs w:val="20"/>
                  <w:lang w:eastAsia="en-GB"/>
                  <w14:ligatures w14:val="none"/>
                </w:rPr>
                <w:t>milena</w:t>
              </w:r>
              <w:r w:rsidR="00117497" w:rsidRPr="00226F9D">
                <w:rPr>
                  <w:rStyle w:val="Hyperlink"/>
                  <w:rFonts w:ascii="Times New Roman" w:eastAsia="Yu Mincho" w:hAnsi="Times New Roman" w:cs="Times New Roman"/>
                  <w:kern w:val="0"/>
                  <w:sz w:val="20"/>
                  <w:szCs w:val="20"/>
                  <w:lang w:val="sr-Cyrl-RS" w:eastAsia="en-GB"/>
                  <w14:ligatures w14:val="none"/>
                </w:rPr>
                <w:t>.</w:t>
              </w:r>
              <w:r w:rsidR="00117497" w:rsidRPr="00226F9D">
                <w:rPr>
                  <w:rStyle w:val="Hyperlink"/>
                  <w:rFonts w:ascii="Times New Roman" w:eastAsia="Yu Mincho" w:hAnsi="Times New Roman" w:cs="Times New Roman"/>
                  <w:kern w:val="0"/>
                  <w:sz w:val="20"/>
                  <w:szCs w:val="20"/>
                  <w:lang w:eastAsia="en-GB"/>
                  <w14:ligatures w14:val="none"/>
                </w:rPr>
                <w:t>radomirovic</w:t>
              </w:r>
              <w:r w:rsidR="00117497" w:rsidRPr="00226F9D">
                <w:rPr>
                  <w:rStyle w:val="Hyperlink"/>
                  <w:rFonts w:ascii="Times New Roman" w:eastAsia="Yu Mincho" w:hAnsi="Times New Roman" w:cs="Times New Roman"/>
                  <w:kern w:val="0"/>
                  <w:sz w:val="20"/>
                  <w:szCs w:val="20"/>
                  <w:lang w:val="sr-Cyrl-RS" w:eastAsia="en-GB"/>
                  <w14:ligatures w14:val="none"/>
                </w:rPr>
                <w:t>@</w:t>
              </w:r>
              <w:r w:rsidR="00117497" w:rsidRPr="00226F9D">
                <w:rPr>
                  <w:rStyle w:val="Hyperlink"/>
                  <w:rFonts w:ascii="Times New Roman" w:eastAsia="Yu Mincho" w:hAnsi="Times New Roman" w:cs="Times New Roman"/>
                  <w:kern w:val="0"/>
                  <w:sz w:val="20"/>
                  <w:szCs w:val="20"/>
                  <w:lang w:eastAsia="en-GB"/>
                  <w14:ligatures w14:val="none"/>
                </w:rPr>
                <w:t>skgo</w:t>
              </w:r>
              <w:r w:rsidR="00117497" w:rsidRPr="00226F9D">
                <w:rPr>
                  <w:rStyle w:val="Hyperlink"/>
                  <w:rFonts w:ascii="Times New Roman" w:eastAsia="Yu Mincho" w:hAnsi="Times New Roman" w:cs="Times New Roman"/>
                  <w:kern w:val="0"/>
                  <w:sz w:val="20"/>
                  <w:szCs w:val="20"/>
                  <w:lang w:val="sr-Cyrl-RS" w:eastAsia="en-GB"/>
                  <w14:ligatures w14:val="none"/>
                </w:rPr>
                <w:t>.</w:t>
              </w:r>
              <w:r w:rsidR="00117497" w:rsidRPr="00226F9D">
                <w:rPr>
                  <w:rStyle w:val="Hyperlink"/>
                  <w:rFonts w:ascii="Times New Roman" w:eastAsia="Yu Mincho" w:hAnsi="Times New Roman" w:cs="Times New Roman"/>
                  <w:kern w:val="0"/>
                  <w:sz w:val="20"/>
                  <w:szCs w:val="20"/>
                  <w:lang w:eastAsia="en-GB"/>
                  <w14:ligatures w14:val="none"/>
                </w:rPr>
                <w:t>org</w:t>
              </w:r>
            </w:hyperlink>
            <w:r w:rsidR="00117497" w:rsidRPr="00226F9D">
              <w:rPr>
                <w:rFonts w:ascii="Times New Roman" w:eastAsia="Yu Mincho" w:hAnsi="Times New Roman" w:cs="Times New Roman"/>
                <w:kern w:val="0"/>
                <w:sz w:val="20"/>
                <w:szCs w:val="20"/>
                <w:lang w:val="sr-Cyrl-RS" w:eastAsia="en-GB"/>
                <w14:ligatures w14:val="none"/>
              </w:rPr>
              <w:t xml:space="preserve"> </w:t>
            </w:r>
          </w:p>
          <w:p w14:paraId="3FB536FE" w14:textId="77777777" w:rsidR="00001C5C" w:rsidRPr="00226F9D" w:rsidRDefault="00001C5C" w:rsidP="00090884">
            <w:pPr>
              <w:spacing w:after="0" w:line="240" w:lineRule="auto"/>
              <w:jc w:val="both"/>
              <w:rPr>
                <w:rFonts w:ascii="Times New Roman" w:eastAsia="Calibri" w:hAnsi="Times New Roman" w:cs="Times New Roman"/>
                <w:i/>
                <w:iCs/>
                <w:kern w:val="0"/>
                <w:sz w:val="20"/>
                <w:szCs w:val="20"/>
                <w:lang w:val="sr-Cyrl-RS" w:eastAsia="en-GB"/>
                <w14:ligatures w14:val="none"/>
              </w:rPr>
            </w:pPr>
          </w:p>
        </w:tc>
      </w:tr>
      <w:tr w:rsidR="00001C5C" w:rsidRPr="00226F9D" w14:paraId="0C2E92A9" w14:textId="77777777" w:rsidTr="00D04668">
        <w:tc>
          <w:tcPr>
            <w:tcW w:w="2962" w:type="dxa"/>
            <w:shd w:val="clear" w:color="auto" w:fill="FFC000"/>
            <w:vAlign w:val="center"/>
          </w:tcPr>
          <w:p w14:paraId="23CD8E12" w14:textId="77777777" w:rsidR="00001C5C" w:rsidRPr="00226F9D" w:rsidRDefault="00001C5C" w:rsidP="00090884">
            <w:pPr>
              <w:spacing w:after="0" w:line="240" w:lineRule="auto"/>
              <w:jc w:val="both"/>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Учесталост прикупљања података</w:t>
            </w:r>
          </w:p>
        </w:tc>
        <w:tc>
          <w:tcPr>
            <w:tcW w:w="11600" w:type="dxa"/>
            <w:gridSpan w:val="6"/>
            <w:shd w:val="clear" w:color="auto" w:fill="FFFFFF"/>
            <w:vAlign w:val="center"/>
          </w:tcPr>
          <w:p w14:paraId="1FD01126" w14:textId="49012098"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Подаци се прикупљају до 31. децембра почев од 2018. године, и то сваке 2 године на репрезентативном узорку од минимум 30 ЈЛС (20%). Мерења су реализована 2021. године и 2023.</w:t>
            </w:r>
            <w:r w:rsidR="00C35D7D" w:rsidRPr="00226F9D">
              <w:rPr>
                <w:rFonts w:ascii="Times New Roman" w:eastAsia="Yu Mincho" w:hAnsi="Times New Roman" w:cs="Times New Roman"/>
                <w:kern w:val="0"/>
                <w:sz w:val="20"/>
                <w:szCs w:val="20"/>
                <w:lang w:val="sr-Cyrl-RS" w:eastAsia="en-GB"/>
                <w14:ligatures w14:val="none"/>
              </w:rPr>
              <w:t xml:space="preserve"> </w:t>
            </w:r>
            <w:r w:rsidRPr="00226F9D">
              <w:rPr>
                <w:rFonts w:ascii="Times New Roman" w:eastAsia="Yu Mincho" w:hAnsi="Times New Roman" w:cs="Times New Roman"/>
                <w:kern w:val="0"/>
                <w:sz w:val="20"/>
                <w:szCs w:val="20"/>
                <w:lang w:val="sr-Cyrl-RS" w:eastAsia="en-GB"/>
                <w14:ligatures w14:val="none"/>
              </w:rPr>
              <w:t xml:space="preserve">године на узорку од 60 ЈЛС. </w:t>
            </w:r>
          </w:p>
        </w:tc>
      </w:tr>
      <w:tr w:rsidR="00001C5C" w:rsidRPr="00226F9D" w14:paraId="6EEB7C37" w14:textId="77777777" w:rsidTr="00D04668">
        <w:trPr>
          <w:trHeight w:val="530"/>
        </w:trPr>
        <w:tc>
          <w:tcPr>
            <w:tcW w:w="2962" w:type="dxa"/>
            <w:tcBorders>
              <w:top w:val="single" w:sz="4" w:space="0" w:color="auto"/>
              <w:left w:val="single" w:sz="4" w:space="0" w:color="auto"/>
              <w:bottom w:val="single" w:sz="4" w:space="0" w:color="auto"/>
              <w:right w:val="single" w:sz="4" w:space="0" w:color="auto"/>
            </w:tcBorders>
            <w:shd w:val="clear" w:color="auto" w:fill="FFC000"/>
            <w:vAlign w:val="center"/>
          </w:tcPr>
          <w:p w14:paraId="71BD052E" w14:textId="77777777" w:rsidR="00001C5C" w:rsidRPr="00226F9D" w:rsidRDefault="00001C5C" w:rsidP="00090884">
            <w:pPr>
              <w:spacing w:after="0" w:line="240" w:lineRule="auto"/>
              <w:jc w:val="both"/>
              <w:rPr>
                <w:rFonts w:ascii="Times New Roman" w:eastAsia="Calibri" w:hAnsi="Times New Roman" w:cs="Times New Roman"/>
                <w:b/>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Кратак опис показатеља и методологије израчунавања</w:t>
            </w:r>
          </w:p>
          <w:p w14:paraId="7B7CA0DB" w14:textId="77777777" w:rsidR="00001C5C" w:rsidRPr="00226F9D" w:rsidRDefault="00001C5C" w:rsidP="00090884">
            <w:pPr>
              <w:spacing w:after="0" w:line="240" w:lineRule="auto"/>
              <w:jc w:val="both"/>
              <w:rPr>
                <w:rFonts w:ascii="Times New Roman" w:eastAsia="Yu Mincho" w:hAnsi="Times New Roman" w:cs="Times New Roman"/>
                <w:b/>
                <w:bCs/>
                <w:kern w:val="0"/>
                <w:sz w:val="20"/>
                <w:szCs w:val="20"/>
                <w:lang w:val="sr-Cyrl-RS" w:eastAsia="en-GB"/>
                <w14:ligatures w14:val="none"/>
              </w:rPr>
            </w:pPr>
            <w:r w:rsidRPr="00226F9D">
              <w:rPr>
                <w:rFonts w:ascii="Times New Roman" w:eastAsia="Yu Mincho" w:hAnsi="Times New Roman" w:cs="Times New Roman"/>
                <w:b/>
                <w:bCs/>
                <w:kern w:val="0"/>
                <w:sz w:val="20"/>
                <w:szCs w:val="20"/>
                <w:lang w:val="sr-Cyrl-RS" w:eastAsia="en-GB"/>
                <w14:ligatures w14:val="none"/>
              </w:rPr>
              <w:t>(формуле/једначине)</w:t>
            </w:r>
          </w:p>
        </w:tc>
        <w:tc>
          <w:tcPr>
            <w:tcW w:w="1160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733E82B" w14:textId="77777777"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Овај показатељ показује степен просечног капацитета ЈЛС за испуњавање појединачних административних, функционалних и процесних захтева који се пред њих постављају, ради примене начела доброг управљања и уочавања недостатака у тој примени.</w:t>
            </w:r>
          </w:p>
          <w:p w14:paraId="1D5EA825" w14:textId="11B7D145"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Композитни индекс који за сваку појединачну локалну самоуправу показује разлику између 1) тренутног – достигнутог и 2) пожељног – „идеалног” стања добре управе, према унапред одређеним параметрима. Исказује се у процентима у односу на максимални могући скор. Индекс обухвата више од 100 показатеља у пет области добре управе: (1) одговорност; (2) транспарентност и партиципација; (3) равноправност; (4) предвидивост, ефикасност и делотворност локалне самоуправе и (5) антикорупција. Мерења вредности индекса се спроводе на репрезентативном узорку локалних самоуправа.</w:t>
            </w:r>
          </w:p>
          <w:p w14:paraId="536543EB" w14:textId="1AF87C3B"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Индекс служи за самопроцењивање од стране градова и општина, а може се користити и за независну екстерну процену. </w:t>
            </w:r>
            <w:r w:rsidR="00E830CE" w:rsidRPr="00226F9D">
              <w:rPr>
                <w:rFonts w:ascii="Times New Roman" w:eastAsia="Yu Mincho" w:hAnsi="Times New Roman" w:cs="Times New Roman"/>
                <w:kern w:val="0"/>
                <w:sz w:val="20"/>
                <w:szCs w:val="20"/>
                <w:lang w:val="sr-Cyrl-RS" w:eastAsia="en-GB"/>
                <w14:ligatures w14:val="none"/>
              </w:rPr>
              <w:t>С обзиром на карактер и функцију овог индекса, његова садржина прати еволуцију система јавне управе и усклађује се са њом како би овај алат могао да прати капацитет ЛС у складу са актуелним захтевима из јавних политика и прописа и са најбољом праксом. У складу са тим током 2025. године индекс је значајно унапређен. Стога није могуће у потпуности упоредити претходно утврђене вредности из година пре 2025. године са овом и наредних пет</w:t>
            </w:r>
            <w:r w:rsidR="009D6CE7">
              <w:rPr>
                <w:rFonts w:ascii="Times New Roman" w:eastAsia="Yu Mincho" w:hAnsi="Times New Roman" w:cs="Times New Roman"/>
                <w:kern w:val="0"/>
                <w:sz w:val="20"/>
                <w:szCs w:val="20"/>
                <w:lang w:val="sr-Cyrl-RS" w:eastAsia="en-GB"/>
                <w14:ligatures w14:val="none"/>
              </w:rPr>
              <w:t xml:space="preserve"> година (иако су мерења вршена у</w:t>
            </w:r>
            <w:r w:rsidR="00E830CE" w:rsidRPr="00226F9D">
              <w:rPr>
                <w:rFonts w:ascii="Times New Roman" w:eastAsia="Yu Mincho" w:hAnsi="Times New Roman" w:cs="Times New Roman"/>
                <w:kern w:val="0"/>
                <w:sz w:val="20"/>
                <w:szCs w:val="20"/>
                <w:lang w:val="sr-Cyrl-RS" w:eastAsia="en-GB"/>
                <w14:ligatures w14:val="none"/>
              </w:rPr>
              <w:t xml:space="preserve"> више наврата пре 2025. године). </w:t>
            </w:r>
          </w:p>
        </w:tc>
      </w:tr>
      <w:tr w:rsidR="00BA7A0D" w:rsidRPr="00226F9D" w14:paraId="6F392632" w14:textId="77777777" w:rsidTr="00D04668">
        <w:trPr>
          <w:trHeight w:val="265"/>
        </w:trPr>
        <w:tc>
          <w:tcPr>
            <w:tcW w:w="2962" w:type="dxa"/>
            <w:vMerge w:val="restart"/>
            <w:shd w:val="clear" w:color="auto" w:fill="FFC000"/>
            <w:vAlign w:val="center"/>
          </w:tcPr>
          <w:p w14:paraId="5B092EC2" w14:textId="77777777" w:rsidR="00001C5C" w:rsidRPr="00226F9D" w:rsidRDefault="00001C5C" w:rsidP="00090884">
            <w:pPr>
              <w:spacing w:after="0" w:line="240" w:lineRule="auto"/>
              <w:jc w:val="both"/>
              <w:rPr>
                <w:rFonts w:ascii="Times New Roman" w:eastAsia="Yu Mincho" w:hAnsi="Times New Roman" w:cs="Times New Roman"/>
                <w:b/>
                <w:bCs/>
                <w:kern w:val="0"/>
                <w:sz w:val="20"/>
                <w:szCs w:val="20"/>
                <w:lang w:val="sr-Cyrl-RS" w:eastAsia="en-GB"/>
                <w14:ligatures w14:val="none"/>
              </w:rPr>
            </w:pPr>
            <w:r w:rsidRPr="00226F9D">
              <w:rPr>
                <w:rFonts w:ascii="Times New Roman" w:eastAsia="Yu Mincho" w:hAnsi="Times New Roman" w:cs="Times New Roman"/>
                <w:b/>
                <w:bCs/>
                <w:kern w:val="0"/>
                <w:sz w:val="20"/>
                <w:szCs w:val="20"/>
                <w:lang w:val="sr-Cyrl-RS" w:eastAsia="en-GB"/>
                <w14:ligatures w14:val="none"/>
              </w:rPr>
              <w:t>Подаци о полазној вредности и години кад је измерена, као и о тренду у прошлости</w:t>
            </w:r>
          </w:p>
        </w:tc>
        <w:tc>
          <w:tcPr>
            <w:tcW w:w="7662" w:type="dxa"/>
            <w:gridSpan w:val="4"/>
            <w:tcBorders>
              <w:bottom w:val="single" w:sz="4" w:space="0" w:color="auto"/>
            </w:tcBorders>
            <w:shd w:val="clear" w:color="auto" w:fill="FFFFFF"/>
            <w:vAlign w:val="center"/>
          </w:tcPr>
          <w:p w14:paraId="0A53AE28" w14:textId="77777777" w:rsidR="00001C5C" w:rsidRPr="00226F9D" w:rsidRDefault="00001C5C"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Тренд у прошлости</w:t>
            </w:r>
          </w:p>
        </w:tc>
        <w:tc>
          <w:tcPr>
            <w:tcW w:w="3938" w:type="dxa"/>
            <w:gridSpan w:val="2"/>
            <w:shd w:val="clear" w:color="auto" w:fill="FFFFFF"/>
            <w:vAlign w:val="center"/>
          </w:tcPr>
          <w:p w14:paraId="474CFAAA" w14:textId="77777777" w:rsidR="00001C5C" w:rsidRPr="00226F9D" w:rsidRDefault="00001C5C"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Полазна вредност</w:t>
            </w:r>
          </w:p>
        </w:tc>
      </w:tr>
      <w:tr w:rsidR="003F4ABA" w:rsidRPr="00226F9D" w14:paraId="54AAC41B" w14:textId="77777777" w:rsidTr="00D04668">
        <w:trPr>
          <w:trHeight w:val="137"/>
        </w:trPr>
        <w:tc>
          <w:tcPr>
            <w:tcW w:w="2962" w:type="dxa"/>
            <w:vMerge/>
            <w:vAlign w:val="center"/>
          </w:tcPr>
          <w:p w14:paraId="7E7B2F37" w14:textId="77777777" w:rsidR="00001C5C" w:rsidRPr="00226F9D" w:rsidRDefault="00001C5C" w:rsidP="00090884">
            <w:pPr>
              <w:spacing w:after="0" w:line="240" w:lineRule="auto"/>
              <w:jc w:val="both"/>
              <w:rPr>
                <w:rFonts w:ascii="Times New Roman" w:eastAsia="Calibri" w:hAnsi="Times New Roman" w:cs="Times New Roman"/>
                <w:b/>
                <w:bCs/>
                <w:kern w:val="0"/>
                <w:sz w:val="20"/>
                <w:szCs w:val="20"/>
                <w:lang w:val="sr-Cyrl-RS" w:eastAsia="en-GB"/>
                <w14:ligatures w14:val="none"/>
              </w:rPr>
            </w:pPr>
          </w:p>
        </w:tc>
        <w:tc>
          <w:tcPr>
            <w:tcW w:w="2732" w:type="dxa"/>
            <w:tcBorders>
              <w:top w:val="single" w:sz="4" w:space="0" w:color="auto"/>
              <w:left w:val="single" w:sz="4" w:space="0" w:color="auto"/>
              <w:bottom w:val="single" w:sz="4" w:space="0" w:color="auto"/>
              <w:right w:val="single" w:sz="4" w:space="0" w:color="auto"/>
            </w:tcBorders>
            <w:shd w:val="clear" w:color="auto" w:fill="FFFFFF"/>
            <w:vAlign w:val="center"/>
          </w:tcPr>
          <w:p w14:paraId="56CF5647" w14:textId="65C90099" w:rsidR="00001C5C" w:rsidRPr="00226F9D" w:rsidRDefault="00001C5C" w:rsidP="00090884">
            <w:pPr>
              <w:spacing w:after="0" w:line="240" w:lineRule="auto"/>
              <w:jc w:val="both"/>
              <w:rPr>
                <w:rFonts w:ascii="Times New Roman" w:eastAsia="Yu Mincho" w:hAnsi="Times New Roman" w:cs="Times New Roman"/>
                <w:kern w:val="0"/>
                <w:sz w:val="20"/>
                <w:szCs w:val="20"/>
                <w:lang w:eastAsia="en-GB"/>
                <w14:ligatures w14:val="none"/>
              </w:rPr>
            </w:pPr>
            <w:r w:rsidRPr="00226F9D">
              <w:rPr>
                <w:rFonts w:ascii="Times New Roman" w:eastAsia="Yu Mincho" w:hAnsi="Times New Roman" w:cs="Times New Roman"/>
                <w:kern w:val="0"/>
                <w:sz w:val="20"/>
                <w:szCs w:val="20"/>
                <w:lang w:eastAsia="en-GB"/>
                <w14:ligatures w14:val="none"/>
              </w:rPr>
              <w:t>20</w:t>
            </w:r>
            <w:r w:rsidR="0090262D" w:rsidRPr="00226F9D">
              <w:rPr>
                <w:rFonts w:ascii="Times New Roman" w:eastAsia="Yu Mincho" w:hAnsi="Times New Roman" w:cs="Times New Roman"/>
                <w:kern w:val="0"/>
                <w:sz w:val="20"/>
                <w:szCs w:val="20"/>
                <w:lang w:val="sr-Cyrl-RS" w:eastAsia="en-GB"/>
                <w14:ligatures w14:val="none"/>
              </w:rPr>
              <w:t>18</w:t>
            </w:r>
            <w:r w:rsidR="00244256" w:rsidRPr="00226F9D">
              <w:rPr>
                <w:rFonts w:ascii="Times New Roman" w:eastAsia="Yu Mincho" w:hAnsi="Times New Roman" w:cs="Times New Roman"/>
                <w:kern w:val="0"/>
                <w:sz w:val="20"/>
                <w:szCs w:val="20"/>
                <w:lang w:val="sr-Cyrl-RS" w:eastAsia="en-GB"/>
                <w14:ligatures w14:val="none"/>
              </w:rPr>
              <w:t>.</w:t>
            </w:r>
          </w:p>
        </w:tc>
        <w:tc>
          <w:tcPr>
            <w:tcW w:w="49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BCFE78" w14:textId="77777777" w:rsidR="00D04668" w:rsidRPr="00226F9D" w:rsidRDefault="00D04668"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w:t>
            </w:r>
            <w:r w:rsidRPr="00226F9D">
              <w:rPr>
                <w:rFonts w:ascii="Times New Roman" w:eastAsia="Yu Mincho" w:hAnsi="Times New Roman" w:cs="Times New Roman"/>
                <w:kern w:val="0"/>
                <w:sz w:val="20"/>
                <w:szCs w:val="20"/>
                <w:lang w:val="sr-Cyrl-RS" w:eastAsia="en-GB"/>
                <w14:ligatures w14:val="none"/>
              </w:rPr>
              <w:t>1.</w:t>
            </w:r>
          </w:p>
          <w:p w14:paraId="5552FE36" w14:textId="61EB6EA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p>
        </w:tc>
        <w:tc>
          <w:tcPr>
            <w:tcW w:w="3938" w:type="dxa"/>
            <w:gridSpan w:val="2"/>
            <w:tcBorders>
              <w:left w:val="single" w:sz="4" w:space="0" w:color="auto"/>
            </w:tcBorders>
            <w:shd w:val="clear" w:color="auto" w:fill="FFFFFF"/>
            <w:vAlign w:val="center"/>
          </w:tcPr>
          <w:p w14:paraId="6BEF4158" w14:textId="2000EC9D" w:rsidR="00001C5C" w:rsidRPr="00226F9D" w:rsidRDefault="00D04668"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2023.</w:t>
            </w:r>
          </w:p>
        </w:tc>
      </w:tr>
      <w:tr w:rsidR="003F4ABA" w:rsidRPr="00226F9D" w14:paraId="430E84AB" w14:textId="77777777">
        <w:trPr>
          <w:trHeight w:val="410"/>
        </w:trPr>
        <w:tc>
          <w:tcPr>
            <w:tcW w:w="2962" w:type="dxa"/>
            <w:vMerge/>
            <w:vAlign w:val="center"/>
          </w:tcPr>
          <w:p w14:paraId="36321275" w14:textId="77777777" w:rsidR="00001C5C" w:rsidRPr="00226F9D" w:rsidRDefault="00001C5C" w:rsidP="00090884">
            <w:pPr>
              <w:spacing w:after="0" w:line="240" w:lineRule="auto"/>
              <w:jc w:val="both"/>
              <w:rPr>
                <w:rFonts w:ascii="Times New Roman" w:eastAsia="Calibri" w:hAnsi="Times New Roman" w:cs="Times New Roman"/>
                <w:b/>
                <w:bCs/>
                <w:kern w:val="0"/>
                <w:sz w:val="20"/>
                <w:szCs w:val="20"/>
                <w:lang w:val="sr-Cyrl-RS" w:eastAsia="en-GB"/>
                <w14:ligatures w14:val="none"/>
              </w:rPr>
            </w:pPr>
          </w:p>
        </w:tc>
        <w:tc>
          <w:tcPr>
            <w:tcW w:w="2732" w:type="dxa"/>
            <w:tcBorders>
              <w:top w:val="single" w:sz="4" w:space="0" w:color="auto"/>
            </w:tcBorders>
            <w:shd w:val="clear" w:color="auto" w:fill="FFFFFF"/>
            <w:vAlign w:val="center"/>
          </w:tcPr>
          <w:p w14:paraId="39FAD364" w14:textId="21729195" w:rsidR="00001C5C" w:rsidRPr="00226F9D" w:rsidRDefault="00465708"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39%</w:t>
            </w:r>
          </w:p>
        </w:tc>
        <w:tc>
          <w:tcPr>
            <w:tcW w:w="4930" w:type="dxa"/>
            <w:gridSpan w:val="3"/>
            <w:tcBorders>
              <w:top w:val="single" w:sz="4" w:space="0" w:color="auto"/>
            </w:tcBorders>
            <w:shd w:val="clear" w:color="auto" w:fill="FFFFFF"/>
            <w:vAlign w:val="center"/>
          </w:tcPr>
          <w:p w14:paraId="46A071D9" w14:textId="77777777" w:rsidR="00D04668" w:rsidRPr="00226F9D" w:rsidRDefault="00D04668"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47,4%</w:t>
            </w:r>
          </w:p>
          <w:p w14:paraId="38655861" w14:textId="5E8204BF" w:rsidR="00001C5C" w:rsidRPr="00226F9D" w:rsidRDefault="00001C5C" w:rsidP="00090884">
            <w:pPr>
              <w:spacing w:after="0" w:line="240" w:lineRule="auto"/>
              <w:jc w:val="both"/>
              <w:rPr>
                <w:rFonts w:ascii="Times New Roman" w:eastAsia="Calibri" w:hAnsi="Times New Roman" w:cs="Times New Roman"/>
                <w:iCs/>
                <w:kern w:val="0"/>
                <w:sz w:val="20"/>
                <w:szCs w:val="20"/>
                <w:lang w:val="sr-Cyrl-RS" w:eastAsia="en-GB"/>
                <w14:ligatures w14:val="none"/>
              </w:rPr>
            </w:pPr>
          </w:p>
        </w:tc>
        <w:tc>
          <w:tcPr>
            <w:tcW w:w="3938" w:type="dxa"/>
            <w:gridSpan w:val="2"/>
            <w:shd w:val="clear" w:color="auto" w:fill="FFFFFF"/>
            <w:vAlign w:val="center"/>
          </w:tcPr>
          <w:p w14:paraId="22FC45CD" w14:textId="3CFCF8B1" w:rsidR="00001C5C" w:rsidRPr="00226F9D" w:rsidRDefault="00D04668" w:rsidP="00090884">
            <w:pPr>
              <w:spacing w:after="0" w:line="240" w:lineRule="auto"/>
              <w:jc w:val="both"/>
              <w:rPr>
                <w:rFonts w:ascii="Times New Roman" w:eastAsia="Calibri" w:hAnsi="Times New Roman" w:cs="Times New Roman"/>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52,9%</w:t>
            </w:r>
          </w:p>
        </w:tc>
      </w:tr>
      <w:tr w:rsidR="003F4ABA" w:rsidRPr="00226F9D" w14:paraId="2381E44C" w14:textId="77777777" w:rsidTr="00D04668">
        <w:trPr>
          <w:trHeight w:val="287"/>
        </w:trPr>
        <w:tc>
          <w:tcPr>
            <w:tcW w:w="2962" w:type="dxa"/>
            <w:vMerge w:val="restart"/>
            <w:shd w:val="clear" w:color="auto" w:fill="FFC000"/>
            <w:vAlign w:val="center"/>
          </w:tcPr>
          <w:p w14:paraId="1F045AA2" w14:textId="77777777" w:rsidR="00001C5C" w:rsidRPr="00226F9D" w:rsidRDefault="00001C5C" w:rsidP="00090884">
            <w:pPr>
              <w:spacing w:after="0" w:line="240" w:lineRule="auto"/>
              <w:jc w:val="both"/>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Подаци о циљним вредностима</w:t>
            </w:r>
          </w:p>
        </w:tc>
        <w:tc>
          <w:tcPr>
            <w:tcW w:w="2732" w:type="dxa"/>
            <w:shd w:val="clear" w:color="auto" w:fill="FFFFFF"/>
            <w:vAlign w:val="center"/>
          </w:tcPr>
          <w:p w14:paraId="0515A969" w14:textId="7F3C1D45"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eastAsia="en-GB"/>
                <w14:ligatures w14:val="none"/>
              </w:rPr>
              <w:t>2026</w:t>
            </w:r>
            <w:r w:rsidR="00970F02" w:rsidRPr="00226F9D">
              <w:rPr>
                <w:rFonts w:ascii="Times New Roman" w:eastAsia="Yu Mincho" w:hAnsi="Times New Roman" w:cs="Times New Roman"/>
                <w:kern w:val="0"/>
                <w:sz w:val="20"/>
                <w:szCs w:val="20"/>
                <w:lang w:val="sr-Cyrl-RS" w:eastAsia="en-GB"/>
                <w14:ligatures w14:val="none"/>
              </w:rPr>
              <w:t>.</w:t>
            </w:r>
          </w:p>
        </w:tc>
        <w:tc>
          <w:tcPr>
            <w:tcW w:w="2429" w:type="dxa"/>
            <w:gridSpan w:val="2"/>
            <w:shd w:val="clear" w:color="auto" w:fill="FFFFFF"/>
            <w:vAlign w:val="center"/>
          </w:tcPr>
          <w:p w14:paraId="2B10C93C"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eastAsia="en-GB"/>
                <w14:ligatures w14:val="none"/>
              </w:rPr>
              <w:t>7</w:t>
            </w:r>
            <w:r w:rsidRPr="00226F9D">
              <w:rPr>
                <w:rFonts w:ascii="Times New Roman" w:eastAsia="Yu Mincho" w:hAnsi="Times New Roman" w:cs="Times New Roman"/>
                <w:kern w:val="0"/>
                <w:sz w:val="20"/>
                <w:szCs w:val="20"/>
                <w:lang w:val="sr-Cyrl-RS" w:eastAsia="en-GB"/>
                <w14:ligatures w14:val="none"/>
              </w:rPr>
              <w:t>.</w:t>
            </w:r>
          </w:p>
        </w:tc>
        <w:tc>
          <w:tcPr>
            <w:tcW w:w="2501" w:type="dxa"/>
            <w:shd w:val="clear" w:color="auto" w:fill="FFFFFF"/>
            <w:vAlign w:val="center"/>
          </w:tcPr>
          <w:p w14:paraId="115AFBE3" w14:textId="2A04C81C"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eastAsia="en-GB"/>
                <w14:ligatures w14:val="none"/>
              </w:rPr>
              <w:t>8</w:t>
            </w:r>
            <w:r w:rsidRPr="00226F9D">
              <w:rPr>
                <w:rFonts w:ascii="Times New Roman" w:eastAsia="Yu Mincho" w:hAnsi="Times New Roman" w:cs="Times New Roman"/>
                <w:kern w:val="0"/>
                <w:sz w:val="20"/>
                <w:szCs w:val="20"/>
                <w:lang w:val="sr-Cyrl-RS" w:eastAsia="en-GB"/>
                <w14:ligatures w14:val="none"/>
              </w:rPr>
              <w:t>.</w:t>
            </w:r>
          </w:p>
        </w:tc>
        <w:tc>
          <w:tcPr>
            <w:tcW w:w="1850" w:type="dxa"/>
            <w:shd w:val="clear" w:color="auto" w:fill="FFFFFF"/>
            <w:vAlign w:val="center"/>
          </w:tcPr>
          <w:p w14:paraId="6A7DFD6B"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val="sr-Latn-RS" w:eastAsia="en-GB"/>
                <w14:ligatures w14:val="none"/>
              </w:rPr>
              <w:t>29</w:t>
            </w:r>
            <w:r w:rsidRPr="00226F9D">
              <w:rPr>
                <w:rFonts w:ascii="Times New Roman" w:eastAsia="Yu Mincho" w:hAnsi="Times New Roman" w:cs="Times New Roman"/>
                <w:kern w:val="0"/>
                <w:sz w:val="20"/>
                <w:szCs w:val="20"/>
                <w:lang w:val="sr-Cyrl-RS" w:eastAsia="en-GB"/>
                <w14:ligatures w14:val="none"/>
              </w:rPr>
              <w:t>.</w:t>
            </w:r>
          </w:p>
        </w:tc>
        <w:tc>
          <w:tcPr>
            <w:tcW w:w="2088" w:type="dxa"/>
            <w:shd w:val="clear" w:color="auto" w:fill="FFFFFF"/>
            <w:vAlign w:val="center"/>
          </w:tcPr>
          <w:p w14:paraId="7E6FD66C"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Latn-RS" w:eastAsia="en-GB"/>
                <w14:ligatures w14:val="none"/>
              </w:rPr>
            </w:pPr>
            <w:r w:rsidRPr="00226F9D">
              <w:rPr>
                <w:rFonts w:ascii="Times New Roman" w:eastAsia="Yu Mincho" w:hAnsi="Times New Roman" w:cs="Times New Roman"/>
                <w:kern w:val="0"/>
                <w:sz w:val="20"/>
                <w:szCs w:val="20"/>
                <w:lang w:val="sr-Latn-RS" w:eastAsia="en-GB"/>
                <w14:ligatures w14:val="none"/>
              </w:rPr>
              <w:t>2030.</w:t>
            </w:r>
          </w:p>
        </w:tc>
      </w:tr>
      <w:tr w:rsidR="003F4ABA" w:rsidRPr="00226F9D" w14:paraId="3CC6DF68" w14:textId="77777777" w:rsidTr="00D04668">
        <w:trPr>
          <w:trHeight w:val="160"/>
        </w:trPr>
        <w:tc>
          <w:tcPr>
            <w:tcW w:w="2962" w:type="dxa"/>
            <w:vMerge/>
            <w:vAlign w:val="center"/>
          </w:tcPr>
          <w:p w14:paraId="49200336" w14:textId="77777777" w:rsidR="00001C5C" w:rsidRPr="00226F9D" w:rsidRDefault="00001C5C" w:rsidP="00090884">
            <w:pPr>
              <w:spacing w:after="0" w:line="240" w:lineRule="auto"/>
              <w:jc w:val="both"/>
              <w:rPr>
                <w:rFonts w:ascii="Times New Roman" w:eastAsia="Calibri" w:hAnsi="Times New Roman" w:cs="Times New Roman"/>
                <w:b/>
                <w:bCs/>
                <w:kern w:val="0"/>
                <w:sz w:val="20"/>
                <w:szCs w:val="20"/>
                <w:lang w:val="sr-Cyrl-RS" w:eastAsia="en-GB"/>
                <w14:ligatures w14:val="none"/>
              </w:rPr>
            </w:pPr>
          </w:p>
        </w:tc>
        <w:tc>
          <w:tcPr>
            <w:tcW w:w="2732" w:type="dxa"/>
            <w:shd w:val="clear" w:color="auto" w:fill="FFFFFF"/>
            <w:vAlign w:val="center"/>
          </w:tcPr>
          <w:p w14:paraId="6C281305" w14:textId="77777777" w:rsidR="00001C5C" w:rsidRPr="00226F9D" w:rsidRDefault="00001C5C"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w:t>
            </w:r>
          </w:p>
        </w:tc>
        <w:tc>
          <w:tcPr>
            <w:tcW w:w="2429" w:type="dxa"/>
            <w:gridSpan w:val="2"/>
            <w:shd w:val="clear" w:color="auto" w:fill="FFFFFF"/>
            <w:vAlign w:val="center"/>
          </w:tcPr>
          <w:p w14:paraId="586E8FF1" w14:textId="3E9B0FC8" w:rsidR="00001C5C" w:rsidRPr="00226F9D" w:rsidRDefault="00F95C82"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w:t>
            </w:r>
          </w:p>
        </w:tc>
        <w:tc>
          <w:tcPr>
            <w:tcW w:w="2501" w:type="dxa"/>
            <w:shd w:val="clear" w:color="auto" w:fill="FFFFFF"/>
            <w:vAlign w:val="center"/>
          </w:tcPr>
          <w:p w14:paraId="2494E466" w14:textId="28CF9CD1" w:rsidR="00001C5C" w:rsidRPr="00226F9D" w:rsidRDefault="00D04668"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57,75%</w:t>
            </w:r>
          </w:p>
        </w:tc>
        <w:tc>
          <w:tcPr>
            <w:tcW w:w="1850" w:type="dxa"/>
            <w:shd w:val="clear" w:color="auto" w:fill="FFFFFF"/>
            <w:vAlign w:val="center"/>
          </w:tcPr>
          <w:p w14:paraId="7F0ADA58" w14:textId="284FC370" w:rsidR="00001C5C" w:rsidRPr="00226F9D" w:rsidRDefault="00F95C82"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w:t>
            </w:r>
          </w:p>
        </w:tc>
        <w:tc>
          <w:tcPr>
            <w:tcW w:w="2088" w:type="dxa"/>
            <w:shd w:val="clear" w:color="auto" w:fill="FFFFFF"/>
            <w:vAlign w:val="center"/>
          </w:tcPr>
          <w:p w14:paraId="5E675223" w14:textId="0DC29336" w:rsidR="00001C5C" w:rsidRPr="00226F9D" w:rsidRDefault="00D04668"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60,5%</w:t>
            </w:r>
          </w:p>
        </w:tc>
      </w:tr>
      <w:tr w:rsidR="00001C5C" w:rsidRPr="00226F9D" w14:paraId="3F936FDC" w14:textId="77777777" w:rsidTr="00D04668">
        <w:trPr>
          <w:trHeight w:val="160"/>
        </w:trPr>
        <w:tc>
          <w:tcPr>
            <w:tcW w:w="2962" w:type="dxa"/>
            <w:shd w:val="clear" w:color="auto" w:fill="FFC000"/>
            <w:vAlign w:val="center"/>
          </w:tcPr>
          <w:p w14:paraId="347578B1" w14:textId="77777777" w:rsidR="00001C5C" w:rsidRPr="00226F9D" w:rsidRDefault="00001C5C" w:rsidP="00090884">
            <w:pPr>
              <w:spacing w:after="0" w:line="240" w:lineRule="auto"/>
              <w:jc w:val="both"/>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Процена успешности</w:t>
            </w:r>
          </w:p>
        </w:tc>
        <w:tc>
          <w:tcPr>
            <w:tcW w:w="11600" w:type="dxa"/>
            <w:gridSpan w:val="6"/>
            <w:shd w:val="clear" w:color="auto" w:fill="FFFFFF"/>
            <w:vAlign w:val="center"/>
          </w:tcPr>
          <w:p w14:paraId="19A3E4F6"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Прихватљиво је одступање до 5% мање у односу на циљане вредности.</w:t>
            </w:r>
          </w:p>
        </w:tc>
      </w:tr>
    </w:tbl>
    <w:p w14:paraId="16371122" w14:textId="77777777" w:rsidR="00001C5C" w:rsidRPr="00226F9D" w:rsidRDefault="00001C5C" w:rsidP="00090884">
      <w:pPr>
        <w:spacing w:after="0" w:line="240" w:lineRule="auto"/>
        <w:jc w:val="both"/>
        <w:rPr>
          <w:rFonts w:ascii="Times New Roman" w:eastAsia="Times New Roman" w:hAnsi="Times New Roman" w:cs="Times New Roman"/>
          <w:b/>
          <w:bCs/>
          <w:color w:val="2F5496"/>
          <w:kern w:val="0"/>
          <w:lang w:val="sr-Cyrl-RS" w:eastAsia="en-GB"/>
          <w14:ligatures w14:val="none"/>
        </w:rPr>
      </w:pPr>
    </w:p>
    <w:p w14:paraId="59990065" w14:textId="77777777" w:rsidR="00001C5C" w:rsidRPr="00226F9D" w:rsidRDefault="00001C5C" w:rsidP="00090884">
      <w:pPr>
        <w:spacing w:after="0" w:line="240" w:lineRule="auto"/>
        <w:jc w:val="both"/>
        <w:rPr>
          <w:rFonts w:ascii="Times New Roman" w:eastAsia="Times New Roman" w:hAnsi="Times New Roman" w:cs="Times New Roman"/>
          <w:b/>
          <w:bCs/>
          <w:color w:val="2F5496"/>
          <w:kern w:val="0"/>
          <w:lang w:val="sr-Cyrl-RS" w:eastAsia="en-GB"/>
          <w14:ligatures w14:val="none"/>
        </w:rPr>
      </w:pPr>
    </w:p>
    <w:p w14:paraId="25E8962A" w14:textId="77777777" w:rsidR="009225F0" w:rsidRPr="00226F9D" w:rsidRDefault="009225F0" w:rsidP="00090884">
      <w:pPr>
        <w:spacing w:after="0" w:line="240" w:lineRule="auto"/>
        <w:jc w:val="both"/>
        <w:rPr>
          <w:rFonts w:ascii="Times New Roman" w:eastAsia="Times New Roman" w:hAnsi="Times New Roman" w:cs="Times New Roman"/>
          <w:b/>
          <w:color w:val="2F5496"/>
          <w:kern w:val="0"/>
          <w:lang w:val="sr-Latn-RS" w:eastAsia="en-GB"/>
          <w14:ligatures w14:val="none"/>
        </w:rPr>
      </w:pPr>
    </w:p>
    <w:p w14:paraId="05BD227A" w14:textId="77777777" w:rsidR="007F297D" w:rsidRPr="00226F9D" w:rsidRDefault="007F297D" w:rsidP="00090884">
      <w:pPr>
        <w:spacing w:after="0" w:line="240" w:lineRule="auto"/>
        <w:jc w:val="both"/>
        <w:rPr>
          <w:rFonts w:ascii="Times New Roman" w:eastAsia="Times New Roman" w:hAnsi="Times New Roman" w:cs="Times New Roman"/>
          <w:b/>
          <w:bCs/>
          <w:color w:val="2F5496"/>
          <w:kern w:val="0"/>
          <w:lang w:val="sr-Latn-RS" w:eastAsia="en-GB"/>
          <w14:ligatures w14:val="none"/>
        </w:rPr>
      </w:pPr>
    </w:p>
    <w:p w14:paraId="72B10FBC" w14:textId="493783F9" w:rsidR="007F297D" w:rsidRDefault="007F297D" w:rsidP="00090884">
      <w:pPr>
        <w:spacing w:after="0" w:line="240" w:lineRule="auto"/>
        <w:jc w:val="both"/>
        <w:rPr>
          <w:rFonts w:ascii="Times New Roman" w:eastAsia="Times New Roman" w:hAnsi="Times New Roman" w:cs="Times New Roman"/>
          <w:b/>
          <w:bCs/>
          <w:color w:val="2F5496"/>
          <w:kern w:val="0"/>
          <w:lang w:val="sr-Latn-RS" w:eastAsia="en-GB"/>
          <w14:ligatures w14:val="none"/>
        </w:rPr>
      </w:pPr>
    </w:p>
    <w:p w14:paraId="71CED5C0" w14:textId="58F7FEB1" w:rsidR="00226F9D" w:rsidRDefault="00226F9D" w:rsidP="00090884">
      <w:pPr>
        <w:spacing w:after="0" w:line="240" w:lineRule="auto"/>
        <w:jc w:val="both"/>
        <w:rPr>
          <w:rFonts w:ascii="Times New Roman" w:eastAsia="Times New Roman" w:hAnsi="Times New Roman" w:cs="Times New Roman"/>
          <w:b/>
          <w:bCs/>
          <w:color w:val="2F5496"/>
          <w:kern w:val="0"/>
          <w:lang w:val="sr-Latn-RS" w:eastAsia="en-GB"/>
          <w14:ligatures w14:val="none"/>
        </w:rPr>
      </w:pPr>
    </w:p>
    <w:p w14:paraId="3CF2A025" w14:textId="77777777" w:rsidR="00226F9D" w:rsidRPr="00226F9D" w:rsidRDefault="00226F9D" w:rsidP="00090884">
      <w:pPr>
        <w:spacing w:after="0" w:line="240" w:lineRule="auto"/>
        <w:jc w:val="both"/>
        <w:rPr>
          <w:rFonts w:ascii="Times New Roman" w:eastAsia="Times New Roman" w:hAnsi="Times New Roman" w:cs="Times New Roman"/>
          <w:b/>
          <w:bCs/>
          <w:color w:val="2F5496"/>
          <w:kern w:val="0"/>
          <w:lang w:val="sr-Latn-RS" w:eastAsia="en-GB"/>
          <w14:ligatures w14:val="none"/>
        </w:rPr>
      </w:pPr>
    </w:p>
    <w:p w14:paraId="4479C828" w14:textId="6FD6C69B" w:rsidR="00001C5C" w:rsidRPr="00226F9D" w:rsidRDefault="004D388A" w:rsidP="001D1EAF">
      <w:pPr>
        <w:pStyle w:val="Heading2"/>
        <w:rPr>
          <w:rFonts w:ascii="Times New Roman" w:eastAsia="Yu Gothic Light" w:hAnsi="Times New Roman" w:cs="Times New Roman"/>
          <w:sz w:val="28"/>
          <w:szCs w:val="28"/>
          <w:lang w:val="sr-Cyrl-RS" w:eastAsia="en-GB"/>
        </w:rPr>
      </w:pPr>
      <w:bookmarkStart w:id="62" w:name="_Toc222753935"/>
      <w:r w:rsidRPr="00226F9D">
        <w:rPr>
          <w:rFonts w:ascii="Times New Roman" w:eastAsia="Yu Gothic Light" w:hAnsi="Times New Roman" w:cs="Times New Roman"/>
          <w:sz w:val="28"/>
          <w:szCs w:val="28"/>
          <w:lang w:val="sr-Cyrl-RS" w:eastAsia="en-GB"/>
        </w:rPr>
        <w:lastRenderedPageBreak/>
        <w:t>Посебни циљ 1</w:t>
      </w:r>
      <w:r w:rsidR="00001C5C" w:rsidRPr="00226F9D">
        <w:rPr>
          <w:rFonts w:ascii="Times New Roman" w:eastAsia="Yu Gothic Light" w:hAnsi="Times New Roman" w:cs="Times New Roman"/>
          <w:sz w:val="28"/>
          <w:szCs w:val="28"/>
          <w:lang w:val="sr-Cyrl-RS" w:eastAsia="en-GB"/>
        </w:rPr>
        <w:t>:</w:t>
      </w:r>
      <w:r w:rsidRPr="00226F9D">
        <w:rPr>
          <w:rFonts w:ascii="Times New Roman" w:eastAsia="Yu Gothic Light" w:hAnsi="Times New Roman" w:cs="Times New Roman"/>
          <w:sz w:val="28"/>
          <w:szCs w:val="28"/>
          <w:lang w:val="sr-Cyrl-RS" w:eastAsia="en-GB"/>
        </w:rPr>
        <w:t xml:space="preserve">  Унапређење положаја и одговорности локалне самоуправе</w:t>
      </w:r>
      <w:bookmarkEnd w:id="62"/>
    </w:p>
    <w:p w14:paraId="0F008445" w14:textId="77777777" w:rsidR="00001C5C" w:rsidRPr="00226F9D" w:rsidRDefault="00001C5C" w:rsidP="00090884">
      <w:pPr>
        <w:spacing w:after="0" w:line="240" w:lineRule="auto"/>
        <w:jc w:val="both"/>
        <w:rPr>
          <w:rFonts w:ascii="Times New Roman" w:eastAsia="Times New Roman" w:hAnsi="Times New Roman" w:cs="Times New Roman"/>
          <w:b/>
          <w:bCs/>
          <w:color w:val="2F5496"/>
          <w:kern w:val="0"/>
          <w:lang w:val="sr-Cyrl-RS" w:eastAsia="en-GB"/>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4"/>
        <w:gridCol w:w="2021"/>
        <w:gridCol w:w="1985"/>
        <w:gridCol w:w="1701"/>
        <w:gridCol w:w="524"/>
        <w:gridCol w:w="1200"/>
        <w:gridCol w:w="2023"/>
        <w:gridCol w:w="1464"/>
      </w:tblGrid>
      <w:tr w:rsidR="00001C5C" w:rsidRPr="00226F9D" w14:paraId="3370282A" w14:textId="77777777" w:rsidTr="00C070B8">
        <w:trPr>
          <w:trHeight w:val="511"/>
          <w:jc w:val="center"/>
        </w:trPr>
        <w:tc>
          <w:tcPr>
            <w:tcW w:w="3644" w:type="dxa"/>
            <w:shd w:val="clear" w:color="auto" w:fill="D9D9D9" w:themeFill="background1" w:themeFillShade="D9"/>
            <w:vAlign w:val="center"/>
          </w:tcPr>
          <w:p w14:paraId="73473FFF" w14:textId="391FD027" w:rsidR="00001C5C" w:rsidRPr="00226F9D" w:rsidRDefault="00001C5C" w:rsidP="00090884">
            <w:pPr>
              <w:spacing w:after="0" w:line="240" w:lineRule="auto"/>
              <w:jc w:val="both"/>
              <w:rPr>
                <w:rFonts w:ascii="Times New Roman" w:eastAsia="Times New Roman" w:hAnsi="Times New Roman" w:cs="Times New Roman"/>
                <w:b/>
                <w:bCs/>
                <w:color w:val="000000"/>
                <w:kern w:val="0"/>
                <w:sz w:val="20"/>
                <w:szCs w:val="20"/>
                <w:lang w:val="sr-Latn-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показатеља</w:t>
            </w:r>
          </w:p>
        </w:tc>
        <w:tc>
          <w:tcPr>
            <w:tcW w:w="10918" w:type="dxa"/>
            <w:gridSpan w:val="7"/>
            <w:shd w:val="clear" w:color="auto" w:fill="D9D9D9" w:themeFill="background1" w:themeFillShade="D9"/>
            <w:vAlign w:val="center"/>
          </w:tcPr>
          <w:p w14:paraId="0F6F1473" w14:textId="2366D515" w:rsidR="00001C5C" w:rsidRPr="00226F9D" w:rsidRDefault="00E27362" w:rsidP="00090884">
            <w:pPr>
              <w:spacing w:after="0" w:line="240" w:lineRule="auto"/>
              <w:jc w:val="both"/>
              <w:rPr>
                <w:rFonts w:ascii="Times New Roman" w:eastAsia="Times New Roman" w:hAnsi="Times New Roman" w:cs="Times New Roman"/>
                <w:b/>
                <w:color w:val="0070C0"/>
                <w:kern w:val="0"/>
                <w:sz w:val="20"/>
                <w:szCs w:val="20"/>
                <w:lang w:val="sr-Cyrl-RS" w:eastAsia="en-GB"/>
                <w14:ligatures w14:val="none"/>
              </w:rPr>
            </w:pPr>
            <w:r w:rsidRPr="00226F9D">
              <w:rPr>
                <w:rFonts w:ascii="Times New Roman" w:eastAsia="Times New Roman" w:hAnsi="Times New Roman" w:cs="Times New Roman"/>
                <w:b/>
                <w:kern w:val="0"/>
                <w:sz w:val="20"/>
                <w:szCs w:val="20"/>
                <w:lang w:val="sr-Cyrl-RS" w:eastAsia="en-GB"/>
                <w14:ligatures w14:val="none"/>
              </w:rPr>
              <w:t xml:space="preserve">Број одредаба Европске повеље о локалној самоуправи </w:t>
            </w:r>
            <w:r w:rsidR="00961A4B" w:rsidRPr="00226F9D">
              <w:rPr>
                <w:rFonts w:ascii="Times New Roman" w:eastAsia="Times New Roman" w:hAnsi="Times New Roman" w:cs="Times New Roman"/>
                <w:b/>
                <w:kern w:val="0"/>
                <w:sz w:val="20"/>
                <w:szCs w:val="20"/>
                <w:lang w:val="sr-Cyrl-RS" w:eastAsia="en-GB"/>
                <w14:ligatures w14:val="none"/>
              </w:rPr>
              <w:t>чију примену</w:t>
            </w:r>
            <w:r w:rsidR="007D19C2" w:rsidRPr="00226F9D">
              <w:rPr>
                <w:rFonts w:ascii="Times New Roman" w:eastAsia="Times New Roman" w:hAnsi="Times New Roman" w:cs="Times New Roman"/>
                <w:b/>
                <w:kern w:val="0"/>
                <w:sz w:val="20"/>
                <w:szCs w:val="20"/>
                <w:lang w:val="sr-Cyrl-RS" w:eastAsia="en-GB"/>
                <w14:ligatures w14:val="none"/>
              </w:rPr>
              <w:t xml:space="preserve"> је ратификовала Република Србија</w:t>
            </w:r>
          </w:p>
        </w:tc>
      </w:tr>
      <w:tr w:rsidR="00001C5C" w:rsidRPr="00226F9D" w14:paraId="61DDA5EF" w14:textId="77777777" w:rsidTr="00C070B8">
        <w:trPr>
          <w:jc w:val="center"/>
        </w:trPr>
        <w:tc>
          <w:tcPr>
            <w:tcW w:w="3644" w:type="dxa"/>
            <w:shd w:val="clear" w:color="auto" w:fill="FFC000"/>
            <w:vAlign w:val="center"/>
          </w:tcPr>
          <w:p w14:paraId="70C1A96C"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Одговарајући општи, посебни циљ или мера</w:t>
            </w:r>
          </w:p>
        </w:tc>
        <w:tc>
          <w:tcPr>
            <w:tcW w:w="10918" w:type="dxa"/>
            <w:gridSpan w:val="7"/>
            <w:shd w:val="clear" w:color="auto" w:fill="FFFFFF" w:themeFill="background1"/>
            <w:vAlign w:val="center"/>
          </w:tcPr>
          <w:p w14:paraId="508D9017" w14:textId="77777777" w:rsidR="00001C5C" w:rsidRPr="00226F9D" w:rsidRDefault="00001C5C" w:rsidP="00090884">
            <w:pPr>
              <w:spacing w:after="0" w:line="240" w:lineRule="auto"/>
              <w:jc w:val="both"/>
              <w:rPr>
                <w:rFonts w:ascii="Times New Roman" w:eastAsia="Times New Roman" w:hAnsi="Times New Roman" w:cs="Times New Roman"/>
                <w:bCs/>
                <w:kern w:val="24"/>
                <w:sz w:val="20"/>
                <w:szCs w:val="20"/>
                <w:lang w:val="sr-Cyrl-RS" w:eastAsia="en-GB"/>
                <w14:ligatures w14:val="none"/>
              </w:rPr>
            </w:pPr>
            <w:r w:rsidRPr="00226F9D">
              <w:rPr>
                <w:rFonts w:ascii="Times New Roman" w:eastAsia="Times New Roman" w:hAnsi="Times New Roman" w:cs="Times New Roman"/>
                <w:bCs/>
                <w:kern w:val="24"/>
                <w:sz w:val="20"/>
                <w:szCs w:val="20"/>
                <w:lang w:val="sr-Cyrl-RS" w:eastAsia="en-GB"/>
                <w14:ligatures w14:val="none"/>
              </w:rPr>
              <w:t>Унапређење положаја и одговорности локалне самоуправе</w:t>
            </w:r>
          </w:p>
        </w:tc>
      </w:tr>
      <w:tr w:rsidR="00741988" w:rsidRPr="00226F9D" w14:paraId="5D064F7C" w14:textId="77777777" w:rsidTr="00C070B8">
        <w:trPr>
          <w:jc w:val="center"/>
        </w:trPr>
        <w:tc>
          <w:tcPr>
            <w:tcW w:w="3644" w:type="dxa"/>
            <w:shd w:val="clear" w:color="auto" w:fill="FFC000"/>
            <w:vAlign w:val="center"/>
          </w:tcPr>
          <w:p w14:paraId="0F33AB07"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Тип и ниво показатеља</w:t>
            </w:r>
          </w:p>
        </w:tc>
        <w:tc>
          <w:tcPr>
            <w:tcW w:w="6231" w:type="dxa"/>
            <w:gridSpan w:val="4"/>
            <w:vAlign w:val="center"/>
          </w:tcPr>
          <w:p w14:paraId="4C34DFEB" w14:textId="77777777" w:rsidR="00001C5C" w:rsidRPr="00226F9D" w:rsidRDefault="00001C5C" w:rsidP="00090884">
            <w:pPr>
              <w:spacing w:after="0" w:line="240" w:lineRule="auto"/>
              <w:jc w:val="both"/>
              <w:rPr>
                <w:rFonts w:ascii="Times New Roman" w:eastAsia="Times New Roman" w:hAnsi="Times New Roman" w:cs="Times New Roman"/>
                <w:bCs/>
                <w:kern w:val="24"/>
                <w:sz w:val="20"/>
                <w:szCs w:val="20"/>
                <w:lang w:val="sr-Cyrl-RS" w:eastAsia="en-GB"/>
                <w14:ligatures w14:val="none"/>
              </w:rPr>
            </w:pPr>
            <w:r w:rsidRPr="00226F9D">
              <w:rPr>
                <w:rFonts w:ascii="Times New Roman" w:eastAsia="Times New Roman" w:hAnsi="Times New Roman" w:cs="Times New Roman"/>
                <w:kern w:val="24"/>
                <w:sz w:val="20"/>
                <w:szCs w:val="20"/>
                <w:lang w:val="sr-Cyrl-RS" w:eastAsia="en-GB"/>
                <w14:ligatures w14:val="none"/>
              </w:rPr>
              <w:t>Квалитативни</w:t>
            </w:r>
          </w:p>
        </w:tc>
        <w:tc>
          <w:tcPr>
            <w:tcW w:w="4687" w:type="dxa"/>
            <w:gridSpan w:val="3"/>
            <w:shd w:val="clear" w:color="auto" w:fill="FFFFFF" w:themeFill="background1"/>
            <w:vAlign w:val="center"/>
          </w:tcPr>
          <w:p w14:paraId="237F12F0" w14:textId="77777777" w:rsidR="00001C5C" w:rsidRPr="00226F9D" w:rsidRDefault="00001C5C" w:rsidP="00090884">
            <w:pPr>
              <w:spacing w:after="0" w:line="240" w:lineRule="auto"/>
              <w:jc w:val="both"/>
              <w:rPr>
                <w:rFonts w:ascii="Times New Roman" w:eastAsia="Times New Roman" w:hAnsi="Times New Roman" w:cs="Times New Roman"/>
                <w:bCs/>
                <w:kern w:val="24"/>
                <w:sz w:val="20"/>
                <w:szCs w:val="20"/>
                <w:lang w:val="sr-Cyrl-RS" w:eastAsia="en-GB"/>
                <w14:ligatures w14:val="none"/>
              </w:rPr>
            </w:pPr>
            <w:r w:rsidRPr="00226F9D">
              <w:rPr>
                <w:rFonts w:ascii="Times New Roman" w:eastAsia="Times New Roman" w:hAnsi="Times New Roman" w:cs="Times New Roman"/>
                <w:bCs/>
                <w:color w:val="000000"/>
                <w:kern w:val="24"/>
                <w:sz w:val="20"/>
                <w:szCs w:val="20"/>
                <w:lang w:val="sr-Cyrl-RS" w:eastAsia="en-GB"/>
                <w14:ligatures w14:val="none"/>
              </w:rPr>
              <w:t>Показатељ на нивоу посебног циља</w:t>
            </w:r>
          </w:p>
        </w:tc>
      </w:tr>
      <w:tr w:rsidR="00741988" w:rsidRPr="00226F9D" w14:paraId="30C2E197" w14:textId="77777777" w:rsidTr="00C070B8">
        <w:trPr>
          <w:trHeight w:val="373"/>
          <w:jc w:val="center"/>
        </w:trPr>
        <w:tc>
          <w:tcPr>
            <w:tcW w:w="3644" w:type="dxa"/>
            <w:shd w:val="clear" w:color="auto" w:fill="FFC000"/>
            <w:vAlign w:val="center"/>
          </w:tcPr>
          <w:p w14:paraId="56244121" w14:textId="77777777" w:rsidR="00001C5C" w:rsidRPr="00226F9D" w:rsidRDefault="00001C5C" w:rsidP="00E63E75">
            <w:pPr>
              <w:spacing w:after="0" w:line="240" w:lineRule="auto"/>
              <w:rPr>
                <w:rFonts w:ascii="Times New Roman" w:eastAsia="Times New Roman" w:hAnsi="Times New Roman" w:cs="Times New Roman"/>
                <w:b/>
                <w:color w:val="000000"/>
                <w:kern w:val="24"/>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Јединица мере и природа</w:t>
            </w:r>
          </w:p>
        </w:tc>
        <w:tc>
          <w:tcPr>
            <w:tcW w:w="6231" w:type="dxa"/>
            <w:gridSpan w:val="4"/>
            <w:shd w:val="clear" w:color="auto" w:fill="FFFFFF" w:themeFill="background1"/>
            <w:vAlign w:val="center"/>
          </w:tcPr>
          <w:p w14:paraId="47E37D35" w14:textId="17BEB9BC" w:rsidR="00001C5C" w:rsidRPr="00226F9D" w:rsidRDefault="007D19C2" w:rsidP="00090884">
            <w:pPr>
              <w:spacing w:after="0" w:line="240" w:lineRule="auto"/>
              <w:jc w:val="both"/>
              <w:rPr>
                <w:rFonts w:ascii="Times New Roman" w:eastAsia="Times New Roman" w:hAnsi="Times New Roman" w:cs="Times New Roman"/>
                <w:kern w:val="24"/>
                <w:sz w:val="20"/>
                <w:szCs w:val="20"/>
                <w:lang w:val="sr-Cyrl-RS" w:eastAsia="en-GB"/>
                <w14:ligatures w14:val="none"/>
              </w:rPr>
            </w:pPr>
            <w:r w:rsidRPr="00226F9D">
              <w:rPr>
                <w:rFonts w:ascii="Times New Roman" w:eastAsia="Times New Roman" w:hAnsi="Times New Roman" w:cs="Times New Roman"/>
                <w:kern w:val="24"/>
                <w:sz w:val="20"/>
                <w:szCs w:val="20"/>
                <w:lang w:val="sr-Cyrl-RS" w:eastAsia="en-GB"/>
                <w14:ligatures w14:val="none"/>
              </w:rPr>
              <w:t>Број</w:t>
            </w:r>
          </w:p>
        </w:tc>
        <w:tc>
          <w:tcPr>
            <w:tcW w:w="4687" w:type="dxa"/>
            <w:gridSpan w:val="3"/>
            <w:shd w:val="clear" w:color="auto" w:fill="FFFFFF" w:themeFill="background1"/>
            <w:vAlign w:val="center"/>
          </w:tcPr>
          <w:p w14:paraId="7D473B82" w14:textId="77777777" w:rsidR="00001C5C" w:rsidRPr="00226F9D" w:rsidRDefault="00001C5C" w:rsidP="0009088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tr w:rsidR="00001C5C" w:rsidRPr="00226F9D" w14:paraId="5AE531B6" w14:textId="77777777" w:rsidTr="00C070B8">
        <w:trPr>
          <w:jc w:val="center"/>
        </w:trPr>
        <w:tc>
          <w:tcPr>
            <w:tcW w:w="3644" w:type="dxa"/>
            <w:shd w:val="clear" w:color="auto" w:fill="FFC000"/>
            <w:vAlign w:val="center"/>
          </w:tcPr>
          <w:p w14:paraId="3F551EF8"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Извор података за праћење показатеља учинка</w:t>
            </w:r>
          </w:p>
        </w:tc>
        <w:tc>
          <w:tcPr>
            <w:tcW w:w="10918" w:type="dxa"/>
            <w:gridSpan w:val="7"/>
            <w:shd w:val="clear" w:color="auto" w:fill="FFFFFF" w:themeFill="background1"/>
            <w:vAlign w:val="center"/>
          </w:tcPr>
          <w:p w14:paraId="3F91E404" w14:textId="08CD3D1A"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Пр</w:t>
            </w:r>
            <w:r w:rsidR="00D82C21" w:rsidRPr="00226F9D">
              <w:rPr>
                <w:rFonts w:ascii="Times New Roman" w:eastAsia="Times New Roman" w:hAnsi="Times New Roman" w:cs="Times New Roman"/>
                <w:kern w:val="0"/>
                <w:sz w:val="20"/>
                <w:szCs w:val="20"/>
                <w:lang w:val="sr-Cyrl-RS" w:eastAsia="en-GB"/>
                <w14:ligatures w14:val="none"/>
              </w:rPr>
              <w:t xml:space="preserve">авно-информациона </w:t>
            </w:r>
            <w:r w:rsidR="007408C1" w:rsidRPr="00226F9D">
              <w:rPr>
                <w:rFonts w:ascii="Times New Roman" w:eastAsia="Times New Roman" w:hAnsi="Times New Roman" w:cs="Times New Roman"/>
                <w:kern w:val="0"/>
                <w:sz w:val="20"/>
                <w:szCs w:val="20"/>
                <w:lang w:val="sr-Cyrl-RS" w:eastAsia="en-GB"/>
                <w14:ligatures w14:val="none"/>
              </w:rPr>
              <w:t>база прописа ЛС</w:t>
            </w:r>
          </w:p>
        </w:tc>
      </w:tr>
      <w:tr w:rsidR="00001C5C" w:rsidRPr="00226F9D" w14:paraId="372065A9" w14:textId="77777777" w:rsidTr="00C070B8">
        <w:trPr>
          <w:jc w:val="center"/>
        </w:trPr>
        <w:tc>
          <w:tcPr>
            <w:tcW w:w="3644" w:type="dxa"/>
            <w:shd w:val="clear" w:color="auto" w:fill="FFC000"/>
            <w:vAlign w:val="center"/>
          </w:tcPr>
          <w:p w14:paraId="25B0FF2A"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носиоца прикупљања података</w:t>
            </w:r>
          </w:p>
        </w:tc>
        <w:tc>
          <w:tcPr>
            <w:tcW w:w="10918" w:type="dxa"/>
            <w:gridSpan w:val="7"/>
            <w:shd w:val="clear" w:color="auto" w:fill="FFFFFF" w:themeFill="background1"/>
            <w:vAlign w:val="center"/>
          </w:tcPr>
          <w:p w14:paraId="4D50FDAB" w14:textId="5CFB7442"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МДУЛС</w:t>
            </w:r>
            <w:r w:rsidR="005068D0" w:rsidRPr="00226F9D">
              <w:rPr>
                <w:rFonts w:ascii="Times New Roman" w:eastAsia="Calibri" w:hAnsi="Times New Roman" w:cs="Times New Roman"/>
                <w:kern w:val="0"/>
                <w:sz w:val="20"/>
                <w:szCs w:val="20"/>
                <w:lang w:val="sr-Cyrl-RS" w:eastAsia="en-GB"/>
                <w14:ligatures w14:val="none"/>
              </w:rPr>
              <w:t xml:space="preserve">, Душанка Јовановић, </w:t>
            </w:r>
            <w:hyperlink r:id="rId44" w:history="1">
              <w:r w:rsidR="00742C55" w:rsidRPr="00226F9D">
                <w:rPr>
                  <w:rStyle w:val="Hyperlink"/>
                  <w:rFonts w:ascii="Times New Roman" w:eastAsia="Calibri" w:hAnsi="Times New Roman" w:cs="Times New Roman"/>
                  <w:kern w:val="0"/>
                  <w:sz w:val="20"/>
                  <w:szCs w:val="20"/>
                  <w:lang w:val="sr-Cyrl-RS" w:eastAsia="en-GB"/>
                  <w14:ligatures w14:val="none"/>
                </w:rPr>
                <w:t>dusanka.jovanovic@mduls.gov.rs</w:t>
              </w:r>
            </w:hyperlink>
            <w:r w:rsidR="00742C55" w:rsidRPr="00226F9D">
              <w:rPr>
                <w:rFonts w:ascii="Times New Roman" w:eastAsia="Calibri" w:hAnsi="Times New Roman" w:cs="Times New Roman"/>
                <w:kern w:val="0"/>
                <w:sz w:val="20"/>
                <w:szCs w:val="20"/>
                <w:lang w:val="sr-Cyrl-RS" w:eastAsia="en-GB"/>
                <w14:ligatures w14:val="none"/>
              </w:rPr>
              <w:t xml:space="preserve"> </w:t>
            </w:r>
            <w:r w:rsidRPr="00226F9D">
              <w:rPr>
                <w:rFonts w:ascii="Times New Roman" w:eastAsia="Times New Roman" w:hAnsi="Times New Roman" w:cs="Times New Roman"/>
                <w:kern w:val="0"/>
                <w:sz w:val="20"/>
                <w:szCs w:val="20"/>
                <w:lang w:val="sr-Cyrl-RS" w:eastAsia="en-GB"/>
                <w14:ligatures w14:val="none"/>
              </w:rPr>
              <w:t xml:space="preserve"> </w:t>
            </w:r>
            <w:r w:rsidR="007D19C2" w:rsidRPr="00226F9D">
              <w:rPr>
                <w:rFonts w:ascii="Times New Roman" w:eastAsia="Times New Roman" w:hAnsi="Times New Roman" w:cs="Times New Roman"/>
                <w:kern w:val="0"/>
                <w:sz w:val="20"/>
                <w:szCs w:val="20"/>
                <w:lang w:val="sr-Cyrl-RS" w:eastAsia="en-GB"/>
                <w14:ligatures w14:val="none"/>
              </w:rPr>
              <w:t xml:space="preserve"> </w:t>
            </w:r>
          </w:p>
        </w:tc>
      </w:tr>
      <w:tr w:rsidR="00001C5C" w:rsidRPr="00226F9D" w14:paraId="469CA1C7" w14:textId="77777777" w:rsidTr="00C070B8">
        <w:trPr>
          <w:jc w:val="center"/>
        </w:trPr>
        <w:tc>
          <w:tcPr>
            <w:tcW w:w="3644" w:type="dxa"/>
            <w:shd w:val="clear" w:color="auto" w:fill="FFC000"/>
            <w:vAlign w:val="center"/>
          </w:tcPr>
          <w:p w14:paraId="70E8C461"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Учесталост прикупљања података</w:t>
            </w:r>
          </w:p>
        </w:tc>
        <w:tc>
          <w:tcPr>
            <w:tcW w:w="10918" w:type="dxa"/>
            <w:gridSpan w:val="7"/>
            <w:shd w:val="clear" w:color="auto" w:fill="FFFFFF" w:themeFill="background1"/>
            <w:vAlign w:val="center"/>
          </w:tcPr>
          <w:p w14:paraId="2CC2C216" w14:textId="2B0E87E8" w:rsidR="00001C5C" w:rsidRPr="00226F9D" w:rsidRDefault="00001C5C" w:rsidP="00090884">
            <w:pPr>
              <w:spacing w:after="0" w:line="240" w:lineRule="auto"/>
              <w:jc w:val="both"/>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Подаци се прикупљају годишње</w:t>
            </w:r>
          </w:p>
        </w:tc>
      </w:tr>
      <w:tr w:rsidR="00001C5C" w:rsidRPr="00226F9D" w14:paraId="53159667" w14:textId="77777777" w:rsidTr="00C070B8">
        <w:trPr>
          <w:trHeight w:val="699"/>
          <w:jc w:val="center"/>
        </w:trPr>
        <w:tc>
          <w:tcPr>
            <w:tcW w:w="3644" w:type="dxa"/>
            <w:shd w:val="clear" w:color="auto" w:fill="FFC000"/>
            <w:vAlign w:val="center"/>
          </w:tcPr>
          <w:p w14:paraId="01F73CB1" w14:textId="77777777" w:rsidR="00001C5C" w:rsidRPr="00226F9D" w:rsidRDefault="00001C5C" w:rsidP="00E63E75">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Кратак опис показатеља и методологије израчунавања</w:t>
            </w:r>
          </w:p>
          <w:p w14:paraId="04E00D46"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(формуле/једначине)</w:t>
            </w:r>
          </w:p>
        </w:tc>
        <w:tc>
          <w:tcPr>
            <w:tcW w:w="10918" w:type="dxa"/>
            <w:gridSpan w:val="7"/>
            <w:shd w:val="clear" w:color="auto" w:fill="FFFFFF" w:themeFill="background1"/>
            <w:vAlign w:val="center"/>
          </w:tcPr>
          <w:p w14:paraId="29187C21" w14:textId="0DED102A" w:rsidR="004F313A" w:rsidRPr="00226F9D" w:rsidRDefault="2E91A0B7" w:rsidP="006B59F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Овај показатељ мери колико је Република Србија ускладила свој систем локалне самоуправе са Европском повељом о локалној самоуправи (ЕПЛС). Степен усклађености са ЕПЛС указује на развој квалитета система локалне самоуправе и јачање положаја и значаја локалних власти у систему јавне власти. У складу са ЕПЛС, свака држава је у обавези да прихвати најмање 20 </w:t>
            </w:r>
            <w:r w:rsidR="27112033" w:rsidRPr="00226F9D">
              <w:rPr>
                <w:rFonts w:ascii="Times New Roman" w:eastAsia="Yu Mincho" w:hAnsi="Times New Roman" w:cs="Times New Roman"/>
                <w:color w:val="000000"/>
                <w:kern w:val="0"/>
                <w:sz w:val="20"/>
                <w:szCs w:val="20"/>
                <w:lang w:val="sr-Cyrl-RS" w:eastAsia="en-GB"/>
                <w14:ligatures w14:val="none"/>
              </w:rPr>
              <w:t xml:space="preserve">од 30 </w:t>
            </w:r>
            <w:r w:rsidRPr="00226F9D">
              <w:rPr>
                <w:rFonts w:ascii="Times New Roman" w:eastAsia="Yu Mincho" w:hAnsi="Times New Roman" w:cs="Times New Roman"/>
                <w:color w:val="000000"/>
                <w:kern w:val="0"/>
                <w:sz w:val="20"/>
                <w:szCs w:val="20"/>
                <w:lang w:val="sr-Cyrl-RS" w:eastAsia="en-GB"/>
                <w14:ligatures w14:val="none"/>
              </w:rPr>
              <w:t>одредби ЕПЛС.</w:t>
            </w:r>
            <w:r w:rsidR="27112033" w:rsidRPr="00226F9D">
              <w:rPr>
                <w:rFonts w:ascii="Times New Roman" w:eastAsia="Yu Mincho" w:hAnsi="Times New Roman" w:cs="Times New Roman"/>
                <w:color w:val="000000"/>
                <w:kern w:val="0"/>
                <w:sz w:val="20"/>
                <w:szCs w:val="20"/>
                <w:lang w:val="sr-Cyrl-RS" w:eastAsia="en-GB"/>
                <w14:ligatures w14:val="none"/>
              </w:rPr>
              <w:t xml:space="preserve"> Република Србија је тренутно прихватила 2</w:t>
            </w:r>
            <w:r w:rsidR="6D4C9EE5" w:rsidRPr="00226F9D">
              <w:rPr>
                <w:rFonts w:ascii="Times New Roman" w:eastAsia="Yu Mincho" w:hAnsi="Times New Roman" w:cs="Times New Roman"/>
                <w:color w:val="000000"/>
                <w:kern w:val="0"/>
                <w:sz w:val="20"/>
                <w:szCs w:val="20"/>
                <w:lang w:val="sr-Cyrl-RS" w:eastAsia="en-GB"/>
                <w14:ligatures w14:val="none"/>
              </w:rPr>
              <w:t>7</w:t>
            </w:r>
            <w:r w:rsidR="27112033" w:rsidRPr="00226F9D">
              <w:rPr>
                <w:rFonts w:ascii="Times New Roman" w:eastAsia="Yu Mincho" w:hAnsi="Times New Roman" w:cs="Times New Roman"/>
                <w:color w:val="000000"/>
                <w:kern w:val="0"/>
                <w:sz w:val="20"/>
                <w:szCs w:val="20"/>
                <w:lang w:val="sr-Cyrl-RS" w:eastAsia="en-GB"/>
                <w14:ligatures w14:val="none"/>
              </w:rPr>
              <w:t xml:space="preserve"> одредб</w:t>
            </w:r>
            <w:r w:rsidR="6D4C9EE5" w:rsidRPr="00226F9D">
              <w:rPr>
                <w:rFonts w:ascii="Times New Roman" w:eastAsia="Yu Mincho" w:hAnsi="Times New Roman" w:cs="Times New Roman"/>
                <w:color w:val="000000"/>
                <w:kern w:val="0"/>
                <w:sz w:val="20"/>
                <w:szCs w:val="20"/>
                <w:lang w:val="sr-Cyrl-RS" w:eastAsia="en-GB"/>
                <w14:ligatures w14:val="none"/>
              </w:rPr>
              <w:t>и</w:t>
            </w:r>
            <w:r w:rsidR="27112033" w:rsidRPr="00226F9D">
              <w:rPr>
                <w:rFonts w:ascii="Times New Roman" w:eastAsia="Yu Mincho" w:hAnsi="Times New Roman" w:cs="Times New Roman"/>
                <w:color w:val="000000"/>
                <w:kern w:val="0"/>
                <w:sz w:val="20"/>
                <w:szCs w:val="20"/>
                <w:lang w:val="sr-Cyrl-RS" w:eastAsia="en-GB"/>
                <w14:ligatures w14:val="none"/>
              </w:rPr>
              <w:t xml:space="preserve"> </w:t>
            </w:r>
            <w:r w:rsidR="0D1C64A2" w:rsidRPr="00226F9D">
              <w:rPr>
                <w:rFonts w:ascii="Times New Roman" w:eastAsia="Yu Mincho" w:hAnsi="Times New Roman" w:cs="Times New Roman"/>
                <w:color w:val="000000"/>
                <w:kern w:val="0"/>
                <w:sz w:val="20"/>
                <w:szCs w:val="20"/>
                <w:lang w:val="sr-Cyrl-RS" w:eastAsia="en-GB"/>
                <w14:ligatures w14:val="none"/>
              </w:rPr>
              <w:t>ЕПЛС</w:t>
            </w:r>
            <w:r w:rsidR="27112033" w:rsidRPr="00226F9D">
              <w:rPr>
                <w:rFonts w:ascii="Times New Roman" w:eastAsia="Yu Mincho" w:hAnsi="Times New Roman" w:cs="Times New Roman"/>
                <w:color w:val="000000"/>
                <w:kern w:val="0"/>
                <w:sz w:val="20"/>
                <w:szCs w:val="20"/>
                <w:lang w:val="sr-Cyrl-RS" w:eastAsia="en-GB"/>
                <w14:ligatures w14:val="none"/>
              </w:rPr>
              <w:t>.</w:t>
            </w:r>
            <w:r w:rsidRPr="00226F9D">
              <w:rPr>
                <w:rFonts w:ascii="Times New Roman" w:eastAsia="Yu Mincho" w:hAnsi="Times New Roman" w:cs="Times New Roman"/>
                <w:color w:val="000000"/>
                <w:kern w:val="0"/>
                <w:sz w:val="20"/>
                <w:szCs w:val="20"/>
                <w:lang w:val="sr-Cyrl-RS" w:eastAsia="en-GB"/>
                <w14:ligatures w14:val="none"/>
              </w:rPr>
              <w:t xml:space="preserve"> </w:t>
            </w:r>
            <w:r w:rsidR="3D52D7EA" w:rsidRPr="00226F9D">
              <w:rPr>
                <w:rFonts w:ascii="Times New Roman" w:eastAsia="Yu Mincho" w:hAnsi="Times New Roman" w:cs="Times New Roman"/>
                <w:color w:val="000000"/>
                <w:kern w:val="0"/>
                <w:sz w:val="20"/>
                <w:szCs w:val="20"/>
                <w:lang w:val="sr-Cyrl-RS" w:eastAsia="en-GB"/>
                <w14:ligatures w14:val="none"/>
              </w:rPr>
              <w:t>У методолошком смислу одредбе ЕПЛС прихватају се доношењем или изменом посебног Закона којим се врши ратификациј</w:t>
            </w:r>
            <w:r w:rsidR="42AB236E" w:rsidRPr="00226F9D">
              <w:rPr>
                <w:rFonts w:ascii="Times New Roman" w:eastAsia="Yu Mincho" w:hAnsi="Times New Roman" w:cs="Times New Roman"/>
                <w:color w:val="000000"/>
                <w:kern w:val="0"/>
                <w:sz w:val="20"/>
                <w:szCs w:val="20"/>
                <w:lang w:val="sr-Cyrl-RS" w:eastAsia="en-GB"/>
                <w14:ligatures w14:val="none"/>
              </w:rPr>
              <w:t>а овог међународног правног акта</w:t>
            </w:r>
            <w:r w:rsidR="005B0E7A" w:rsidRPr="00226F9D">
              <w:rPr>
                <w:rStyle w:val="FootnoteReference"/>
                <w:rFonts w:ascii="Times New Roman" w:eastAsia="Yu Mincho" w:hAnsi="Times New Roman" w:cs="Times New Roman"/>
                <w:color w:val="000000"/>
                <w:kern w:val="0"/>
                <w:sz w:val="20"/>
                <w:szCs w:val="20"/>
                <w:lang w:val="sr-Cyrl-RS" w:eastAsia="en-GB"/>
                <w14:ligatures w14:val="none"/>
              </w:rPr>
              <w:footnoteReference w:id="72"/>
            </w:r>
            <w:r w:rsidR="42AB236E" w:rsidRPr="00226F9D">
              <w:rPr>
                <w:rFonts w:ascii="Times New Roman" w:eastAsia="Yu Mincho" w:hAnsi="Times New Roman" w:cs="Times New Roman"/>
                <w:color w:val="000000"/>
                <w:kern w:val="0"/>
                <w:sz w:val="20"/>
                <w:szCs w:val="20"/>
                <w:lang w:val="sr-Cyrl-RS" w:eastAsia="en-GB"/>
                <w14:ligatures w14:val="none"/>
              </w:rPr>
              <w:t>.</w:t>
            </w:r>
          </w:p>
          <w:p w14:paraId="4968C335" w14:textId="6D03709C" w:rsidR="00001C5C" w:rsidRPr="00226F9D" w:rsidRDefault="004F313A"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Вредност показатеља се израчунава тако што се </w:t>
            </w:r>
            <w:r w:rsidR="00D942CB" w:rsidRPr="00226F9D">
              <w:rPr>
                <w:rFonts w:ascii="Times New Roman" w:eastAsia="Yu Mincho" w:hAnsi="Times New Roman" w:cs="Times New Roman"/>
                <w:color w:val="000000"/>
                <w:kern w:val="0"/>
                <w:sz w:val="20"/>
                <w:szCs w:val="20"/>
                <w:lang w:val="sr-Cyrl-RS" w:eastAsia="en-GB"/>
                <w14:ligatures w14:val="none"/>
              </w:rPr>
              <w:t xml:space="preserve">врши преглед </w:t>
            </w:r>
            <w:r w:rsidR="00D30A94" w:rsidRPr="00226F9D">
              <w:rPr>
                <w:rFonts w:ascii="Times New Roman" w:eastAsia="Yu Mincho" w:hAnsi="Times New Roman" w:cs="Times New Roman"/>
                <w:color w:val="000000"/>
                <w:kern w:val="0"/>
                <w:sz w:val="20"/>
                <w:szCs w:val="20"/>
                <w:lang w:val="sr-Cyrl-RS" w:eastAsia="en-GB"/>
                <w14:ligatures w14:val="none"/>
              </w:rPr>
              <w:t>броја одредби чију примену је Република Србија прихватила кроз Закон о ратификацији Европске повеље о локалној самоуправи</w:t>
            </w:r>
            <w:r w:rsidR="008C3006" w:rsidRPr="00226F9D">
              <w:rPr>
                <w:rFonts w:ascii="Times New Roman" w:eastAsia="Yu Mincho" w:hAnsi="Times New Roman" w:cs="Times New Roman"/>
                <w:color w:val="000000"/>
                <w:kern w:val="0"/>
                <w:sz w:val="20"/>
                <w:szCs w:val="20"/>
                <w:lang w:val="sr-Cyrl-RS" w:eastAsia="en-GB"/>
                <w14:ligatures w14:val="none"/>
              </w:rPr>
              <w:t>.</w:t>
            </w:r>
            <w:r w:rsidR="00D942CB" w:rsidRPr="00226F9D">
              <w:rPr>
                <w:rFonts w:ascii="Times New Roman" w:eastAsia="Yu Mincho" w:hAnsi="Times New Roman" w:cs="Times New Roman"/>
                <w:color w:val="000000"/>
                <w:kern w:val="0"/>
                <w:sz w:val="20"/>
                <w:szCs w:val="20"/>
                <w:lang w:val="sr-Cyrl-RS" w:eastAsia="en-GB"/>
                <w14:ligatures w14:val="none"/>
              </w:rPr>
              <w:t xml:space="preserve"> </w:t>
            </w:r>
          </w:p>
        </w:tc>
      </w:tr>
      <w:tr w:rsidR="00741988" w:rsidRPr="00226F9D" w14:paraId="2E34EE9A" w14:textId="77777777" w:rsidTr="00C070B8">
        <w:trPr>
          <w:trHeight w:val="265"/>
          <w:jc w:val="center"/>
        </w:trPr>
        <w:tc>
          <w:tcPr>
            <w:tcW w:w="3644" w:type="dxa"/>
            <w:vMerge w:val="restart"/>
            <w:shd w:val="clear" w:color="auto" w:fill="FFC000"/>
            <w:vAlign w:val="center"/>
          </w:tcPr>
          <w:p w14:paraId="7E37D890"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полазној вредности и години кад је измерена, као и о тренду у прошлости</w:t>
            </w:r>
          </w:p>
        </w:tc>
        <w:tc>
          <w:tcPr>
            <w:tcW w:w="7431" w:type="dxa"/>
            <w:gridSpan w:val="5"/>
            <w:tcBorders>
              <w:bottom w:val="single" w:sz="4" w:space="0" w:color="auto"/>
            </w:tcBorders>
            <w:shd w:val="clear" w:color="auto" w:fill="FFFFFF" w:themeFill="background1"/>
            <w:vAlign w:val="center"/>
          </w:tcPr>
          <w:p w14:paraId="3F7C02C6"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Тренд у прошлости</w:t>
            </w:r>
          </w:p>
        </w:tc>
        <w:tc>
          <w:tcPr>
            <w:tcW w:w="3487" w:type="dxa"/>
            <w:gridSpan w:val="2"/>
            <w:shd w:val="clear" w:color="auto" w:fill="FFFFFF" w:themeFill="background1"/>
            <w:vAlign w:val="center"/>
          </w:tcPr>
          <w:p w14:paraId="13834684"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Полазна вредност</w:t>
            </w:r>
          </w:p>
        </w:tc>
      </w:tr>
      <w:tr w:rsidR="00C070B8" w:rsidRPr="00226F9D" w14:paraId="4764FEA5" w14:textId="77777777" w:rsidTr="00BC261F">
        <w:trPr>
          <w:trHeight w:val="137"/>
          <w:jc w:val="center"/>
        </w:trPr>
        <w:tc>
          <w:tcPr>
            <w:tcW w:w="3644" w:type="dxa"/>
            <w:vMerge/>
            <w:vAlign w:val="center"/>
          </w:tcPr>
          <w:p w14:paraId="3FB249B6" w14:textId="77777777" w:rsidR="00C070B8" w:rsidRPr="00226F9D" w:rsidRDefault="00C070B8"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0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294B3" w14:textId="1F00339E" w:rsidR="00C070B8" w:rsidRPr="00226F9D" w:rsidRDefault="00C070B8"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2021.</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F58BE" w14:textId="77777777" w:rsidR="00C070B8" w:rsidRPr="00226F9D" w:rsidRDefault="00C070B8"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8100D" w14:textId="77777777" w:rsidR="00C070B8" w:rsidRPr="00226F9D" w:rsidRDefault="00C070B8"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2023.</w:t>
            </w:r>
          </w:p>
        </w:tc>
        <w:tc>
          <w:tcPr>
            <w:tcW w:w="172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C2FF7" w14:textId="596D904A" w:rsidR="00C070B8" w:rsidRPr="00226F9D" w:rsidRDefault="00BC261F"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2024.</w:t>
            </w:r>
          </w:p>
        </w:tc>
        <w:tc>
          <w:tcPr>
            <w:tcW w:w="3487" w:type="dxa"/>
            <w:gridSpan w:val="2"/>
            <w:tcBorders>
              <w:left w:val="single" w:sz="4" w:space="0" w:color="auto"/>
            </w:tcBorders>
            <w:shd w:val="clear" w:color="auto" w:fill="FFFFFF" w:themeFill="background1"/>
            <w:vAlign w:val="center"/>
          </w:tcPr>
          <w:p w14:paraId="1A18E063" w14:textId="429A6A34" w:rsidR="00C070B8" w:rsidRPr="00226F9D" w:rsidRDefault="00C070B8"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2025.</w:t>
            </w:r>
          </w:p>
        </w:tc>
      </w:tr>
      <w:tr w:rsidR="00C070B8" w:rsidRPr="00226F9D" w14:paraId="0604CFBD" w14:textId="77777777" w:rsidTr="00BC261F">
        <w:trPr>
          <w:trHeight w:val="323"/>
          <w:jc w:val="center"/>
        </w:trPr>
        <w:tc>
          <w:tcPr>
            <w:tcW w:w="3644" w:type="dxa"/>
            <w:vMerge/>
            <w:vAlign w:val="center"/>
          </w:tcPr>
          <w:p w14:paraId="0889E121" w14:textId="77777777" w:rsidR="00C070B8" w:rsidRPr="00226F9D" w:rsidRDefault="00C070B8"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021" w:type="dxa"/>
            <w:tcBorders>
              <w:top w:val="single" w:sz="4" w:space="0" w:color="auto"/>
            </w:tcBorders>
            <w:shd w:val="clear" w:color="auto" w:fill="FFFFFF" w:themeFill="background1"/>
            <w:vAlign w:val="center"/>
          </w:tcPr>
          <w:p w14:paraId="2C8E52A8" w14:textId="7DC4D047" w:rsidR="00C070B8" w:rsidRPr="00226F9D" w:rsidRDefault="00C070B8"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24</w:t>
            </w:r>
          </w:p>
        </w:tc>
        <w:tc>
          <w:tcPr>
            <w:tcW w:w="1985" w:type="dxa"/>
            <w:tcBorders>
              <w:top w:val="single" w:sz="4" w:space="0" w:color="auto"/>
            </w:tcBorders>
            <w:shd w:val="clear" w:color="auto" w:fill="FFFFFF" w:themeFill="background1"/>
            <w:vAlign w:val="center"/>
          </w:tcPr>
          <w:p w14:paraId="6B05BC30" w14:textId="34D0EBBD" w:rsidR="00C070B8" w:rsidRPr="00226F9D" w:rsidRDefault="00C070B8"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24</w:t>
            </w:r>
          </w:p>
        </w:tc>
        <w:tc>
          <w:tcPr>
            <w:tcW w:w="1701" w:type="dxa"/>
            <w:tcBorders>
              <w:top w:val="single" w:sz="4" w:space="0" w:color="auto"/>
            </w:tcBorders>
            <w:shd w:val="clear" w:color="auto" w:fill="FFFFFF" w:themeFill="background1"/>
            <w:vAlign w:val="center"/>
          </w:tcPr>
          <w:p w14:paraId="219F61E0" w14:textId="77777777" w:rsidR="00C070B8" w:rsidRPr="00226F9D" w:rsidRDefault="00C070B8"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24</w:t>
            </w:r>
          </w:p>
        </w:tc>
        <w:tc>
          <w:tcPr>
            <w:tcW w:w="1724" w:type="dxa"/>
            <w:gridSpan w:val="2"/>
            <w:tcBorders>
              <w:top w:val="single" w:sz="4" w:space="0" w:color="auto"/>
            </w:tcBorders>
            <w:shd w:val="clear" w:color="auto" w:fill="FFFFFF" w:themeFill="background1"/>
            <w:vAlign w:val="center"/>
          </w:tcPr>
          <w:p w14:paraId="56117060" w14:textId="2434C9FB" w:rsidR="00C070B8" w:rsidRPr="00226F9D" w:rsidRDefault="00BC261F"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24</w:t>
            </w:r>
          </w:p>
        </w:tc>
        <w:tc>
          <w:tcPr>
            <w:tcW w:w="3487" w:type="dxa"/>
            <w:gridSpan w:val="2"/>
            <w:shd w:val="clear" w:color="auto" w:fill="FFFFFF" w:themeFill="background1"/>
            <w:vAlign w:val="center"/>
          </w:tcPr>
          <w:p w14:paraId="7611054A" w14:textId="607D4843" w:rsidR="00C070B8" w:rsidRPr="00226F9D" w:rsidRDefault="00C070B8" w:rsidP="00090884">
            <w:pPr>
              <w:spacing w:after="0" w:line="240" w:lineRule="auto"/>
              <w:jc w:val="both"/>
              <w:rPr>
                <w:rFonts w:ascii="Times New Roman" w:eastAsia="Times New Roman" w:hAnsi="Times New Roman" w:cs="Times New Roman"/>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2</w:t>
            </w:r>
            <w:r w:rsidRPr="00226F9D">
              <w:rPr>
                <w:rFonts w:ascii="Times New Roman" w:eastAsia="Times New Roman" w:hAnsi="Times New Roman" w:cs="Times New Roman"/>
                <w:kern w:val="0"/>
                <w:sz w:val="20"/>
                <w:szCs w:val="20"/>
                <w:lang w:val="sr-Latn-RS" w:eastAsia="en-GB"/>
                <w14:ligatures w14:val="none"/>
              </w:rPr>
              <w:t>7</w:t>
            </w:r>
          </w:p>
        </w:tc>
      </w:tr>
      <w:tr w:rsidR="008E6BC2" w:rsidRPr="00226F9D" w14:paraId="10D4E88A" w14:textId="77777777" w:rsidTr="00BC261F">
        <w:trPr>
          <w:trHeight w:val="323"/>
          <w:jc w:val="center"/>
        </w:trPr>
        <w:tc>
          <w:tcPr>
            <w:tcW w:w="3644" w:type="dxa"/>
            <w:vMerge w:val="restart"/>
            <w:shd w:val="clear" w:color="auto" w:fill="FFC000"/>
            <w:vAlign w:val="center"/>
          </w:tcPr>
          <w:p w14:paraId="01A22FD9"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циљним вредностима</w:t>
            </w:r>
          </w:p>
        </w:tc>
        <w:tc>
          <w:tcPr>
            <w:tcW w:w="2021" w:type="dxa"/>
            <w:shd w:val="clear" w:color="auto" w:fill="FFFFFF" w:themeFill="background1"/>
            <w:vAlign w:val="center"/>
          </w:tcPr>
          <w:p w14:paraId="4612556C"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2026.</w:t>
            </w:r>
          </w:p>
        </w:tc>
        <w:tc>
          <w:tcPr>
            <w:tcW w:w="1985" w:type="dxa"/>
            <w:shd w:val="clear" w:color="auto" w:fill="FFFFFF" w:themeFill="background1"/>
            <w:vAlign w:val="center"/>
          </w:tcPr>
          <w:p w14:paraId="4863F5EA"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2027.</w:t>
            </w:r>
          </w:p>
        </w:tc>
        <w:tc>
          <w:tcPr>
            <w:tcW w:w="3425" w:type="dxa"/>
            <w:gridSpan w:val="3"/>
            <w:shd w:val="clear" w:color="auto" w:fill="FFFFFF" w:themeFill="background1"/>
            <w:vAlign w:val="center"/>
          </w:tcPr>
          <w:p w14:paraId="3DDDE39B"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2028.</w:t>
            </w:r>
          </w:p>
        </w:tc>
        <w:tc>
          <w:tcPr>
            <w:tcW w:w="2023" w:type="dxa"/>
            <w:shd w:val="clear" w:color="auto" w:fill="FFFFFF" w:themeFill="background1"/>
            <w:vAlign w:val="center"/>
          </w:tcPr>
          <w:p w14:paraId="047183BC"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w:t>
            </w:r>
            <w:r w:rsidRPr="00226F9D">
              <w:rPr>
                <w:rFonts w:ascii="Times New Roman" w:eastAsia="Times New Roman" w:hAnsi="Times New Roman" w:cs="Times New Roman"/>
                <w:kern w:val="0"/>
                <w:sz w:val="20"/>
                <w:szCs w:val="20"/>
                <w:lang w:eastAsia="en-GB"/>
                <w14:ligatures w14:val="none"/>
              </w:rPr>
              <w:t>29</w:t>
            </w:r>
            <w:r w:rsidRPr="00226F9D">
              <w:rPr>
                <w:rFonts w:ascii="Times New Roman" w:eastAsia="Times New Roman" w:hAnsi="Times New Roman" w:cs="Times New Roman"/>
                <w:kern w:val="0"/>
                <w:sz w:val="20"/>
                <w:szCs w:val="20"/>
                <w:lang w:val="sr-Cyrl-RS" w:eastAsia="en-GB"/>
                <w14:ligatures w14:val="none"/>
              </w:rPr>
              <w:t>.</w:t>
            </w:r>
          </w:p>
        </w:tc>
        <w:tc>
          <w:tcPr>
            <w:tcW w:w="1464" w:type="dxa"/>
            <w:shd w:val="clear" w:color="auto" w:fill="FFFFFF" w:themeFill="background1"/>
            <w:vAlign w:val="center"/>
          </w:tcPr>
          <w:p w14:paraId="11D76F48" w14:textId="10CD1978"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eastAsia="en-GB"/>
                <w14:ligatures w14:val="none"/>
              </w:rPr>
              <w:t>2030</w:t>
            </w:r>
            <w:r w:rsidR="0006559C" w:rsidRPr="00226F9D">
              <w:rPr>
                <w:rFonts w:ascii="Times New Roman" w:eastAsia="Times New Roman" w:hAnsi="Times New Roman" w:cs="Times New Roman"/>
                <w:kern w:val="0"/>
                <w:sz w:val="20"/>
                <w:szCs w:val="20"/>
                <w:lang w:val="sr-Cyrl-RS" w:eastAsia="en-GB"/>
                <w14:ligatures w14:val="none"/>
              </w:rPr>
              <w:t>.</w:t>
            </w:r>
          </w:p>
        </w:tc>
      </w:tr>
      <w:tr w:rsidR="008E6BC2" w:rsidRPr="00226F9D" w14:paraId="334FC32A" w14:textId="77777777" w:rsidTr="00BC261F">
        <w:trPr>
          <w:trHeight w:val="160"/>
          <w:jc w:val="center"/>
        </w:trPr>
        <w:tc>
          <w:tcPr>
            <w:tcW w:w="3644" w:type="dxa"/>
            <w:vMerge/>
            <w:vAlign w:val="center"/>
          </w:tcPr>
          <w:p w14:paraId="52E99F45"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021" w:type="dxa"/>
            <w:shd w:val="clear" w:color="auto" w:fill="FFFFFF" w:themeFill="background1"/>
            <w:vAlign w:val="center"/>
          </w:tcPr>
          <w:p w14:paraId="678FE930" w14:textId="56B6BD14" w:rsidR="00001C5C" w:rsidRPr="00226F9D" w:rsidRDefault="007D19C2"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w:t>
            </w:r>
            <w:r w:rsidR="00E95958" w:rsidRPr="00226F9D">
              <w:rPr>
                <w:rFonts w:ascii="Times New Roman" w:eastAsia="Times New Roman" w:hAnsi="Times New Roman" w:cs="Times New Roman"/>
                <w:color w:val="000000"/>
                <w:kern w:val="0"/>
                <w:sz w:val="20"/>
                <w:szCs w:val="20"/>
                <w:lang w:val="sr-Latn-RS" w:eastAsia="en-GB"/>
                <w14:ligatures w14:val="none"/>
              </w:rPr>
              <w:t>7</w:t>
            </w:r>
          </w:p>
        </w:tc>
        <w:tc>
          <w:tcPr>
            <w:tcW w:w="1985" w:type="dxa"/>
            <w:shd w:val="clear" w:color="auto" w:fill="FFFFFF" w:themeFill="background1"/>
            <w:vAlign w:val="center"/>
          </w:tcPr>
          <w:p w14:paraId="16F1CF73" w14:textId="46665EB1" w:rsidR="00001C5C" w:rsidRPr="00226F9D" w:rsidRDefault="007D19C2"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w:t>
            </w:r>
            <w:r w:rsidR="00AF6470" w:rsidRPr="00226F9D">
              <w:rPr>
                <w:rFonts w:ascii="Times New Roman" w:eastAsia="Times New Roman" w:hAnsi="Times New Roman" w:cs="Times New Roman"/>
                <w:color w:val="000000"/>
                <w:kern w:val="0"/>
                <w:sz w:val="20"/>
                <w:szCs w:val="20"/>
                <w:lang w:val="sr-Cyrl-RS" w:eastAsia="en-GB"/>
                <w14:ligatures w14:val="none"/>
              </w:rPr>
              <w:t>7</w:t>
            </w:r>
          </w:p>
        </w:tc>
        <w:tc>
          <w:tcPr>
            <w:tcW w:w="3425" w:type="dxa"/>
            <w:gridSpan w:val="3"/>
            <w:shd w:val="clear" w:color="auto" w:fill="FFFFFF" w:themeFill="background1"/>
            <w:vAlign w:val="center"/>
          </w:tcPr>
          <w:p w14:paraId="55B02FAA" w14:textId="2D2EB3C6" w:rsidR="00001C5C" w:rsidRPr="00226F9D" w:rsidRDefault="00AF6470"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27</w:t>
            </w:r>
          </w:p>
        </w:tc>
        <w:tc>
          <w:tcPr>
            <w:tcW w:w="2023" w:type="dxa"/>
            <w:shd w:val="clear" w:color="auto" w:fill="FFFFFF" w:themeFill="background1"/>
            <w:vAlign w:val="center"/>
          </w:tcPr>
          <w:p w14:paraId="63217222" w14:textId="701FA653" w:rsidR="00001C5C" w:rsidRPr="00226F9D" w:rsidRDefault="00AF6470"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27</w:t>
            </w:r>
          </w:p>
        </w:tc>
        <w:tc>
          <w:tcPr>
            <w:tcW w:w="1464" w:type="dxa"/>
            <w:shd w:val="clear" w:color="auto" w:fill="FFFFFF" w:themeFill="background1"/>
            <w:vAlign w:val="center"/>
          </w:tcPr>
          <w:p w14:paraId="15247957" w14:textId="28D59F51" w:rsidR="00001C5C" w:rsidRPr="00226F9D" w:rsidRDefault="007D19C2"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30</w:t>
            </w:r>
          </w:p>
        </w:tc>
      </w:tr>
      <w:tr w:rsidR="00001C5C" w:rsidRPr="00226F9D" w14:paraId="4D228C3E" w14:textId="77777777" w:rsidTr="00C070B8">
        <w:trPr>
          <w:trHeight w:val="160"/>
          <w:jc w:val="center"/>
        </w:trPr>
        <w:tc>
          <w:tcPr>
            <w:tcW w:w="3644" w:type="dxa"/>
            <w:shd w:val="clear" w:color="auto" w:fill="FFC000"/>
            <w:vAlign w:val="center"/>
          </w:tcPr>
          <w:p w14:paraId="15FF03D1" w14:textId="77777777" w:rsidR="00001C5C" w:rsidRPr="00226F9D" w:rsidRDefault="00001C5C" w:rsidP="00E63E7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Процена успешности</w:t>
            </w:r>
          </w:p>
        </w:tc>
        <w:tc>
          <w:tcPr>
            <w:tcW w:w="10918" w:type="dxa"/>
            <w:gridSpan w:val="7"/>
            <w:shd w:val="clear" w:color="auto" w:fill="FFFFFF" w:themeFill="background1"/>
            <w:vAlign w:val="center"/>
          </w:tcPr>
          <w:p w14:paraId="73422F6E" w14:textId="67EFBD48" w:rsidR="00001C5C" w:rsidRPr="00226F9D" w:rsidRDefault="00AF6470" w:rsidP="006B59F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 xml:space="preserve">Прихватљиво је одступање од </w:t>
            </w:r>
            <w:r w:rsidR="00C832BF" w:rsidRPr="00226F9D">
              <w:rPr>
                <w:rFonts w:ascii="Times New Roman" w:eastAsia="Times New Roman" w:hAnsi="Times New Roman" w:cs="Times New Roman"/>
                <w:kern w:val="0"/>
                <w:sz w:val="20"/>
                <w:szCs w:val="20"/>
                <w:lang w:val="sr-Cyrl-RS" w:eastAsia="en-GB"/>
                <w14:ligatures w14:val="none"/>
              </w:rPr>
              <w:t>једне одредбе ЕПЛС.</w:t>
            </w:r>
          </w:p>
        </w:tc>
      </w:tr>
    </w:tbl>
    <w:p w14:paraId="0C9F96E3" w14:textId="058B89D7" w:rsidR="00DE2D7A" w:rsidRDefault="00DE2D7A" w:rsidP="00090884">
      <w:pPr>
        <w:spacing w:after="0" w:line="240" w:lineRule="auto"/>
        <w:jc w:val="both"/>
        <w:rPr>
          <w:rFonts w:ascii="Times New Roman" w:eastAsia="Times New Roman" w:hAnsi="Times New Roman" w:cs="Times New Roman"/>
          <w:b/>
          <w:bCs/>
          <w:color w:val="2F5496"/>
          <w:kern w:val="0"/>
          <w:lang w:val="sr-Cyrl-RS" w:eastAsia="en-GB"/>
          <w14:ligatures w14:val="none"/>
        </w:rPr>
      </w:pPr>
    </w:p>
    <w:p w14:paraId="5533B6B9" w14:textId="77777777" w:rsidR="0078271E" w:rsidRPr="00226F9D" w:rsidRDefault="0078271E" w:rsidP="00090884">
      <w:pPr>
        <w:spacing w:after="0" w:line="240" w:lineRule="auto"/>
        <w:jc w:val="both"/>
        <w:rPr>
          <w:rFonts w:ascii="Times New Roman" w:eastAsia="Times New Roman" w:hAnsi="Times New Roman" w:cs="Times New Roman"/>
          <w:b/>
          <w:bCs/>
          <w:color w:val="2F5496"/>
          <w:kern w:val="0"/>
          <w:lang w:val="sr-Cyrl-RS" w:eastAsia="en-GB"/>
          <w14:ligatures w14:val="none"/>
        </w:rPr>
      </w:pPr>
    </w:p>
    <w:p w14:paraId="19A91CD0" w14:textId="77777777" w:rsidR="009173D1" w:rsidRPr="00226F9D" w:rsidRDefault="009173D1" w:rsidP="00090884">
      <w:pPr>
        <w:spacing w:after="0" w:line="240" w:lineRule="auto"/>
        <w:jc w:val="both"/>
        <w:rPr>
          <w:rFonts w:ascii="Times New Roman" w:eastAsia="Times New Roman" w:hAnsi="Times New Roman" w:cs="Times New Roman"/>
          <w:b/>
          <w:bCs/>
          <w:color w:val="2F5496"/>
          <w:kern w:val="0"/>
          <w:lang w:val="sr-Cyrl-RS" w:eastAsia="en-GB"/>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2"/>
        <w:gridCol w:w="2617"/>
        <w:gridCol w:w="1586"/>
        <w:gridCol w:w="886"/>
        <w:gridCol w:w="2860"/>
        <w:gridCol w:w="1812"/>
        <w:gridCol w:w="1409"/>
      </w:tblGrid>
      <w:tr w:rsidR="00001C5C" w:rsidRPr="00226F9D" w14:paraId="5BD251D2" w14:textId="77777777" w:rsidTr="001F6F38">
        <w:trPr>
          <w:trHeight w:val="699"/>
          <w:jc w:val="center"/>
        </w:trPr>
        <w:tc>
          <w:tcPr>
            <w:tcW w:w="3392" w:type="dxa"/>
            <w:shd w:val="clear" w:color="auto" w:fill="D9D9D9"/>
            <w:vAlign w:val="center"/>
          </w:tcPr>
          <w:p w14:paraId="612DDD52" w14:textId="325F8E88" w:rsidR="00001C5C" w:rsidRPr="00226F9D" w:rsidRDefault="00001C5C" w:rsidP="00E63E75">
            <w:pPr>
              <w:spacing w:after="0" w:line="240" w:lineRule="auto"/>
              <w:rPr>
                <w:rFonts w:ascii="Times New Roman" w:eastAsia="Calibri" w:hAnsi="Times New Roman" w:cs="Times New Roman"/>
                <w:b/>
                <w:bCs/>
                <w:color w:val="000000"/>
                <w:kern w:val="0"/>
                <w:sz w:val="20"/>
                <w:szCs w:val="20"/>
                <w:lang w:val="sr-Latn-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lastRenderedPageBreak/>
              <w:t>Назив показатеља</w:t>
            </w:r>
          </w:p>
        </w:tc>
        <w:tc>
          <w:tcPr>
            <w:tcW w:w="11170" w:type="dxa"/>
            <w:gridSpan w:val="6"/>
            <w:shd w:val="clear" w:color="auto" w:fill="D9D9D9"/>
            <w:vAlign w:val="center"/>
          </w:tcPr>
          <w:p w14:paraId="46D105A4" w14:textId="16EBB47A" w:rsidR="00001C5C" w:rsidRPr="00226F9D" w:rsidRDefault="00001C5C" w:rsidP="00E63E75">
            <w:pPr>
              <w:spacing w:after="0" w:line="240" w:lineRule="auto"/>
              <w:rPr>
                <w:rFonts w:ascii="Times New Roman" w:eastAsia="Yu Mincho" w:hAnsi="Times New Roman" w:cs="Times New Roman"/>
                <w:b/>
                <w:bCs/>
                <w:color w:val="000000"/>
                <w:kern w:val="0"/>
                <w:sz w:val="20"/>
                <w:szCs w:val="20"/>
                <w:lang w:val="sr-Latn-RS" w:eastAsia="en-GB"/>
                <w14:ligatures w14:val="none"/>
              </w:rPr>
            </w:pPr>
            <w:r w:rsidRPr="00226F9D">
              <w:rPr>
                <w:rFonts w:ascii="Times New Roman" w:eastAsia="Yu Mincho" w:hAnsi="Times New Roman" w:cs="Times New Roman"/>
                <w:b/>
                <w:bCs/>
                <w:color w:val="000000"/>
                <w:kern w:val="0"/>
                <w:sz w:val="20"/>
                <w:szCs w:val="20"/>
                <w:lang w:val="sr-Cyrl-RS" w:eastAsia="en-GB"/>
                <w14:ligatures w14:val="none"/>
              </w:rPr>
              <w:t>Просечна вредност индекса добре управе у издвојеним областима : 1) одговорност; 2) транспарентност, отвореност и партиципација</w:t>
            </w:r>
          </w:p>
        </w:tc>
      </w:tr>
      <w:tr w:rsidR="00001C5C" w:rsidRPr="00226F9D" w14:paraId="6DB0359F" w14:textId="77777777" w:rsidTr="001F6F38">
        <w:trPr>
          <w:jc w:val="center"/>
        </w:trPr>
        <w:tc>
          <w:tcPr>
            <w:tcW w:w="3392" w:type="dxa"/>
            <w:shd w:val="clear" w:color="auto" w:fill="FFC000"/>
          </w:tcPr>
          <w:p w14:paraId="2E99DF0D" w14:textId="77777777" w:rsidR="00001C5C" w:rsidRPr="00226F9D" w:rsidRDefault="00001C5C" w:rsidP="00E63E75">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Одговарајући општи, посебни циљ или мера</w:t>
            </w:r>
          </w:p>
        </w:tc>
        <w:tc>
          <w:tcPr>
            <w:tcW w:w="11170" w:type="dxa"/>
            <w:gridSpan w:val="6"/>
          </w:tcPr>
          <w:p w14:paraId="2E723035" w14:textId="2BAF047D" w:rsidR="00001C5C" w:rsidRPr="00226F9D" w:rsidRDefault="00001C5C" w:rsidP="00090884">
            <w:pPr>
              <w:spacing w:after="0" w:line="240" w:lineRule="auto"/>
              <w:jc w:val="both"/>
              <w:rPr>
                <w:rFonts w:ascii="Times New Roman" w:eastAsia="Times New Roman" w:hAnsi="Times New Roman" w:cs="Times New Roman"/>
                <w:bCs/>
                <w:kern w:val="24"/>
                <w:sz w:val="20"/>
                <w:szCs w:val="20"/>
                <w:lang w:val="sr-Latn-RS" w:eastAsia="en-GB"/>
                <w14:ligatures w14:val="none"/>
              </w:rPr>
            </w:pPr>
            <w:r w:rsidRPr="00226F9D">
              <w:rPr>
                <w:rFonts w:ascii="Times New Roman" w:eastAsia="Times New Roman" w:hAnsi="Times New Roman" w:cs="Times New Roman"/>
                <w:bCs/>
                <w:kern w:val="24"/>
                <w:sz w:val="20"/>
                <w:szCs w:val="20"/>
                <w:lang w:val="sr-Cyrl-RS" w:eastAsia="en-GB"/>
                <w14:ligatures w14:val="none"/>
              </w:rPr>
              <w:t>Унапређење положаја и одговорности локалне самоуправе</w:t>
            </w:r>
          </w:p>
        </w:tc>
      </w:tr>
      <w:tr w:rsidR="00741988" w:rsidRPr="00226F9D" w14:paraId="4E64353F" w14:textId="77777777" w:rsidTr="001F6F38">
        <w:trPr>
          <w:jc w:val="center"/>
        </w:trPr>
        <w:tc>
          <w:tcPr>
            <w:tcW w:w="3392" w:type="dxa"/>
            <w:shd w:val="clear" w:color="auto" w:fill="FFC000"/>
          </w:tcPr>
          <w:p w14:paraId="1C0602D5" w14:textId="77777777" w:rsidR="00001C5C" w:rsidRPr="00226F9D" w:rsidRDefault="00001C5C" w:rsidP="00E63E75">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Тип и ниво показатеља</w:t>
            </w:r>
          </w:p>
        </w:tc>
        <w:tc>
          <w:tcPr>
            <w:tcW w:w="4203" w:type="dxa"/>
            <w:gridSpan w:val="2"/>
          </w:tcPr>
          <w:p w14:paraId="2DA778C7" w14:textId="77777777" w:rsidR="00001C5C" w:rsidRPr="00226F9D" w:rsidRDefault="00001C5C" w:rsidP="00090884">
            <w:pPr>
              <w:spacing w:after="0" w:line="240" w:lineRule="auto"/>
              <w:jc w:val="both"/>
              <w:rPr>
                <w:rFonts w:ascii="Times New Roman" w:eastAsia="Calibri" w:hAnsi="Times New Roman" w:cs="Times New Roman"/>
                <w:bCs/>
                <w:color w:val="000000"/>
                <w:kern w:val="24"/>
                <w:sz w:val="20"/>
                <w:szCs w:val="20"/>
                <w:lang w:val="sr-Cyrl-RS" w:eastAsia="en-GB"/>
                <w14:ligatures w14:val="none"/>
              </w:rPr>
            </w:pPr>
            <w:r w:rsidRPr="00226F9D">
              <w:rPr>
                <w:rFonts w:ascii="Times New Roman" w:eastAsia="Calibri" w:hAnsi="Times New Roman" w:cs="Times New Roman"/>
                <w:bCs/>
                <w:color w:val="000000"/>
                <w:kern w:val="24"/>
                <w:sz w:val="20"/>
                <w:szCs w:val="20"/>
                <w:lang w:val="sr-Cyrl-RS" w:eastAsia="en-GB"/>
                <w14:ligatures w14:val="none"/>
              </w:rPr>
              <w:t>Квалитативни</w:t>
            </w:r>
          </w:p>
        </w:tc>
        <w:tc>
          <w:tcPr>
            <w:tcW w:w="6967" w:type="dxa"/>
            <w:gridSpan w:val="4"/>
          </w:tcPr>
          <w:p w14:paraId="0CD12424" w14:textId="77777777" w:rsidR="00001C5C" w:rsidRPr="00226F9D" w:rsidRDefault="00001C5C" w:rsidP="00090884">
            <w:pPr>
              <w:spacing w:after="0" w:line="240" w:lineRule="auto"/>
              <w:jc w:val="both"/>
              <w:rPr>
                <w:rFonts w:ascii="Times New Roman" w:eastAsia="Calibri" w:hAnsi="Times New Roman" w:cs="Times New Roman"/>
                <w:bCs/>
                <w:color w:val="000000"/>
                <w:kern w:val="24"/>
                <w:sz w:val="20"/>
                <w:szCs w:val="20"/>
                <w:lang w:val="sr-Cyrl-RS" w:eastAsia="en-GB"/>
                <w14:ligatures w14:val="none"/>
              </w:rPr>
            </w:pPr>
            <w:r w:rsidRPr="00226F9D">
              <w:rPr>
                <w:rFonts w:ascii="Times New Roman" w:eastAsia="Times New Roman" w:hAnsi="Times New Roman" w:cs="Times New Roman"/>
                <w:bCs/>
                <w:color w:val="000000"/>
                <w:kern w:val="24"/>
                <w:sz w:val="20"/>
                <w:szCs w:val="20"/>
                <w:lang w:val="sr-Cyrl-RS" w:eastAsia="en-GB"/>
                <w14:ligatures w14:val="none"/>
              </w:rPr>
              <w:t>Показатељ на нивоу посебног циља</w:t>
            </w:r>
          </w:p>
        </w:tc>
      </w:tr>
      <w:tr w:rsidR="00741988" w:rsidRPr="00226F9D" w14:paraId="17AE474E" w14:textId="77777777" w:rsidTr="001F6F38">
        <w:trPr>
          <w:trHeight w:val="373"/>
          <w:jc w:val="center"/>
        </w:trPr>
        <w:tc>
          <w:tcPr>
            <w:tcW w:w="3392" w:type="dxa"/>
            <w:shd w:val="clear" w:color="auto" w:fill="FFC000"/>
          </w:tcPr>
          <w:p w14:paraId="755B8641" w14:textId="77777777" w:rsidR="00001C5C" w:rsidRPr="00226F9D" w:rsidRDefault="00001C5C" w:rsidP="00E63E75">
            <w:pPr>
              <w:spacing w:after="0" w:line="240" w:lineRule="auto"/>
              <w:rPr>
                <w:rFonts w:ascii="Times New Roman" w:eastAsia="Calibri" w:hAnsi="Times New Roman" w:cs="Times New Roman"/>
                <w:b/>
                <w:color w:val="000000"/>
                <w:kern w:val="24"/>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Јединица мере и природа</w:t>
            </w:r>
          </w:p>
        </w:tc>
        <w:tc>
          <w:tcPr>
            <w:tcW w:w="4203" w:type="dxa"/>
            <w:gridSpan w:val="2"/>
          </w:tcPr>
          <w:p w14:paraId="533A59AF"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24"/>
                <w:sz w:val="20"/>
                <w:szCs w:val="20"/>
                <w:lang w:val="sr-Cyrl-RS" w:eastAsia="en-GB"/>
                <w14:ligatures w14:val="none"/>
              </w:rPr>
              <w:t>%</w:t>
            </w:r>
          </w:p>
        </w:tc>
        <w:tc>
          <w:tcPr>
            <w:tcW w:w="6967" w:type="dxa"/>
            <w:gridSpan w:val="4"/>
          </w:tcPr>
          <w:p w14:paraId="008F61F9" w14:textId="77777777" w:rsidR="00001C5C" w:rsidRPr="00226F9D" w:rsidRDefault="00001C5C" w:rsidP="0009088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tr w:rsidR="00001C5C" w:rsidRPr="00226F9D" w14:paraId="425C15A7" w14:textId="77777777" w:rsidTr="001F6F38">
        <w:trPr>
          <w:jc w:val="center"/>
        </w:trPr>
        <w:tc>
          <w:tcPr>
            <w:tcW w:w="3392" w:type="dxa"/>
            <w:shd w:val="clear" w:color="auto" w:fill="FFC000"/>
          </w:tcPr>
          <w:p w14:paraId="13F23782" w14:textId="77777777" w:rsidR="00001C5C" w:rsidRPr="00226F9D" w:rsidRDefault="00001C5C" w:rsidP="00E63E75">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Извор података за праћење показатеља учинка</w:t>
            </w:r>
          </w:p>
        </w:tc>
        <w:tc>
          <w:tcPr>
            <w:tcW w:w="11170" w:type="dxa"/>
            <w:gridSpan w:val="6"/>
          </w:tcPr>
          <w:p w14:paraId="4E482FBC" w14:textId="77777777" w:rsidR="00001C5C" w:rsidRPr="00226F9D" w:rsidRDefault="00001C5C"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Подаци из индекса добре управе СКГО</w:t>
            </w:r>
          </w:p>
        </w:tc>
      </w:tr>
      <w:tr w:rsidR="00001C5C" w:rsidRPr="00226F9D" w14:paraId="449C32F1" w14:textId="77777777" w:rsidTr="001F6F38">
        <w:trPr>
          <w:jc w:val="center"/>
        </w:trPr>
        <w:tc>
          <w:tcPr>
            <w:tcW w:w="3392" w:type="dxa"/>
            <w:shd w:val="clear" w:color="auto" w:fill="FFC000"/>
          </w:tcPr>
          <w:p w14:paraId="61B77B70" w14:textId="77777777" w:rsidR="00001C5C" w:rsidRPr="00226F9D" w:rsidRDefault="00001C5C" w:rsidP="00E63E7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Назив носиоца прикупљања података</w:t>
            </w:r>
          </w:p>
        </w:tc>
        <w:tc>
          <w:tcPr>
            <w:tcW w:w="11170" w:type="dxa"/>
            <w:gridSpan w:val="6"/>
            <w:shd w:val="clear" w:color="auto" w:fill="FFFFFF"/>
          </w:tcPr>
          <w:p w14:paraId="5707545F" w14:textId="77777777" w:rsidR="00001C5C" w:rsidRPr="00226F9D" w:rsidRDefault="00001C5C" w:rsidP="00090884">
            <w:pPr>
              <w:spacing w:after="0" w:line="240" w:lineRule="auto"/>
              <w:jc w:val="both"/>
              <w:rPr>
                <w:rFonts w:ascii="Times New Roman" w:eastAsia="Calibri" w:hAnsi="Times New Roman" w:cs="Times New Roman"/>
                <w:kern w:val="0"/>
                <w:sz w:val="20"/>
                <w:szCs w:val="20"/>
                <w:lang w:val="sr-Cyrl-RS" w:eastAsia="en-GB"/>
                <w14:ligatures w14:val="none"/>
              </w:rPr>
            </w:pPr>
          </w:p>
          <w:p w14:paraId="4F3CB4CD"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СКГО, Милена Радомировић,  </w:t>
            </w:r>
            <w:hyperlink r:id="rId45" w:history="1">
              <w:r w:rsidRPr="00226F9D">
                <w:rPr>
                  <w:rStyle w:val="Hyperlink"/>
                  <w:rFonts w:ascii="Times New Roman" w:eastAsia="Yu Mincho" w:hAnsi="Times New Roman" w:cs="Times New Roman"/>
                  <w:kern w:val="0"/>
                  <w:sz w:val="20"/>
                  <w:szCs w:val="20"/>
                  <w:lang w:val="sr-Cyrl-RS" w:eastAsia="en-GB"/>
                  <w14:ligatures w14:val="none"/>
                </w:rPr>
                <w:t>m</w:t>
              </w:r>
              <w:r w:rsidRPr="00226F9D">
                <w:rPr>
                  <w:rStyle w:val="Hyperlink"/>
                  <w:rFonts w:ascii="Times New Roman" w:eastAsia="Yu Mincho" w:hAnsi="Times New Roman" w:cs="Times New Roman"/>
                  <w:kern w:val="0"/>
                  <w:sz w:val="20"/>
                  <w:szCs w:val="20"/>
                  <w:lang w:eastAsia="en-GB"/>
                  <w14:ligatures w14:val="none"/>
                </w:rPr>
                <w:t>ilena</w:t>
              </w:r>
              <w:r w:rsidRPr="00226F9D">
                <w:rPr>
                  <w:rStyle w:val="Hyperlink"/>
                  <w:rFonts w:ascii="Times New Roman" w:eastAsia="Yu Mincho" w:hAnsi="Times New Roman" w:cs="Times New Roman"/>
                  <w:kern w:val="0"/>
                  <w:sz w:val="20"/>
                  <w:szCs w:val="20"/>
                  <w:lang w:val="sr-Cyrl-RS" w:eastAsia="en-GB"/>
                  <w14:ligatures w14:val="none"/>
                </w:rPr>
                <w:t>.</w:t>
              </w:r>
              <w:r w:rsidRPr="00226F9D">
                <w:rPr>
                  <w:rStyle w:val="Hyperlink"/>
                  <w:rFonts w:ascii="Times New Roman" w:eastAsia="Yu Mincho" w:hAnsi="Times New Roman" w:cs="Times New Roman"/>
                  <w:kern w:val="0"/>
                  <w:sz w:val="20"/>
                  <w:szCs w:val="20"/>
                  <w:lang w:eastAsia="en-GB"/>
                  <w14:ligatures w14:val="none"/>
                </w:rPr>
                <w:t>radomirovic</w:t>
              </w:r>
              <w:r w:rsidRPr="00226F9D">
                <w:rPr>
                  <w:rStyle w:val="Hyperlink"/>
                  <w:rFonts w:ascii="Times New Roman" w:eastAsia="Yu Mincho" w:hAnsi="Times New Roman" w:cs="Times New Roman"/>
                  <w:kern w:val="0"/>
                  <w:sz w:val="20"/>
                  <w:szCs w:val="20"/>
                  <w:lang w:val="sr-Cyrl-RS" w:eastAsia="en-GB"/>
                  <w14:ligatures w14:val="none"/>
                </w:rPr>
                <w:t>@</w:t>
              </w:r>
              <w:r w:rsidRPr="00226F9D">
                <w:rPr>
                  <w:rStyle w:val="Hyperlink"/>
                  <w:rFonts w:ascii="Times New Roman" w:eastAsia="Yu Mincho" w:hAnsi="Times New Roman" w:cs="Times New Roman"/>
                  <w:kern w:val="0"/>
                  <w:sz w:val="20"/>
                  <w:szCs w:val="20"/>
                  <w:lang w:eastAsia="en-GB"/>
                  <w14:ligatures w14:val="none"/>
                </w:rPr>
                <w:t>skgo</w:t>
              </w:r>
              <w:r w:rsidRPr="00226F9D">
                <w:rPr>
                  <w:rStyle w:val="Hyperlink"/>
                  <w:rFonts w:ascii="Times New Roman" w:eastAsia="Yu Mincho" w:hAnsi="Times New Roman" w:cs="Times New Roman"/>
                  <w:kern w:val="0"/>
                  <w:sz w:val="20"/>
                  <w:szCs w:val="20"/>
                  <w:lang w:val="sr-Cyrl-RS" w:eastAsia="en-GB"/>
                  <w14:ligatures w14:val="none"/>
                </w:rPr>
                <w:t>.</w:t>
              </w:r>
              <w:r w:rsidRPr="00226F9D">
                <w:rPr>
                  <w:rStyle w:val="Hyperlink"/>
                  <w:rFonts w:ascii="Times New Roman" w:eastAsia="Yu Mincho" w:hAnsi="Times New Roman" w:cs="Times New Roman"/>
                  <w:kern w:val="0"/>
                  <w:sz w:val="20"/>
                  <w:szCs w:val="20"/>
                  <w:lang w:eastAsia="en-GB"/>
                  <w14:ligatures w14:val="none"/>
                </w:rPr>
                <w:t>org</w:t>
              </w:r>
            </w:hyperlink>
            <w:r w:rsidRPr="00226F9D">
              <w:rPr>
                <w:rFonts w:ascii="Times New Roman" w:eastAsia="Yu Mincho" w:hAnsi="Times New Roman" w:cs="Times New Roman"/>
                <w:kern w:val="0"/>
                <w:sz w:val="20"/>
                <w:szCs w:val="20"/>
                <w:lang w:val="sr-Cyrl-RS" w:eastAsia="en-GB"/>
                <w14:ligatures w14:val="none"/>
              </w:rPr>
              <w:t xml:space="preserve"> </w:t>
            </w:r>
          </w:p>
          <w:p w14:paraId="66F0F2B7" w14:textId="77777777" w:rsidR="00001C5C" w:rsidRPr="00226F9D" w:rsidRDefault="00001C5C" w:rsidP="00090884">
            <w:pPr>
              <w:spacing w:after="0" w:line="240" w:lineRule="auto"/>
              <w:jc w:val="both"/>
              <w:rPr>
                <w:rFonts w:ascii="Times New Roman" w:eastAsia="Calibri" w:hAnsi="Times New Roman" w:cs="Times New Roman"/>
                <w:i/>
                <w:iCs/>
                <w:kern w:val="0"/>
                <w:sz w:val="20"/>
                <w:szCs w:val="20"/>
                <w:lang w:val="sr-Cyrl-RS" w:eastAsia="en-GB"/>
                <w14:ligatures w14:val="none"/>
              </w:rPr>
            </w:pPr>
          </w:p>
        </w:tc>
      </w:tr>
      <w:tr w:rsidR="00001C5C" w:rsidRPr="00226F9D" w14:paraId="51FF344C" w14:textId="77777777" w:rsidTr="001F6F38">
        <w:trPr>
          <w:jc w:val="center"/>
        </w:trPr>
        <w:tc>
          <w:tcPr>
            <w:tcW w:w="3392" w:type="dxa"/>
            <w:shd w:val="clear" w:color="auto" w:fill="FFC000"/>
          </w:tcPr>
          <w:p w14:paraId="375B26EF" w14:textId="77777777" w:rsidR="00001C5C" w:rsidRPr="00226F9D" w:rsidRDefault="00001C5C" w:rsidP="00E63E7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Учесталост прикупљања података</w:t>
            </w:r>
          </w:p>
        </w:tc>
        <w:tc>
          <w:tcPr>
            <w:tcW w:w="11170" w:type="dxa"/>
            <w:gridSpan w:val="6"/>
            <w:shd w:val="clear" w:color="auto" w:fill="FFFFFF"/>
          </w:tcPr>
          <w:p w14:paraId="3EF1816E" w14:textId="422224C2"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Подаци се прикупљају до 31. децембра почев од 2018. године, и то сваке 2 године на репрезентативном узорку од минимум 30 ЈЛС (20%). Мерења су реализована 2021. године и 2023.године на узорку од 60 ЈЛС. </w:t>
            </w:r>
          </w:p>
        </w:tc>
      </w:tr>
      <w:tr w:rsidR="00001C5C" w:rsidRPr="00226F9D" w14:paraId="3BCE1671" w14:textId="77777777" w:rsidTr="001F6F38">
        <w:trPr>
          <w:trHeight w:val="710"/>
          <w:jc w:val="center"/>
        </w:trPr>
        <w:tc>
          <w:tcPr>
            <w:tcW w:w="3392" w:type="dxa"/>
            <w:shd w:val="clear" w:color="auto" w:fill="FFC000"/>
          </w:tcPr>
          <w:p w14:paraId="4686318F" w14:textId="77777777" w:rsidR="00001C5C" w:rsidRPr="00226F9D" w:rsidRDefault="00001C5C" w:rsidP="00E63E75">
            <w:pPr>
              <w:spacing w:after="0" w:line="240" w:lineRule="auto"/>
              <w:rPr>
                <w:rFonts w:ascii="Times New Roman" w:eastAsia="Calibri" w:hAnsi="Times New Roman" w:cs="Times New Roman"/>
                <w:b/>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Кратак опис показатеља и методологије израчунавања</w:t>
            </w:r>
          </w:p>
          <w:p w14:paraId="25280EA5" w14:textId="77777777" w:rsidR="00001C5C" w:rsidRPr="00226F9D" w:rsidRDefault="00001C5C" w:rsidP="00E63E7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(формуле/једначине)</w:t>
            </w:r>
          </w:p>
        </w:tc>
        <w:tc>
          <w:tcPr>
            <w:tcW w:w="11170" w:type="dxa"/>
            <w:gridSpan w:val="6"/>
            <w:shd w:val="clear" w:color="auto" w:fill="FFFFFF"/>
          </w:tcPr>
          <w:p w14:paraId="0CC6A5AA" w14:textId="16DE7D58"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Овај показатељ показује степен просечног капацитета ЈЛС за испуњавање појединачних административних, функционалних и процесних захтева који се пред њих постављају кроз индекс доброг управљања у областима (1) одговорности; (2) транспарентности</w:t>
            </w:r>
            <w:r w:rsidR="00F5588D" w:rsidRPr="00226F9D">
              <w:rPr>
                <w:rFonts w:ascii="Times New Roman" w:eastAsia="Yu Mincho" w:hAnsi="Times New Roman" w:cs="Times New Roman"/>
                <w:kern w:val="0"/>
                <w:sz w:val="20"/>
                <w:szCs w:val="20"/>
                <w:lang w:val="sr-Cyrl-RS" w:eastAsia="en-GB"/>
                <w14:ligatures w14:val="none"/>
              </w:rPr>
              <w:t>, отворености</w:t>
            </w:r>
            <w:r w:rsidRPr="00226F9D">
              <w:rPr>
                <w:rFonts w:ascii="Times New Roman" w:eastAsia="Yu Mincho" w:hAnsi="Times New Roman" w:cs="Times New Roman"/>
                <w:kern w:val="0"/>
                <w:sz w:val="20"/>
                <w:szCs w:val="20"/>
                <w:lang w:val="sr-Cyrl-RS" w:eastAsia="en-GB"/>
                <w14:ligatures w14:val="none"/>
              </w:rPr>
              <w:t xml:space="preserve"> и партиципације. Композитни индекс за сваку појединачну локалну самоуправу показује разлику између 1) тренутног – достигнутог и 2) пожељног – „идеалног” стања добре управе у конкретним областима, према унапред одређеним параметрима. Исказује се у процентима у односу на максимални могући скор. </w:t>
            </w:r>
            <w:r w:rsidR="00C05E5D" w:rsidRPr="00226F9D">
              <w:rPr>
                <w:rFonts w:ascii="Times New Roman" w:eastAsia="Yu Mincho" w:hAnsi="Times New Roman" w:cs="Times New Roman"/>
                <w:kern w:val="0"/>
                <w:sz w:val="20"/>
                <w:szCs w:val="20"/>
                <w:lang w:val="sr-Cyrl-RS" w:eastAsia="en-GB"/>
                <w14:ligatures w14:val="none"/>
              </w:rPr>
              <w:t>С обзиром на карактер и функцију овог индекса, његова садржина прати еволуцију система јавне управе и усклађује се са њом како би овај алат могао да прати капацитет ЛС у складу са актуелним захтевима из јавних политика и прописа и са најбољом праксом. У складу са тим током 2025. године индекс је значајно унапређен. Стога није могуће у потпуности упоредити претходно утврђене вредности из година пре 2025. године са овом и наредних пет година (иако су ме</w:t>
            </w:r>
            <w:r w:rsidR="006A4D05">
              <w:rPr>
                <w:rFonts w:ascii="Times New Roman" w:eastAsia="Yu Mincho" w:hAnsi="Times New Roman" w:cs="Times New Roman"/>
                <w:kern w:val="0"/>
                <w:sz w:val="20"/>
                <w:szCs w:val="20"/>
                <w:lang w:val="sr-Cyrl-RS" w:eastAsia="en-GB"/>
                <w14:ligatures w14:val="none"/>
              </w:rPr>
              <w:t>рења вршена у</w:t>
            </w:r>
            <w:r w:rsidR="00C05E5D" w:rsidRPr="00226F9D">
              <w:rPr>
                <w:rFonts w:ascii="Times New Roman" w:eastAsia="Yu Mincho" w:hAnsi="Times New Roman" w:cs="Times New Roman"/>
                <w:kern w:val="0"/>
                <w:sz w:val="20"/>
                <w:szCs w:val="20"/>
                <w:lang w:val="sr-Cyrl-RS" w:eastAsia="en-GB"/>
                <w14:ligatures w14:val="none"/>
              </w:rPr>
              <w:t xml:space="preserve"> више наврата пре 2025. године). </w:t>
            </w:r>
          </w:p>
        </w:tc>
      </w:tr>
      <w:tr w:rsidR="00741988" w:rsidRPr="00226F9D" w14:paraId="35F0832E" w14:textId="77777777" w:rsidTr="001F6F38">
        <w:trPr>
          <w:trHeight w:val="265"/>
          <w:jc w:val="center"/>
        </w:trPr>
        <w:tc>
          <w:tcPr>
            <w:tcW w:w="3392" w:type="dxa"/>
            <w:vMerge w:val="restart"/>
            <w:shd w:val="clear" w:color="auto" w:fill="FFC000"/>
          </w:tcPr>
          <w:p w14:paraId="6C3FC2EB" w14:textId="77777777" w:rsidR="00001C5C" w:rsidRPr="00226F9D" w:rsidRDefault="00001C5C" w:rsidP="00E63E75">
            <w:pPr>
              <w:spacing w:after="0" w:line="240" w:lineRule="auto"/>
              <w:rPr>
                <w:rFonts w:ascii="Times New Roman" w:eastAsia="Yu Mincho" w:hAnsi="Times New Roman" w:cs="Times New Roman"/>
                <w:b/>
                <w:bCs/>
                <w:kern w:val="0"/>
                <w:sz w:val="20"/>
                <w:szCs w:val="20"/>
                <w:lang w:val="sr-Cyrl-RS" w:eastAsia="en-GB"/>
                <w14:ligatures w14:val="none"/>
              </w:rPr>
            </w:pPr>
            <w:r w:rsidRPr="00226F9D">
              <w:rPr>
                <w:rFonts w:ascii="Times New Roman" w:eastAsia="Yu Mincho" w:hAnsi="Times New Roman" w:cs="Times New Roman"/>
                <w:b/>
                <w:bCs/>
                <w:kern w:val="0"/>
                <w:sz w:val="20"/>
                <w:szCs w:val="20"/>
                <w:lang w:val="sr-Cyrl-RS" w:eastAsia="en-GB"/>
                <w14:ligatures w14:val="none"/>
              </w:rPr>
              <w:t>Подаци о полазној вредности и години кад је измерена, као и о тренду у прошлости</w:t>
            </w:r>
          </w:p>
        </w:tc>
        <w:tc>
          <w:tcPr>
            <w:tcW w:w="7949" w:type="dxa"/>
            <w:gridSpan w:val="4"/>
            <w:tcBorders>
              <w:bottom w:val="single" w:sz="4" w:space="0" w:color="auto"/>
            </w:tcBorders>
            <w:shd w:val="clear" w:color="auto" w:fill="FFFFFF"/>
          </w:tcPr>
          <w:p w14:paraId="6525915A" w14:textId="77777777" w:rsidR="00001C5C" w:rsidRPr="00226F9D" w:rsidRDefault="00001C5C"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Тренд у прошлости</w:t>
            </w:r>
          </w:p>
        </w:tc>
        <w:tc>
          <w:tcPr>
            <w:tcW w:w="3221" w:type="dxa"/>
            <w:gridSpan w:val="2"/>
            <w:shd w:val="clear" w:color="auto" w:fill="FFFFFF"/>
          </w:tcPr>
          <w:p w14:paraId="6D461DC2" w14:textId="77777777" w:rsidR="00001C5C" w:rsidRPr="00226F9D" w:rsidRDefault="00001C5C"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Полазна вредност</w:t>
            </w:r>
          </w:p>
        </w:tc>
      </w:tr>
      <w:tr w:rsidR="003F4ABA" w:rsidRPr="00226F9D" w14:paraId="40B429BB" w14:textId="77777777" w:rsidTr="001F6F38">
        <w:trPr>
          <w:trHeight w:val="263"/>
          <w:jc w:val="center"/>
        </w:trPr>
        <w:tc>
          <w:tcPr>
            <w:tcW w:w="3392" w:type="dxa"/>
            <w:vMerge/>
          </w:tcPr>
          <w:p w14:paraId="66E53E2C" w14:textId="77777777" w:rsidR="00001C5C" w:rsidRPr="00226F9D" w:rsidRDefault="00001C5C" w:rsidP="00E63E75">
            <w:pPr>
              <w:spacing w:after="0" w:line="240" w:lineRule="auto"/>
              <w:rPr>
                <w:rFonts w:ascii="Times New Roman" w:eastAsia="Calibri" w:hAnsi="Times New Roman" w:cs="Times New Roman"/>
                <w:b/>
                <w:bCs/>
                <w:kern w:val="0"/>
                <w:sz w:val="20"/>
                <w:szCs w:val="20"/>
                <w:lang w:val="sr-Cyrl-RS" w:eastAsia="en-GB"/>
                <w14:ligatures w14:val="none"/>
              </w:rPr>
            </w:pPr>
          </w:p>
        </w:tc>
        <w:tc>
          <w:tcPr>
            <w:tcW w:w="2617" w:type="dxa"/>
            <w:tcBorders>
              <w:top w:val="single" w:sz="4" w:space="0" w:color="auto"/>
              <w:left w:val="single" w:sz="4" w:space="0" w:color="auto"/>
              <w:bottom w:val="single" w:sz="4" w:space="0" w:color="auto"/>
              <w:right w:val="single" w:sz="4" w:space="0" w:color="auto"/>
            </w:tcBorders>
          </w:tcPr>
          <w:p w14:paraId="038EFC40" w14:textId="552025D4"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00C9307F" w:rsidRPr="00226F9D">
              <w:rPr>
                <w:rFonts w:ascii="Times New Roman" w:eastAsia="Yu Mincho" w:hAnsi="Times New Roman" w:cs="Times New Roman"/>
                <w:kern w:val="0"/>
                <w:sz w:val="20"/>
                <w:szCs w:val="20"/>
                <w:lang w:val="sr-Latn-RS" w:eastAsia="en-GB"/>
                <w14:ligatures w14:val="none"/>
              </w:rPr>
              <w:t>18</w:t>
            </w:r>
            <w:r w:rsidRPr="00226F9D">
              <w:rPr>
                <w:rFonts w:ascii="Times New Roman" w:eastAsia="Yu Mincho" w:hAnsi="Times New Roman" w:cs="Times New Roman"/>
                <w:kern w:val="0"/>
                <w:sz w:val="20"/>
                <w:szCs w:val="20"/>
                <w:lang w:val="sr-Cyrl-RS" w:eastAsia="en-GB"/>
                <w14:ligatures w14:val="none"/>
              </w:rPr>
              <w:t>.</w:t>
            </w:r>
          </w:p>
        </w:tc>
        <w:tc>
          <w:tcPr>
            <w:tcW w:w="5332" w:type="dxa"/>
            <w:gridSpan w:val="3"/>
            <w:tcBorders>
              <w:top w:val="single" w:sz="4" w:space="0" w:color="auto"/>
              <w:left w:val="single" w:sz="4" w:space="0" w:color="auto"/>
              <w:bottom w:val="single" w:sz="4" w:space="0" w:color="auto"/>
              <w:right w:val="single" w:sz="4" w:space="0" w:color="auto"/>
            </w:tcBorders>
          </w:tcPr>
          <w:p w14:paraId="3CBB5480" w14:textId="77777777" w:rsidR="001F6F38" w:rsidRPr="00226F9D" w:rsidRDefault="001F6F38"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val="sr-Latn-RS" w:eastAsia="en-GB"/>
                <w14:ligatures w14:val="none"/>
              </w:rPr>
              <w:t>21</w:t>
            </w:r>
            <w:r w:rsidRPr="00226F9D">
              <w:rPr>
                <w:rFonts w:ascii="Times New Roman" w:eastAsia="Yu Mincho" w:hAnsi="Times New Roman" w:cs="Times New Roman"/>
                <w:kern w:val="0"/>
                <w:sz w:val="20"/>
                <w:szCs w:val="20"/>
                <w:lang w:val="sr-Cyrl-RS" w:eastAsia="en-GB"/>
                <w14:ligatures w14:val="none"/>
              </w:rPr>
              <w:t>.</w:t>
            </w:r>
          </w:p>
          <w:p w14:paraId="1DB35018" w14:textId="58A50894"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p>
        </w:tc>
        <w:tc>
          <w:tcPr>
            <w:tcW w:w="3221" w:type="dxa"/>
            <w:gridSpan w:val="2"/>
            <w:tcBorders>
              <w:top w:val="single" w:sz="4" w:space="0" w:color="auto"/>
              <w:left w:val="single" w:sz="4" w:space="0" w:color="auto"/>
              <w:bottom w:val="single" w:sz="4" w:space="0" w:color="auto"/>
            </w:tcBorders>
          </w:tcPr>
          <w:p w14:paraId="031466B0" w14:textId="4E470841" w:rsidR="00001C5C" w:rsidRPr="00226F9D" w:rsidRDefault="001F6F38"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val="sr-Latn-RS" w:eastAsia="en-GB"/>
                <w14:ligatures w14:val="none"/>
              </w:rPr>
              <w:t>2</w:t>
            </w:r>
            <w:r w:rsidRPr="00226F9D">
              <w:rPr>
                <w:rFonts w:ascii="Times New Roman" w:eastAsia="Yu Mincho" w:hAnsi="Times New Roman" w:cs="Times New Roman"/>
                <w:kern w:val="0"/>
                <w:sz w:val="20"/>
                <w:szCs w:val="20"/>
                <w:lang w:val="sr-Cyrl-RS" w:eastAsia="en-GB"/>
                <w14:ligatures w14:val="none"/>
              </w:rPr>
              <w:t>3.</w:t>
            </w:r>
          </w:p>
        </w:tc>
      </w:tr>
      <w:tr w:rsidR="003F4ABA" w:rsidRPr="00226F9D" w14:paraId="5A10D6CE" w14:textId="77777777">
        <w:trPr>
          <w:trHeight w:val="323"/>
          <w:jc w:val="center"/>
        </w:trPr>
        <w:tc>
          <w:tcPr>
            <w:tcW w:w="3392" w:type="dxa"/>
            <w:vMerge/>
          </w:tcPr>
          <w:p w14:paraId="5AB1C2D3" w14:textId="77777777" w:rsidR="00001C5C" w:rsidRPr="00226F9D" w:rsidRDefault="00001C5C" w:rsidP="00E63E75">
            <w:pPr>
              <w:spacing w:after="0" w:line="240" w:lineRule="auto"/>
              <w:rPr>
                <w:rFonts w:ascii="Times New Roman" w:eastAsia="Calibri" w:hAnsi="Times New Roman" w:cs="Times New Roman"/>
                <w:b/>
                <w:bCs/>
                <w:kern w:val="0"/>
                <w:sz w:val="20"/>
                <w:szCs w:val="20"/>
                <w:lang w:val="sr-Cyrl-RS" w:eastAsia="en-GB"/>
                <w14:ligatures w14:val="none"/>
              </w:rPr>
            </w:pPr>
          </w:p>
        </w:tc>
        <w:tc>
          <w:tcPr>
            <w:tcW w:w="2617" w:type="dxa"/>
            <w:tcBorders>
              <w:top w:val="single" w:sz="4" w:space="0" w:color="auto"/>
            </w:tcBorders>
          </w:tcPr>
          <w:p w14:paraId="708C0BF7" w14:textId="073CCF49" w:rsidR="00001C5C" w:rsidRPr="00226F9D" w:rsidRDefault="00FD5E12"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43%</w:t>
            </w:r>
          </w:p>
        </w:tc>
        <w:tc>
          <w:tcPr>
            <w:tcW w:w="5332" w:type="dxa"/>
            <w:gridSpan w:val="3"/>
            <w:tcBorders>
              <w:top w:val="single" w:sz="4" w:space="0" w:color="auto"/>
            </w:tcBorders>
          </w:tcPr>
          <w:p w14:paraId="3E7E5C88" w14:textId="77777777" w:rsidR="001F6F38" w:rsidRPr="00226F9D" w:rsidRDefault="001F6F38"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53%</w:t>
            </w:r>
          </w:p>
          <w:p w14:paraId="5D439AC7" w14:textId="1614946F" w:rsidR="00001C5C" w:rsidRPr="00226F9D" w:rsidRDefault="00001C5C" w:rsidP="00090884">
            <w:pPr>
              <w:spacing w:after="0" w:line="240" w:lineRule="auto"/>
              <w:jc w:val="both"/>
              <w:rPr>
                <w:rFonts w:ascii="Times New Roman" w:eastAsia="Calibri" w:hAnsi="Times New Roman" w:cs="Times New Roman"/>
                <w:kern w:val="0"/>
                <w:sz w:val="20"/>
                <w:szCs w:val="20"/>
                <w:lang w:val="sr-Cyrl-RS" w:eastAsia="en-GB"/>
                <w14:ligatures w14:val="none"/>
              </w:rPr>
            </w:pPr>
          </w:p>
        </w:tc>
        <w:tc>
          <w:tcPr>
            <w:tcW w:w="3221" w:type="dxa"/>
            <w:gridSpan w:val="2"/>
            <w:tcBorders>
              <w:top w:val="single" w:sz="4" w:space="0" w:color="auto"/>
            </w:tcBorders>
          </w:tcPr>
          <w:p w14:paraId="0595ACBF" w14:textId="2E8F329A" w:rsidR="00001C5C" w:rsidRPr="00226F9D" w:rsidRDefault="001F6F38" w:rsidP="00090884">
            <w:pPr>
              <w:spacing w:after="0" w:line="240" w:lineRule="auto"/>
              <w:jc w:val="both"/>
              <w:rPr>
                <w:rFonts w:ascii="Times New Roman" w:eastAsia="Calibri" w:hAnsi="Times New Roman" w:cs="Times New Roman"/>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59,1%</w:t>
            </w:r>
          </w:p>
        </w:tc>
      </w:tr>
      <w:tr w:rsidR="008E6BC2" w:rsidRPr="00226F9D" w14:paraId="436B5C46" w14:textId="77777777" w:rsidTr="001F6F38">
        <w:trPr>
          <w:trHeight w:val="274"/>
          <w:jc w:val="center"/>
        </w:trPr>
        <w:tc>
          <w:tcPr>
            <w:tcW w:w="3392" w:type="dxa"/>
            <w:vMerge w:val="restart"/>
            <w:shd w:val="clear" w:color="auto" w:fill="FFC000"/>
          </w:tcPr>
          <w:p w14:paraId="530D783F" w14:textId="77777777" w:rsidR="00001C5C" w:rsidRPr="00226F9D" w:rsidRDefault="00001C5C" w:rsidP="00E63E7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Подаци о циљним вредностима</w:t>
            </w:r>
          </w:p>
        </w:tc>
        <w:tc>
          <w:tcPr>
            <w:tcW w:w="2617" w:type="dxa"/>
          </w:tcPr>
          <w:p w14:paraId="46CAF9CE"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val="sr-Latn-RS" w:eastAsia="en-GB"/>
                <w14:ligatures w14:val="none"/>
              </w:rPr>
              <w:t>6</w:t>
            </w:r>
            <w:r w:rsidRPr="00226F9D">
              <w:rPr>
                <w:rFonts w:ascii="Times New Roman" w:eastAsia="Yu Mincho" w:hAnsi="Times New Roman" w:cs="Times New Roman"/>
                <w:kern w:val="0"/>
                <w:sz w:val="20"/>
                <w:szCs w:val="20"/>
                <w:lang w:val="sr-Cyrl-RS" w:eastAsia="en-GB"/>
                <w14:ligatures w14:val="none"/>
              </w:rPr>
              <w:t>.</w:t>
            </w:r>
          </w:p>
        </w:tc>
        <w:tc>
          <w:tcPr>
            <w:tcW w:w="2472" w:type="dxa"/>
            <w:gridSpan w:val="2"/>
          </w:tcPr>
          <w:p w14:paraId="73DE2368"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val="sr-Latn-RS" w:eastAsia="en-GB"/>
                <w14:ligatures w14:val="none"/>
              </w:rPr>
              <w:t>7</w:t>
            </w:r>
            <w:r w:rsidRPr="00226F9D">
              <w:rPr>
                <w:rFonts w:ascii="Times New Roman" w:eastAsia="Yu Mincho" w:hAnsi="Times New Roman" w:cs="Times New Roman"/>
                <w:kern w:val="0"/>
                <w:sz w:val="20"/>
                <w:szCs w:val="20"/>
                <w:lang w:val="sr-Cyrl-RS" w:eastAsia="en-GB"/>
                <w14:ligatures w14:val="none"/>
              </w:rPr>
              <w:t>.</w:t>
            </w:r>
          </w:p>
        </w:tc>
        <w:tc>
          <w:tcPr>
            <w:tcW w:w="2860" w:type="dxa"/>
          </w:tcPr>
          <w:p w14:paraId="2C01493D"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val="sr-Latn-RS" w:eastAsia="en-GB"/>
                <w14:ligatures w14:val="none"/>
              </w:rPr>
              <w:t>8</w:t>
            </w:r>
            <w:r w:rsidRPr="00226F9D">
              <w:rPr>
                <w:rFonts w:ascii="Times New Roman" w:eastAsia="Yu Mincho" w:hAnsi="Times New Roman" w:cs="Times New Roman"/>
                <w:kern w:val="0"/>
                <w:sz w:val="20"/>
                <w:szCs w:val="20"/>
                <w:lang w:val="sr-Cyrl-RS" w:eastAsia="en-GB"/>
                <w14:ligatures w14:val="none"/>
              </w:rPr>
              <w:t>.</w:t>
            </w:r>
          </w:p>
        </w:tc>
        <w:tc>
          <w:tcPr>
            <w:tcW w:w="1812" w:type="dxa"/>
          </w:tcPr>
          <w:p w14:paraId="486377C2"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val="sr-Latn-RS" w:eastAsia="en-GB"/>
                <w14:ligatures w14:val="none"/>
              </w:rPr>
              <w:t>9</w:t>
            </w:r>
            <w:r w:rsidRPr="00226F9D">
              <w:rPr>
                <w:rFonts w:ascii="Times New Roman" w:eastAsia="Yu Mincho" w:hAnsi="Times New Roman" w:cs="Times New Roman"/>
                <w:kern w:val="0"/>
                <w:sz w:val="20"/>
                <w:szCs w:val="20"/>
                <w:lang w:val="sr-Cyrl-RS" w:eastAsia="en-GB"/>
                <w14:ligatures w14:val="none"/>
              </w:rPr>
              <w:t>.</w:t>
            </w:r>
          </w:p>
        </w:tc>
        <w:tc>
          <w:tcPr>
            <w:tcW w:w="1409" w:type="dxa"/>
          </w:tcPr>
          <w:p w14:paraId="2AF63C13"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val="sr-Latn-RS" w:eastAsia="en-GB"/>
                <w14:ligatures w14:val="none"/>
              </w:rPr>
              <w:t>30</w:t>
            </w:r>
            <w:r w:rsidRPr="00226F9D">
              <w:rPr>
                <w:rFonts w:ascii="Times New Roman" w:eastAsia="Yu Mincho" w:hAnsi="Times New Roman" w:cs="Times New Roman"/>
                <w:kern w:val="0"/>
                <w:sz w:val="20"/>
                <w:szCs w:val="20"/>
                <w:lang w:val="sr-Cyrl-RS" w:eastAsia="en-GB"/>
                <w14:ligatures w14:val="none"/>
              </w:rPr>
              <w:t>.</w:t>
            </w:r>
          </w:p>
        </w:tc>
      </w:tr>
      <w:tr w:rsidR="008E6BC2" w:rsidRPr="00226F9D" w14:paraId="7AB37C5C" w14:textId="77777777" w:rsidTr="001F6F38">
        <w:trPr>
          <w:trHeight w:val="160"/>
          <w:jc w:val="center"/>
        </w:trPr>
        <w:tc>
          <w:tcPr>
            <w:tcW w:w="3392" w:type="dxa"/>
            <w:vMerge/>
          </w:tcPr>
          <w:p w14:paraId="08BFCC30" w14:textId="77777777" w:rsidR="00001C5C" w:rsidRPr="00226F9D" w:rsidRDefault="00001C5C" w:rsidP="00E63E75">
            <w:pPr>
              <w:spacing w:after="0" w:line="240" w:lineRule="auto"/>
              <w:rPr>
                <w:rFonts w:ascii="Times New Roman" w:eastAsia="Calibri" w:hAnsi="Times New Roman" w:cs="Times New Roman"/>
                <w:b/>
                <w:bCs/>
                <w:kern w:val="0"/>
                <w:sz w:val="20"/>
                <w:szCs w:val="20"/>
                <w:lang w:val="sr-Cyrl-RS" w:eastAsia="en-GB"/>
                <w14:ligatures w14:val="none"/>
              </w:rPr>
            </w:pPr>
          </w:p>
        </w:tc>
        <w:tc>
          <w:tcPr>
            <w:tcW w:w="2617" w:type="dxa"/>
          </w:tcPr>
          <w:p w14:paraId="41091059"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Latn-RS" w:eastAsia="en-GB"/>
                <w14:ligatures w14:val="none"/>
              </w:rPr>
            </w:pPr>
            <w:r w:rsidRPr="00226F9D">
              <w:rPr>
                <w:rFonts w:ascii="Times New Roman" w:eastAsia="Yu Mincho" w:hAnsi="Times New Roman" w:cs="Times New Roman"/>
                <w:kern w:val="0"/>
                <w:sz w:val="20"/>
                <w:szCs w:val="20"/>
                <w:lang w:val="sr-Latn-RS" w:eastAsia="en-GB"/>
                <w14:ligatures w14:val="none"/>
              </w:rPr>
              <w:t>/</w:t>
            </w:r>
          </w:p>
        </w:tc>
        <w:tc>
          <w:tcPr>
            <w:tcW w:w="2472" w:type="dxa"/>
            <w:gridSpan w:val="2"/>
          </w:tcPr>
          <w:p w14:paraId="13C5080B" w14:textId="37299C82" w:rsidR="00001C5C" w:rsidRPr="00226F9D" w:rsidRDefault="00663836"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w:t>
            </w:r>
          </w:p>
        </w:tc>
        <w:tc>
          <w:tcPr>
            <w:tcW w:w="2860" w:type="dxa"/>
          </w:tcPr>
          <w:p w14:paraId="08D23C15" w14:textId="27EF537B" w:rsidR="00001C5C" w:rsidRPr="00226F9D" w:rsidRDefault="00A7239E"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63%</w:t>
            </w:r>
          </w:p>
        </w:tc>
        <w:tc>
          <w:tcPr>
            <w:tcW w:w="1812" w:type="dxa"/>
          </w:tcPr>
          <w:p w14:paraId="045799F2" w14:textId="2CFEE977" w:rsidR="00001C5C" w:rsidRPr="00226F9D" w:rsidRDefault="00663836"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w:t>
            </w:r>
          </w:p>
        </w:tc>
        <w:tc>
          <w:tcPr>
            <w:tcW w:w="1409" w:type="dxa"/>
          </w:tcPr>
          <w:p w14:paraId="2FB981C0" w14:textId="0328B148" w:rsidR="00001C5C" w:rsidRPr="00226F9D" w:rsidRDefault="00A7239E"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66%</w:t>
            </w:r>
          </w:p>
        </w:tc>
      </w:tr>
      <w:tr w:rsidR="00001C5C" w:rsidRPr="00226F9D" w14:paraId="2F9791D0" w14:textId="77777777" w:rsidTr="001F6F38">
        <w:trPr>
          <w:trHeight w:val="160"/>
          <w:jc w:val="center"/>
        </w:trPr>
        <w:tc>
          <w:tcPr>
            <w:tcW w:w="3392" w:type="dxa"/>
            <w:shd w:val="clear" w:color="auto" w:fill="FFC000"/>
          </w:tcPr>
          <w:p w14:paraId="52B6DEEA" w14:textId="77777777" w:rsidR="00001C5C" w:rsidRPr="00226F9D" w:rsidRDefault="00001C5C" w:rsidP="00E63E7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Процена успешности</w:t>
            </w:r>
          </w:p>
        </w:tc>
        <w:tc>
          <w:tcPr>
            <w:tcW w:w="11170" w:type="dxa"/>
            <w:gridSpan w:val="6"/>
            <w:shd w:val="clear" w:color="auto" w:fill="FFFFFF"/>
          </w:tcPr>
          <w:p w14:paraId="4C929CD6" w14:textId="77777777"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Прихватљиво је одступање до 5% мање у односу на циљане вредности.</w:t>
            </w:r>
          </w:p>
        </w:tc>
      </w:tr>
    </w:tbl>
    <w:p w14:paraId="46DA95A4" w14:textId="77777777" w:rsidR="00C07638" w:rsidRPr="00226F9D" w:rsidRDefault="00C07638" w:rsidP="00090884">
      <w:pPr>
        <w:spacing w:after="0" w:line="240" w:lineRule="auto"/>
        <w:jc w:val="both"/>
        <w:rPr>
          <w:rFonts w:ascii="Times New Roman" w:eastAsia="Yu Gothic Light" w:hAnsi="Times New Roman" w:cs="Times New Roman"/>
          <w:lang w:val="sr-Latn-RS" w:eastAsia="en-GB"/>
        </w:rPr>
      </w:pPr>
      <w:bookmarkStart w:id="63" w:name="_Hlk63273000"/>
    </w:p>
    <w:p w14:paraId="63223D73" w14:textId="77777777" w:rsidR="00BA5DCA" w:rsidRPr="00226F9D" w:rsidRDefault="00BA5DCA" w:rsidP="00090884">
      <w:pPr>
        <w:spacing w:after="0" w:line="240" w:lineRule="auto"/>
        <w:jc w:val="both"/>
        <w:rPr>
          <w:rFonts w:ascii="Times New Roman" w:eastAsia="Yu Gothic Light" w:hAnsi="Times New Roman" w:cs="Times New Roman"/>
          <w:lang w:val="sr-Latn-RS" w:eastAsia="en-GB"/>
        </w:rPr>
      </w:pPr>
    </w:p>
    <w:p w14:paraId="7E094ABB" w14:textId="56844458" w:rsidR="00607B11" w:rsidRDefault="00607B11" w:rsidP="00090884">
      <w:pPr>
        <w:spacing w:after="0" w:line="240" w:lineRule="auto"/>
        <w:jc w:val="both"/>
        <w:rPr>
          <w:rFonts w:ascii="Times New Roman" w:eastAsia="Yu Gothic Light" w:hAnsi="Times New Roman" w:cs="Times New Roman"/>
          <w:lang w:val="sr-Latn-RS" w:eastAsia="en-GB"/>
        </w:rPr>
      </w:pPr>
    </w:p>
    <w:p w14:paraId="2B3ECAD9" w14:textId="77777777" w:rsidR="0078271E" w:rsidRPr="00226F9D" w:rsidRDefault="0078271E" w:rsidP="00090884">
      <w:pPr>
        <w:spacing w:after="0" w:line="240" w:lineRule="auto"/>
        <w:jc w:val="both"/>
        <w:rPr>
          <w:rFonts w:ascii="Times New Roman" w:eastAsia="Yu Gothic Light" w:hAnsi="Times New Roman" w:cs="Times New Roman"/>
          <w:lang w:val="sr-Latn-RS" w:eastAsia="en-GB"/>
        </w:rPr>
      </w:pPr>
    </w:p>
    <w:p w14:paraId="25C71AD0" w14:textId="77777777" w:rsidR="00BA5DCA" w:rsidRPr="00226F9D" w:rsidRDefault="00BA5DCA" w:rsidP="00090884">
      <w:pPr>
        <w:spacing w:after="0" w:line="240" w:lineRule="auto"/>
        <w:jc w:val="both"/>
        <w:rPr>
          <w:rFonts w:ascii="Times New Roman" w:eastAsia="Yu Gothic Light" w:hAnsi="Times New Roman" w:cs="Times New Roman"/>
          <w:lang w:val="sr-Cyrl-RS" w:eastAsia="en-GB"/>
        </w:rPr>
      </w:pPr>
    </w:p>
    <w:p w14:paraId="6D39D720" w14:textId="77777777" w:rsidR="00E467E7" w:rsidRPr="00226F9D" w:rsidRDefault="00E467E7" w:rsidP="00090884">
      <w:pPr>
        <w:spacing w:after="0" w:line="240" w:lineRule="auto"/>
        <w:jc w:val="both"/>
        <w:rPr>
          <w:rFonts w:ascii="Times New Roman" w:eastAsia="Yu Gothic Light" w:hAnsi="Times New Roman" w:cs="Times New Roman"/>
          <w:lang w:val="sr-Cyrl-RS" w:eastAsia="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9"/>
        <w:gridCol w:w="2382"/>
        <w:gridCol w:w="2568"/>
        <w:gridCol w:w="956"/>
        <w:gridCol w:w="1234"/>
        <w:gridCol w:w="1504"/>
        <w:gridCol w:w="2319"/>
      </w:tblGrid>
      <w:tr w:rsidR="00E467E7" w:rsidRPr="00226F9D" w14:paraId="3FE949A2" w14:textId="77777777" w:rsidTr="00400185">
        <w:trPr>
          <w:trHeight w:val="557"/>
          <w:jc w:val="center"/>
        </w:trPr>
        <w:tc>
          <w:tcPr>
            <w:tcW w:w="3397" w:type="dxa"/>
            <w:tcBorders>
              <w:top w:val="single" w:sz="4" w:space="0" w:color="auto"/>
              <w:left w:val="single" w:sz="4" w:space="0" w:color="auto"/>
              <w:bottom w:val="single" w:sz="4" w:space="0" w:color="auto"/>
              <w:right w:val="single" w:sz="4" w:space="0" w:color="auto"/>
            </w:tcBorders>
            <w:shd w:val="clear" w:color="auto" w:fill="D9D9D9"/>
            <w:vAlign w:val="center"/>
          </w:tcPr>
          <w:p w14:paraId="574E5215" w14:textId="77777777" w:rsidR="00E467E7" w:rsidRPr="00226F9D" w:rsidRDefault="00E467E7">
            <w:pPr>
              <w:spacing w:after="0" w:line="240" w:lineRule="auto"/>
              <w:jc w:val="both"/>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lastRenderedPageBreak/>
              <w:t>Назив показатеља</w:t>
            </w:r>
          </w:p>
        </w:tc>
        <w:tc>
          <w:tcPr>
            <w:tcW w:w="10348"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5FBF1083" w14:textId="77777777" w:rsidR="00E467E7" w:rsidRPr="00226F9D" w:rsidRDefault="00E467E7">
            <w:pPr>
              <w:spacing w:after="0" w:line="240" w:lineRule="auto"/>
              <w:jc w:val="both"/>
              <w:rPr>
                <w:rFonts w:ascii="Times New Roman" w:eastAsia="Calibri" w:hAnsi="Times New Roman" w:cs="Times New Roman"/>
                <w:b/>
                <w:iCs/>
                <w:color w:val="000000"/>
                <w:kern w:val="0"/>
                <w:sz w:val="20"/>
                <w:szCs w:val="20"/>
                <w:lang w:val="sr-Cyrl-RS" w:eastAsia="en-GB"/>
                <w14:ligatures w14:val="none"/>
              </w:rPr>
            </w:pPr>
            <w:r w:rsidRPr="00226F9D">
              <w:rPr>
                <w:rFonts w:ascii="Times New Roman" w:eastAsia="Yu Mincho" w:hAnsi="Times New Roman" w:cs="Times New Roman"/>
                <w:b/>
                <w:bCs/>
                <w:color w:val="000000"/>
                <w:kern w:val="0"/>
                <w:sz w:val="20"/>
                <w:szCs w:val="20"/>
                <w:lang w:val="sr-Cyrl-RS" w:eastAsia="en-GB"/>
                <w14:ligatures w14:val="none"/>
              </w:rPr>
              <w:t>Степен обучености локалних органа и управе за примену новог системског правног оквира за локалну самоуправу</w:t>
            </w:r>
          </w:p>
        </w:tc>
      </w:tr>
      <w:tr w:rsidR="00E467E7" w:rsidRPr="00226F9D" w14:paraId="5D2C1FF5" w14:textId="77777777" w:rsidTr="00BA5DCA">
        <w:trPr>
          <w:trHeight w:val="561"/>
          <w:jc w:val="center"/>
        </w:trPr>
        <w:tc>
          <w:tcPr>
            <w:tcW w:w="3397" w:type="dxa"/>
            <w:tcBorders>
              <w:top w:val="single" w:sz="4" w:space="0" w:color="auto"/>
              <w:left w:val="single" w:sz="4" w:space="0" w:color="auto"/>
              <w:bottom w:val="single" w:sz="4" w:space="0" w:color="auto"/>
              <w:right w:val="single" w:sz="4" w:space="0" w:color="auto"/>
            </w:tcBorders>
            <w:shd w:val="clear" w:color="auto" w:fill="FFC000"/>
            <w:vAlign w:val="center"/>
          </w:tcPr>
          <w:p w14:paraId="73BA8FBC" w14:textId="77777777" w:rsidR="00E467E7" w:rsidRPr="00226F9D" w:rsidRDefault="00E467E7" w:rsidP="00400185">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Одговарајући општи, посебни циљ или мера</w:t>
            </w:r>
          </w:p>
        </w:tc>
        <w:tc>
          <w:tcPr>
            <w:tcW w:w="1034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7290EDD" w14:textId="2B121126" w:rsidR="00E467E7" w:rsidRPr="00226F9D" w:rsidRDefault="00E467E7">
            <w:pPr>
              <w:spacing w:after="0" w:line="240" w:lineRule="auto"/>
              <w:jc w:val="both"/>
              <w:rPr>
                <w:rFonts w:ascii="Times New Roman" w:eastAsia="Calibri" w:hAnsi="Times New Roman" w:cs="Times New Roman"/>
                <w:b/>
                <w:iCs/>
                <w:color w:val="000000"/>
                <w:kern w:val="0"/>
                <w:sz w:val="20"/>
                <w:szCs w:val="20"/>
                <w:lang w:val="sr-Latn-RS" w:eastAsia="en-GB"/>
                <w14:ligatures w14:val="none"/>
              </w:rPr>
            </w:pPr>
            <w:r w:rsidRPr="00226F9D">
              <w:rPr>
                <w:rFonts w:ascii="Times New Roman" w:eastAsia="Times New Roman" w:hAnsi="Times New Roman" w:cs="Times New Roman"/>
                <w:bCs/>
                <w:iCs/>
                <w:color w:val="000000"/>
                <w:kern w:val="24"/>
                <w:sz w:val="20"/>
                <w:szCs w:val="20"/>
                <w:lang w:val="sr-Cyrl-RS" w:eastAsia="en-GB"/>
                <w14:ligatures w14:val="none"/>
              </w:rPr>
              <w:t>Унапређена организација и капацитети локалне управе</w:t>
            </w:r>
          </w:p>
        </w:tc>
      </w:tr>
      <w:tr w:rsidR="00741988" w:rsidRPr="00226F9D" w14:paraId="6882FC25" w14:textId="77777777" w:rsidTr="00BA5DCA">
        <w:trPr>
          <w:trHeight w:val="272"/>
          <w:jc w:val="center"/>
        </w:trPr>
        <w:tc>
          <w:tcPr>
            <w:tcW w:w="3397" w:type="dxa"/>
            <w:shd w:val="clear" w:color="auto" w:fill="FFC000"/>
            <w:vAlign w:val="center"/>
          </w:tcPr>
          <w:p w14:paraId="00D2D485" w14:textId="77777777" w:rsidR="00E467E7" w:rsidRPr="00226F9D" w:rsidRDefault="00E467E7" w:rsidP="00400185">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Тип и ниво показатеља</w:t>
            </w:r>
          </w:p>
        </w:tc>
        <w:tc>
          <w:tcPr>
            <w:tcW w:w="4672" w:type="dxa"/>
            <w:gridSpan w:val="2"/>
            <w:shd w:val="clear" w:color="auto" w:fill="FFFFFF"/>
            <w:vAlign w:val="center"/>
          </w:tcPr>
          <w:p w14:paraId="332FB5FA" w14:textId="77777777" w:rsidR="00E467E7" w:rsidRPr="00226F9D" w:rsidRDefault="00E467E7">
            <w:pPr>
              <w:spacing w:after="0" w:line="240" w:lineRule="auto"/>
              <w:jc w:val="both"/>
              <w:rPr>
                <w:rFonts w:ascii="Times New Roman" w:eastAsia="Calibri" w:hAnsi="Times New Roman" w:cs="Times New Roman"/>
                <w:bCs/>
                <w:iCs/>
                <w:color w:val="000000"/>
                <w:kern w:val="24"/>
                <w:sz w:val="20"/>
                <w:szCs w:val="20"/>
                <w:lang w:val="sr-Cyrl-RS" w:eastAsia="en-GB"/>
                <w14:ligatures w14:val="none"/>
              </w:rPr>
            </w:pPr>
            <w:r w:rsidRPr="00226F9D">
              <w:rPr>
                <w:rFonts w:ascii="Times New Roman" w:eastAsia="Calibri" w:hAnsi="Times New Roman" w:cs="Times New Roman"/>
                <w:bCs/>
                <w:iCs/>
                <w:color w:val="000000"/>
                <w:kern w:val="24"/>
                <w:sz w:val="20"/>
                <w:szCs w:val="20"/>
                <w:lang w:val="sr-Cyrl-RS" w:eastAsia="en-GB"/>
                <w14:ligatures w14:val="none"/>
              </w:rPr>
              <w:t>Квалитативни</w:t>
            </w:r>
          </w:p>
        </w:tc>
        <w:tc>
          <w:tcPr>
            <w:tcW w:w="5676" w:type="dxa"/>
            <w:gridSpan w:val="4"/>
            <w:shd w:val="clear" w:color="auto" w:fill="FFFFFF"/>
            <w:vAlign w:val="center"/>
          </w:tcPr>
          <w:p w14:paraId="4865127C" w14:textId="77777777" w:rsidR="00E467E7" w:rsidRPr="00226F9D" w:rsidRDefault="00E467E7">
            <w:pPr>
              <w:spacing w:after="0" w:line="240" w:lineRule="auto"/>
              <w:jc w:val="both"/>
              <w:rPr>
                <w:rFonts w:ascii="Times New Roman" w:eastAsia="Calibri" w:hAnsi="Times New Roman" w:cs="Times New Roman"/>
                <w:bCs/>
                <w:iCs/>
                <w:color w:val="000000"/>
                <w:kern w:val="24"/>
                <w:sz w:val="20"/>
                <w:szCs w:val="20"/>
                <w:lang w:val="sr-Cyrl-RS" w:eastAsia="en-GB"/>
                <w14:ligatures w14:val="none"/>
              </w:rPr>
            </w:pPr>
            <w:r w:rsidRPr="00226F9D">
              <w:rPr>
                <w:rFonts w:ascii="Times New Roman" w:eastAsia="Calibri" w:hAnsi="Times New Roman" w:cs="Times New Roman"/>
                <w:bCs/>
                <w:color w:val="000000"/>
                <w:kern w:val="24"/>
                <w:sz w:val="20"/>
                <w:szCs w:val="20"/>
                <w:lang w:val="sr-Cyrl-RS" w:eastAsia="en-GB"/>
                <w14:ligatures w14:val="none"/>
              </w:rPr>
              <w:t>Показатељ на нивоу посебног циља</w:t>
            </w:r>
          </w:p>
        </w:tc>
      </w:tr>
      <w:tr w:rsidR="00741988" w:rsidRPr="00226F9D" w14:paraId="5D3F95D3" w14:textId="77777777" w:rsidTr="00BA5DCA">
        <w:trPr>
          <w:trHeight w:val="377"/>
          <w:jc w:val="center"/>
        </w:trPr>
        <w:tc>
          <w:tcPr>
            <w:tcW w:w="3397" w:type="dxa"/>
            <w:shd w:val="clear" w:color="auto" w:fill="FFC000"/>
            <w:vAlign w:val="center"/>
          </w:tcPr>
          <w:p w14:paraId="040FF88D" w14:textId="77777777" w:rsidR="00E467E7" w:rsidRPr="00226F9D" w:rsidRDefault="00E467E7" w:rsidP="00400185">
            <w:pPr>
              <w:spacing w:after="0" w:line="240" w:lineRule="auto"/>
              <w:rPr>
                <w:rFonts w:ascii="Times New Roman" w:eastAsia="Calibri" w:hAnsi="Times New Roman" w:cs="Times New Roman"/>
                <w:b/>
                <w:color w:val="000000"/>
                <w:kern w:val="24"/>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Јединица мере и природа</w:t>
            </w:r>
          </w:p>
        </w:tc>
        <w:tc>
          <w:tcPr>
            <w:tcW w:w="4672" w:type="dxa"/>
            <w:gridSpan w:val="2"/>
            <w:shd w:val="clear" w:color="auto" w:fill="FFFFFF"/>
            <w:vAlign w:val="center"/>
          </w:tcPr>
          <w:p w14:paraId="73BEFC48" w14:textId="77777777" w:rsidR="00E467E7" w:rsidRPr="00226F9D" w:rsidRDefault="00E467E7">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24"/>
                <w:sz w:val="20"/>
                <w:szCs w:val="20"/>
                <w:lang w:val="sr-Cyrl-RS" w:eastAsia="en-GB"/>
                <w14:ligatures w14:val="none"/>
              </w:rPr>
              <w:t>Композитна скала (1–5)</w:t>
            </w:r>
          </w:p>
        </w:tc>
        <w:tc>
          <w:tcPr>
            <w:tcW w:w="5676" w:type="dxa"/>
            <w:gridSpan w:val="4"/>
            <w:shd w:val="clear" w:color="auto" w:fill="FFFFFF"/>
            <w:vAlign w:val="center"/>
          </w:tcPr>
          <w:p w14:paraId="00E145CE" w14:textId="77777777" w:rsidR="00E467E7" w:rsidRPr="00226F9D" w:rsidRDefault="00E467E7">
            <w:pPr>
              <w:spacing w:after="0" w:line="240" w:lineRule="auto"/>
              <w:jc w:val="both"/>
              <w:rPr>
                <w:rFonts w:ascii="Times New Roman" w:eastAsia="Arial" w:hAnsi="Times New Roman" w:cs="Times New Roman"/>
                <w:iCs/>
                <w:color w:val="000000"/>
                <w:spacing w:val="-1"/>
                <w:kern w:val="24"/>
                <w:sz w:val="20"/>
                <w:szCs w:val="20"/>
                <w:lang w:val="sr-Cyrl-RS" w:eastAsia="en-GB"/>
                <w14:ligatures w14:val="none"/>
              </w:rPr>
            </w:pPr>
            <w:r w:rsidRPr="00226F9D">
              <w:rPr>
                <w:rFonts w:ascii="Times New Roman" w:eastAsia="Arial" w:hAnsi="Times New Roman" w:cs="Times New Roman"/>
                <w:iCs/>
                <w:color w:val="000000"/>
                <w:spacing w:val="-1"/>
                <w:kern w:val="24"/>
                <w:sz w:val="20"/>
                <w:szCs w:val="20"/>
                <w:lang w:val="sr-Cyrl-RS" w:eastAsia="en-GB"/>
                <w14:ligatures w14:val="none"/>
              </w:rPr>
              <w:t>Пожељна је већа вредност</w:t>
            </w:r>
          </w:p>
        </w:tc>
      </w:tr>
      <w:tr w:rsidR="00E467E7" w:rsidRPr="00226F9D" w14:paraId="2D016D9B" w14:textId="77777777" w:rsidTr="00BA5DCA">
        <w:trPr>
          <w:trHeight w:val="561"/>
          <w:jc w:val="center"/>
        </w:trPr>
        <w:tc>
          <w:tcPr>
            <w:tcW w:w="3397" w:type="dxa"/>
            <w:shd w:val="clear" w:color="auto" w:fill="FFC000"/>
            <w:vAlign w:val="center"/>
          </w:tcPr>
          <w:p w14:paraId="6B639D03" w14:textId="77777777" w:rsidR="00E467E7" w:rsidRPr="00226F9D" w:rsidRDefault="00E467E7" w:rsidP="0040018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Извор података за праћење показатеља учинка</w:t>
            </w:r>
          </w:p>
        </w:tc>
        <w:tc>
          <w:tcPr>
            <w:tcW w:w="10348" w:type="dxa"/>
            <w:gridSpan w:val="6"/>
            <w:shd w:val="clear" w:color="auto" w:fill="FFFFFF"/>
            <w:vAlign w:val="center"/>
          </w:tcPr>
          <w:p w14:paraId="6B015406" w14:textId="42DC0FB3" w:rsidR="00E467E7" w:rsidRPr="00226F9D" w:rsidRDefault="00E467E7">
            <w:pPr>
              <w:spacing w:after="0" w:line="240" w:lineRule="auto"/>
              <w:jc w:val="both"/>
              <w:rPr>
                <w:rFonts w:ascii="Times New Roman" w:eastAsia="Calibri" w:hAnsi="Times New Roman" w:cs="Times New Roman"/>
                <w:color w:val="000000"/>
                <w:kern w:val="0"/>
                <w:sz w:val="20"/>
                <w:szCs w:val="20"/>
                <w:lang w:val="sr-Latn-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Извештаји СКГО</w:t>
            </w:r>
          </w:p>
        </w:tc>
      </w:tr>
      <w:tr w:rsidR="00E467E7" w:rsidRPr="00226F9D" w14:paraId="5198D845" w14:textId="77777777" w:rsidTr="00BA5DCA">
        <w:trPr>
          <w:trHeight w:val="546"/>
          <w:jc w:val="center"/>
        </w:trPr>
        <w:tc>
          <w:tcPr>
            <w:tcW w:w="3397" w:type="dxa"/>
            <w:shd w:val="clear" w:color="auto" w:fill="FFC000"/>
            <w:vAlign w:val="center"/>
          </w:tcPr>
          <w:p w14:paraId="2AD69DDD" w14:textId="77777777" w:rsidR="00E467E7" w:rsidRPr="00226F9D" w:rsidRDefault="00E467E7" w:rsidP="0040018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Назив носиоца прикупљања података</w:t>
            </w:r>
          </w:p>
        </w:tc>
        <w:tc>
          <w:tcPr>
            <w:tcW w:w="10348" w:type="dxa"/>
            <w:gridSpan w:val="6"/>
            <w:shd w:val="clear" w:color="auto" w:fill="FFFFFF"/>
            <w:vAlign w:val="center"/>
          </w:tcPr>
          <w:p w14:paraId="03752C05" w14:textId="265F1814"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МДУЛС, </w:t>
            </w:r>
            <w:r w:rsidRPr="00226F9D">
              <w:rPr>
                <w:rFonts w:ascii="Times New Roman" w:eastAsia="Calibri" w:hAnsi="Times New Roman" w:cs="Times New Roman"/>
                <w:kern w:val="0"/>
                <w:sz w:val="20"/>
                <w:szCs w:val="20"/>
                <w:lang w:val="sr-Cyrl-RS" w:eastAsia="en-GB"/>
                <w14:ligatures w14:val="none"/>
              </w:rPr>
              <w:t xml:space="preserve">Душанка Јовановић, </w:t>
            </w:r>
            <w:hyperlink r:id="rId46" w:history="1">
              <w:r w:rsidR="001F1AE8" w:rsidRPr="00226F9D">
                <w:rPr>
                  <w:rStyle w:val="Hyperlink"/>
                  <w:rFonts w:ascii="Times New Roman" w:eastAsia="Calibri" w:hAnsi="Times New Roman" w:cs="Times New Roman"/>
                  <w:kern w:val="0"/>
                  <w:sz w:val="20"/>
                  <w:szCs w:val="20"/>
                  <w:lang w:val="sr-Cyrl-RS" w:eastAsia="en-GB"/>
                  <w14:ligatures w14:val="none"/>
                </w:rPr>
                <w:t>dusanka.jovanovic@mduls.gov.rs</w:t>
              </w:r>
            </w:hyperlink>
            <w:r w:rsidR="001F1AE8" w:rsidRPr="00226F9D">
              <w:rPr>
                <w:rFonts w:ascii="Times New Roman" w:eastAsia="Calibri" w:hAnsi="Times New Roman" w:cs="Times New Roman"/>
                <w:kern w:val="0"/>
                <w:sz w:val="20"/>
                <w:szCs w:val="20"/>
                <w:lang w:val="sr-Cyrl-RS" w:eastAsia="en-GB"/>
                <w14:ligatures w14:val="none"/>
              </w:rPr>
              <w:t xml:space="preserve"> </w:t>
            </w:r>
            <w:r w:rsidRPr="00226F9D">
              <w:rPr>
                <w:rFonts w:ascii="Times New Roman" w:eastAsia="Times New Roman" w:hAnsi="Times New Roman" w:cs="Times New Roman"/>
                <w:kern w:val="0"/>
                <w:sz w:val="20"/>
                <w:szCs w:val="20"/>
                <w:lang w:val="sr-Cyrl-RS" w:eastAsia="en-GB"/>
                <w14:ligatures w14:val="none"/>
              </w:rPr>
              <w:t xml:space="preserve">  </w:t>
            </w:r>
          </w:p>
          <w:p w14:paraId="78D65571" w14:textId="020B4BA3" w:rsidR="00E467E7" w:rsidRPr="00226F9D" w:rsidRDefault="00E467E7">
            <w:pPr>
              <w:spacing w:after="0" w:line="240" w:lineRule="auto"/>
              <w:jc w:val="both"/>
              <w:rPr>
                <w:rFonts w:ascii="Times New Roman" w:hAnsi="Times New Roman" w:cs="Times New Roman"/>
                <w:sz w:val="20"/>
                <w:szCs w:val="20"/>
                <w:lang w:val="sr-Latn-RS"/>
              </w:rPr>
            </w:pPr>
            <w:r w:rsidRPr="00226F9D">
              <w:rPr>
                <w:rFonts w:ascii="Times New Roman" w:eastAsia="Yu Mincho" w:hAnsi="Times New Roman" w:cs="Times New Roman"/>
                <w:kern w:val="0"/>
                <w:sz w:val="20"/>
                <w:szCs w:val="20"/>
                <w:lang w:val="sr-Cyrl-RS" w:eastAsia="en-GB"/>
                <w14:ligatures w14:val="none"/>
              </w:rPr>
              <w:t xml:space="preserve">СКГО, Милена Радомировић, </w:t>
            </w:r>
            <w:hyperlink r:id="rId47" w:history="1">
              <w:r w:rsidRPr="00226F9D">
                <w:rPr>
                  <w:rStyle w:val="Hyperlink"/>
                  <w:rFonts w:ascii="Times New Roman" w:hAnsi="Times New Roman" w:cs="Times New Roman"/>
                  <w:sz w:val="20"/>
                  <w:szCs w:val="20"/>
                  <w:lang w:val="sr-Latn-RS" w:eastAsia="en-GB"/>
                </w:rPr>
                <w:t>m</w:t>
              </w:r>
              <w:r w:rsidRPr="00226F9D">
                <w:rPr>
                  <w:rStyle w:val="Hyperlink"/>
                  <w:rFonts w:ascii="Times New Roman" w:eastAsia="Yu Mincho" w:hAnsi="Times New Roman" w:cs="Times New Roman"/>
                  <w:kern w:val="0"/>
                  <w:sz w:val="20"/>
                  <w:szCs w:val="20"/>
                  <w:lang w:val="sr-Latn-RS" w:eastAsia="en-GB"/>
                  <w14:ligatures w14:val="none"/>
                </w:rPr>
                <w:t>ilena.radomirovic</w:t>
              </w:r>
              <w:r w:rsidRPr="00226F9D">
                <w:rPr>
                  <w:rStyle w:val="Hyperlink"/>
                  <w:rFonts w:ascii="Times New Roman" w:hAnsi="Times New Roman" w:cs="Times New Roman"/>
                  <w:sz w:val="20"/>
                  <w:szCs w:val="20"/>
                  <w:lang w:val="sr-Latn-RS" w:eastAsia="en-GB"/>
                </w:rPr>
                <w:t>@skgo.org</w:t>
              </w:r>
            </w:hyperlink>
            <w:r w:rsidR="001F1AE8" w:rsidRPr="00226F9D">
              <w:rPr>
                <w:rFonts w:ascii="Times New Roman" w:hAnsi="Times New Roman" w:cs="Times New Roman"/>
                <w:lang w:val="sr-Cyrl-RS"/>
              </w:rPr>
              <w:t xml:space="preserve"> </w:t>
            </w:r>
            <w:r w:rsidR="001F1AE8" w:rsidRPr="00226F9D">
              <w:rPr>
                <w:rFonts w:ascii="Times New Roman" w:hAnsi="Times New Roman" w:cs="Times New Roman"/>
                <w:sz w:val="20"/>
                <w:szCs w:val="20"/>
                <w:lang w:val="sr-Cyrl-RS"/>
              </w:rPr>
              <w:t xml:space="preserve">  </w:t>
            </w:r>
            <w:r w:rsidRPr="00226F9D">
              <w:rPr>
                <w:rFonts w:ascii="Times New Roman" w:hAnsi="Times New Roman" w:cs="Times New Roman"/>
                <w:sz w:val="20"/>
                <w:szCs w:val="20"/>
                <w:lang w:val="sr-Cyrl-RS"/>
              </w:rPr>
              <w:t xml:space="preserve">   </w:t>
            </w:r>
          </w:p>
        </w:tc>
      </w:tr>
      <w:tr w:rsidR="00E467E7" w:rsidRPr="00226F9D" w14:paraId="3FE16E7F" w14:textId="77777777" w:rsidTr="00BA5DCA">
        <w:trPr>
          <w:trHeight w:val="561"/>
          <w:jc w:val="center"/>
        </w:trPr>
        <w:tc>
          <w:tcPr>
            <w:tcW w:w="3397" w:type="dxa"/>
            <w:shd w:val="clear" w:color="auto" w:fill="FFC000"/>
            <w:vAlign w:val="center"/>
          </w:tcPr>
          <w:p w14:paraId="6FADB198" w14:textId="77777777" w:rsidR="00E467E7" w:rsidRPr="00226F9D" w:rsidRDefault="00E467E7" w:rsidP="0040018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Учесталост прикупљања података</w:t>
            </w:r>
          </w:p>
        </w:tc>
        <w:tc>
          <w:tcPr>
            <w:tcW w:w="10348" w:type="dxa"/>
            <w:gridSpan w:val="6"/>
            <w:shd w:val="clear" w:color="auto" w:fill="FFFFFF"/>
            <w:vAlign w:val="center"/>
          </w:tcPr>
          <w:p w14:paraId="75830EF3" w14:textId="77777777" w:rsidR="00E467E7" w:rsidRPr="00226F9D" w:rsidRDefault="00E467E7">
            <w:pPr>
              <w:spacing w:after="0" w:line="240" w:lineRule="auto"/>
              <w:jc w:val="both"/>
              <w:rPr>
                <w:rFonts w:ascii="Times New Roman" w:eastAsia="Calibri" w:hAnsi="Times New Roman" w:cs="Times New Roman"/>
                <w:kern w:val="0"/>
                <w:sz w:val="20"/>
                <w:szCs w:val="20"/>
                <w:lang w:val="sr-Cyrl-RS" w:eastAsia="en-GB"/>
                <w14:ligatures w14:val="none"/>
              </w:rPr>
            </w:pPr>
            <w:r w:rsidRPr="00226F9D">
              <w:rPr>
                <w:rFonts w:ascii="Times New Roman" w:eastAsia="Calibri" w:hAnsi="Times New Roman" w:cs="Times New Roman"/>
                <w:kern w:val="0"/>
                <w:sz w:val="20"/>
                <w:szCs w:val="20"/>
                <w:lang w:val="sr-Cyrl-RS" w:eastAsia="en-GB"/>
                <w14:ligatures w14:val="none"/>
              </w:rPr>
              <w:t>Подаци се прикупљају на годишњем нивоу.</w:t>
            </w:r>
          </w:p>
        </w:tc>
      </w:tr>
      <w:tr w:rsidR="00E467E7" w:rsidRPr="00226F9D" w14:paraId="36D6194A" w14:textId="77777777" w:rsidTr="00BA5DCA">
        <w:trPr>
          <w:trHeight w:val="276"/>
          <w:jc w:val="center"/>
        </w:trPr>
        <w:tc>
          <w:tcPr>
            <w:tcW w:w="3397" w:type="dxa"/>
            <w:shd w:val="clear" w:color="auto" w:fill="FFC000"/>
            <w:vAlign w:val="center"/>
          </w:tcPr>
          <w:p w14:paraId="4658DF78" w14:textId="77777777" w:rsidR="00E467E7" w:rsidRPr="00226F9D" w:rsidRDefault="00E467E7" w:rsidP="00400185">
            <w:pPr>
              <w:spacing w:after="0" w:line="240" w:lineRule="auto"/>
              <w:rPr>
                <w:rFonts w:ascii="Times New Roman" w:eastAsia="Calibri" w:hAnsi="Times New Roman" w:cs="Times New Roman"/>
                <w:b/>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Кратак опис показатеља и методологије израчунавања</w:t>
            </w:r>
          </w:p>
          <w:p w14:paraId="5A81D68F" w14:textId="77777777" w:rsidR="00E467E7" w:rsidRPr="00226F9D" w:rsidRDefault="00E467E7" w:rsidP="0040018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(формуле/једначине)</w:t>
            </w:r>
          </w:p>
        </w:tc>
        <w:tc>
          <w:tcPr>
            <w:tcW w:w="10348" w:type="dxa"/>
            <w:gridSpan w:val="6"/>
            <w:shd w:val="clear" w:color="auto" w:fill="FFFFFF"/>
            <w:vAlign w:val="center"/>
          </w:tcPr>
          <w:p w14:paraId="42110F3B" w14:textId="1445946D" w:rsidR="00E467E7" w:rsidRPr="00226F9D" w:rsidRDefault="00E467E7">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Овај показатељ мери у ком </w:t>
            </w:r>
            <w:r w:rsidR="00F712A6">
              <w:rPr>
                <w:rFonts w:ascii="Times New Roman" w:eastAsia="Yu Mincho" w:hAnsi="Times New Roman" w:cs="Times New Roman"/>
                <w:color w:val="000000"/>
                <w:kern w:val="0"/>
                <w:sz w:val="20"/>
                <w:szCs w:val="20"/>
                <w:lang w:val="sr-Cyrl-RS" w:eastAsia="en-GB"/>
                <w14:ligatures w14:val="none"/>
              </w:rPr>
              <w:t>степену су локални</w:t>
            </w:r>
            <w:r w:rsidRPr="00226F9D">
              <w:rPr>
                <w:rFonts w:ascii="Times New Roman" w:eastAsia="Yu Mincho" w:hAnsi="Times New Roman" w:cs="Times New Roman"/>
                <w:color w:val="000000"/>
                <w:kern w:val="0"/>
                <w:sz w:val="20"/>
                <w:szCs w:val="20"/>
                <w:lang w:val="sr-Cyrl-RS" w:eastAsia="en-GB"/>
                <w14:ligatures w14:val="none"/>
              </w:rPr>
              <w:t xml:space="preserve"> службеници и секретари општинских и градских скупштина, обучени за примену нових системски</w:t>
            </w:r>
            <w:r w:rsidR="00314EAA">
              <w:rPr>
                <w:rFonts w:ascii="Times New Roman" w:eastAsia="Yu Mincho" w:hAnsi="Times New Roman" w:cs="Times New Roman"/>
                <w:color w:val="000000"/>
                <w:kern w:val="0"/>
                <w:sz w:val="20"/>
                <w:szCs w:val="20"/>
                <w:lang w:val="sr-Cyrl-RS" w:eastAsia="en-GB"/>
                <w14:ligatures w14:val="none"/>
              </w:rPr>
              <w:t>х</w:t>
            </w:r>
            <w:r w:rsidRPr="00226F9D">
              <w:rPr>
                <w:rFonts w:ascii="Times New Roman" w:eastAsia="Yu Mincho" w:hAnsi="Times New Roman" w:cs="Times New Roman"/>
                <w:color w:val="000000"/>
                <w:kern w:val="0"/>
                <w:sz w:val="20"/>
                <w:szCs w:val="20"/>
                <w:lang w:val="sr-Cyrl-RS" w:eastAsia="en-GB"/>
                <w14:ligatures w14:val="none"/>
              </w:rPr>
              <w:t xml:space="preserve"> прописа који уређују локалну самоуправу. Показатељ прати обученост локалних службеника и секретара за примену следећих прописа: 1) Закон о локалној самоуправи и 2) Закон о референдуму и народној иницијативи</w:t>
            </w:r>
            <w:r w:rsidRPr="00226F9D">
              <w:rPr>
                <w:rFonts w:ascii="Times New Roman" w:eastAsia="Calibri" w:hAnsi="Times New Roman" w:cs="Times New Roman"/>
                <w:color w:val="000000"/>
                <w:kern w:val="0"/>
                <w:sz w:val="20"/>
                <w:szCs w:val="20"/>
                <w:lang w:val="sr-Cyrl-RS" w:eastAsia="en-GB"/>
                <w14:ligatures w14:val="none"/>
              </w:rPr>
              <w:t>.</w:t>
            </w:r>
          </w:p>
          <w:p w14:paraId="238217C3" w14:textId="77777777" w:rsidR="00E467E7" w:rsidRPr="00226F9D" w:rsidRDefault="00E467E7">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Вредност показатеља се израчунава тако што се одређује резултат у складу са дефинисаном скалом од 1 до 5:</w:t>
            </w:r>
          </w:p>
          <w:p w14:paraId="50D658B3" w14:textId="77777777" w:rsidR="00E467E7" w:rsidRPr="00226F9D" w:rsidRDefault="00E467E7">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Службеници и секретари скупштина у више од 30% градова, општина и градских општина је обучено за примену Закона о референдуму и народној иницијативи</w:t>
            </w:r>
          </w:p>
          <w:p w14:paraId="4A15A218" w14:textId="77777777" w:rsidR="00E467E7" w:rsidRPr="00226F9D" w:rsidRDefault="00E467E7">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Службеници и секретари скупштина у више од 50% градова, општина и градских општина је обучено за примену Закона о референдуму и народној иницијативи и више од 30% за примену нових решења из Закона о локалној самоуправи</w:t>
            </w:r>
          </w:p>
          <w:p w14:paraId="3AF84F1B" w14:textId="77777777" w:rsidR="00E467E7" w:rsidRPr="00226F9D" w:rsidRDefault="00E467E7">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Службеници и секретари скупштина у више од 75% градова, општина и градских општина је обучено за примену Закона о референдуму и народној иницијативи и више од 50% за примену нових решења из Закона о локалној самоуправи</w:t>
            </w:r>
          </w:p>
          <w:p w14:paraId="62FF9739" w14:textId="77777777" w:rsidR="00E467E7" w:rsidRPr="00226F9D" w:rsidRDefault="00E467E7">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Службеници и секретари скупштина у више од 85% градова, општина и градских општина је обучено за примену Закона о референдуму и народној иницијативи и више од 75% за примену нових решења из Закона о локалној самоуправи</w:t>
            </w:r>
          </w:p>
          <w:p w14:paraId="02594C70" w14:textId="77777777" w:rsidR="00E467E7" w:rsidRPr="00226F9D" w:rsidRDefault="00E467E7">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Службеници и секретари скупштина у више од 90% градова, општина и градских општина је обучено за примену Закона о референдуму и народној иницијативи и више од 9</w:t>
            </w:r>
            <w:r w:rsidRPr="00226F9D">
              <w:rPr>
                <w:rFonts w:ascii="Times New Roman" w:eastAsia="Calibri" w:hAnsi="Times New Roman" w:cs="Times New Roman"/>
                <w:color w:val="000000"/>
                <w:kern w:val="0"/>
                <w:sz w:val="20"/>
                <w:szCs w:val="20"/>
                <w:lang w:val="sr-Latn-RS" w:eastAsia="en-GB"/>
                <w14:ligatures w14:val="none"/>
              </w:rPr>
              <w:t>0</w:t>
            </w:r>
            <w:r w:rsidRPr="00226F9D">
              <w:rPr>
                <w:rFonts w:ascii="Times New Roman" w:eastAsia="Calibri" w:hAnsi="Times New Roman" w:cs="Times New Roman"/>
                <w:color w:val="000000"/>
                <w:kern w:val="0"/>
                <w:sz w:val="20"/>
                <w:szCs w:val="20"/>
                <w:lang w:val="sr-Cyrl-RS" w:eastAsia="en-GB"/>
                <w14:ligatures w14:val="none"/>
              </w:rPr>
              <w:t>% за примену нових решења из Закона о локалној самоуправи</w:t>
            </w:r>
          </w:p>
        </w:tc>
      </w:tr>
      <w:tr w:rsidR="00741988" w:rsidRPr="00226F9D" w14:paraId="34F489F5" w14:textId="77777777" w:rsidTr="00BA5DCA">
        <w:trPr>
          <w:trHeight w:val="267"/>
          <w:jc w:val="center"/>
        </w:trPr>
        <w:tc>
          <w:tcPr>
            <w:tcW w:w="3397" w:type="dxa"/>
            <w:vMerge w:val="restart"/>
            <w:shd w:val="clear" w:color="auto" w:fill="FFC000"/>
            <w:vAlign w:val="center"/>
          </w:tcPr>
          <w:p w14:paraId="4E94F2FE" w14:textId="77777777" w:rsidR="00E467E7" w:rsidRPr="00226F9D" w:rsidRDefault="00E467E7" w:rsidP="00400185">
            <w:pPr>
              <w:spacing w:after="0" w:line="240" w:lineRule="auto"/>
              <w:rPr>
                <w:rFonts w:ascii="Times New Roman" w:eastAsia="Yu Mincho" w:hAnsi="Times New Roman" w:cs="Times New Roman"/>
                <w:b/>
                <w:bCs/>
                <w:kern w:val="0"/>
                <w:sz w:val="20"/>
                <w:szCs w:val="20"/>
                <w:lang w:val="sr-Cyrl-RS" w:eastAsia="en-GB"/>
                <w14:ligatures w14:val="none"/>
              </w:rPr>
            </w:pPr>
            <w:r w:rsidRPr="00226F9D">
              <w:rPr>
                <w:rFonts w:ascii="Times New Roman" w:eastAsia="Yu Mincho" w:hAnsi="Times New Roman" w:cs="Times New Roman"/>
                <w:b/>
                <w:bCs/>
                <w:kern w:val="0"/>
                <w:sz w:val="20"/>
                <w:szCs w:val="20"/>
                <w:lang w:val="sr-Cyrl-RS" w:eastAsia="en-GB"/>
                <w14:ligatures w14:val="none"/>
              </w:rPr>
              <w:t>Подаци о полазној вредности и години кад је измерена, као и о тренду у прошлости</w:t>
            </w:r>
          </w:p>
        </w:tc>
        <w:tc>
          <w:tcPr>
            <w:tcW w:w="8159" w:type="dxa"/>
            <w:gridSpan w:val="5"/>
            <w:tcBorders>
              <w:bottom w:val="single" w:sz="4" w:space="0" w:color="auto"/>
            </w:tcBorders>
            <w:shd w:val="clear" w:color="auto" w:fill="FFFFFF"/>
            <w:vAlign w:val="center"/>
          </w:tcPr>
          <w:p w14:paraId="433AD337"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Тренд у прошлости</w:t>
            </w:r>
          </w:p>
        </w:tc>
        <w:tc>
          <w:tcPr>
            <w:tcW w:w="2189" w:type="dxa"/>
            <w:shd w:val="clear" w:color="auto" w:fill="FFFFFF"/>
            <w:vAlign w:val="center"/>
          </w:tcPr>
          <w:p w14:paraId="42C5AFC2"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Полазна вредност</w:t>
            </w:r>
          </w:p>
        </w:tc>
      </w:tr>
      <w:tr w:rsidR="008E6BC2" w:rsidRPr="00226F9D" w14:paraId="75BFBCF5" w14:textId="77777777" w:rsidTr="00BA5DCA">
        <w:trPr>
          <w:trHeight w:val="137"/>
          <w:jc w:val="center"/>
        </w:trPr>
        <w:tc>
          <w:tcPr>
            <w:tcW w:w="3397" w:type="dxa"/>
            <w:vMerge/>
            <w:vAlign w:val="center"/>
          </w:tcPr>
          <w:p w14:paraId="245D45BC" w14:textId="77777777" w:rsidR="00E467E7" w:rsidRPr="00226F9D" w:rsidRDefault="00E467E7" w:rsidP="00400185">
            <w:pPr>
              <w:spacing w:after="0" w:line="240" w:lineRule="auto"/>
              <w:rPr>
                <w:rFonts w:ascii="Times New Roman" w:eastAsia="Calibri" w:hAnsi="Times New Roman" w:cs="Times New Roman"/>
                <w:b/>
                <w:bCs/>
                <w:kern w:val="0"/>
                <w:sz w:val="20"/>
                <w:szCs w:val="20"/>
                <w:lang w:val="sr-Cyrl-RS" w:eastAsia="en-GB"/>
                <w14:ligatures w14:val="none"/>
              </w:rPr>
            </w:pPr>
          </w:p>
        </w:tc>
        <w:tc>
          <w:tcPr>
            <w:tcW w:w="2248" w:type="dxa"/>
            <w:tcBorders>
              <w:top w:val="single" w:sz="4" w:space="0" w:color="auto"/>
              <w:left w:val="single" w:sz="4" w:space="0" w:color="auto"/>
              <w:bottom w:val="single" w:sz="4" w:space="0" w:color="auto"/>
              <w:right w:val="single" w:sz="4" w:space="0" w:color="auto"/>
            </w:tcBorders>
            <w:shd w:val="clear" w:color="auto" w:fill="FFFFFF"/>
            <w:vAlign w:val="center"/>
          </w:tcPr>
          <w:p w14:paraId="29490CF3" w14:textId="49C61484"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eastAsia="en-GB"/>
                <w14:ligatures w14:val="none"/>
              </w:rPr>
              <w:t>2022</w:t>
            </w:r>
            <w:r w:rsidR="0006559C" w:rsidRPr="00226F9D">
              <w:rPr>
                <w:rFonts w:ascii="Times New Roman" w:eastAsia="Yu Mincho" w:hAnsi="Times New Roman" w:cs="Times New Roman"/>
                <w:kern w:val="0"/>
                <w:sz w:val="20"/>
                <w:szCs w:val="20"/>
                <w:lang w:val="sr-Cyrl-RS" w:eastAsia="en-GB"/>
                <w14:ligatures w14:val="none"/>
              </w:rPr>
              <w:t>.</w:t>
            </w:r>
          </w:p>
        </w:tc>
        <w:tc>
          <w:tcPr>
            <w:tcW w:w="33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827CF9" w14:textId="77777777"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23</w:t>
            </w:r>
            <w:r w:rsidRPr="00226F9D">
              <w:rPr>
                <w:rFonts w:ascii="Times New Roman" w:eastAsia="Yu Mincho" w:hAnsi="Times New Roman" w:cs="Times New Roman"/>
                <w:kern w:val="0"/>
                <w:sz w:val="20"/>
                <w:szCs w:val="20"/>
                <w:lang w:val="sr-Cyrl-RS" w:eastAsia="en-GB"/>
                <w14:ligatures w14:val="none"/>
              </w:rPr>
              <w:t>.</w:t>
            </w:r>
          </w:p>
        </w:tc>
        <w:tc>
          <w:tcPr>
            <w:tcW w:w="25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014D3A" w14:textId="77777777"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24</w:t>
            </w:r>
            <w:r w:rsidRPr="00226F9D">
              <w:rPr>
                <w:rFonts w:ascii="Times New Roman" w:eastAsia="Yu Mincho" w:hAnsi="Times New Roman" w:cs="Times New Roman"/>
                <w:kern w:val="0"/>
                <w:sz w:val="20"/>
                <w:szCs w:val="20"/>
                <w:lang w:val="sr-Cyrl-RS" w:eastAsia="en-GB"/>
                <w14:ligatures w14:val="none"/>
              </w:rPr>
              <w:t>.</w:t>
            </w:r>
          </w:p>
        </w:tc>
        <w:tc>
          <w:tcPr>
            <w:tcW w:w="2189" w:type="dxa"/>
            <w:tcBorders>
              <w:left w:val="single" w:sz="4" w:space="0" w:color="auto"/>
            </w:tcBorders>
            <w:shd w:val="clear" w:color="auto" w:fill="FFFFFF"/>
            <w:vAlign w:val="center"/>
          </w:tcPr>
          <w:p w14:paraId="33FC6BC9" w14:textId="77777777"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eastAsia="en-GB"/>
                <w14:ligatures w14:val="none"/>
              </w:rPr>
              <w:t>5</w:t>
            </w:r>
            <w:r w:rsidRPr="00226F9D">
              <w:rPr>
                <w:rFonts w:ascii="Times New Roman" w:eastAsia="Yu Mincho" w:hAnsi="Times New Roman" w:cs="Times New Roman"/>
                <w:kern w:val="0"/>
                <w:sz w:val="20"/>
                <w:szCs w:val="20"/>
                <w:lang w:val="sr-Cyrl-RS" w:eastAsia="en-GB"/>
                <w14:ligatures w14:val="none"/>
              </w:rPr>
              <w:t>.</w:t>
            </w:r>
          </w:p>
        </w:tc>
      </w:tr>
      <w:tr w:rsidR="008E6BC2" w:rsidRPr="00226F9D" w14:paraId="6CC53CA5" w14:textId="77777777" w:rsidTr="00BA5DCA">
        <w:trPr>
          <w:trHeight w:val="326"/>
          <w:jc w:val="center"/>
        </w:trPr>
        <w:tc>
          <w:tcPr>
            <w:tcW w:w="3397" w:type="dxa"/>
            <w:vMerge/>
            <w:vAlign w:val="center"/>
          </w:tcPr>
          <w:p w14:paraId="57C0F305" w14:textId="77777777" w:rsidR="00E467E7" w:rsidRPr="00226F9D" w:rsidRDefault="00E467E7" w:rsidP="00400185">
            <w:pPr>
              <w:spacing w:after="0" w:line="240" w:lineRule="auto"/>
              <w:rPr>
                <w:rFonts w:ascii="Times New Roman" w:eastAsia="Calibri" w:hAnsi="Times New Roman" w:cs="Times New Roman"/>
                <w:b/>
                <w:bCs/>
                <w:kern w:val="0"/>
                <w:sz w:val="20"/>
                <w:szCs w:val="20"/>
                <w:lang w:val="sr-Cyrl-RS" w:eastAsia="en-GB"/>
                <w14:ligatures w14:val="none"/>
              </w:rPr>
            </w:pPr>
          </w:p>
        </w:tc>
        <w:tc>
          <w:tcPr>
            <w:tcW w:w="2248" w:type="dxa"/>
            <w:tcBorders>
              <w:top w:val="single" w:sz="4" w:space="0" w:color="auto"/>
            </w:tcBorders>
            <w:shd w:val="clear" w:color="auto" w:fill="FFFFFF"/>
            <w:vAlign w:val="center"/>
          </w:tcPr>
          <w:p w14:paraId="2037F5F0"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0</w:t>
            </w:r>
          </w:p>
        </w:tc>
        <w:tc>
          <w:tcPr>
            <w:tcW w:w="3326" w:type="dxa"/>
            <w:gridSpan w:val="2"/>
            <w:tcBorders>
              <w:top w:val="single" w:sz="4" w:space="0" w:color="auto"/>
            </w:tcBorders>
            <w:shd w:val="clear" w:color="auto" w:fill="FFFFFF"/>
            <w:vAlign w:val="center"/>
          </w:tcPr>
          <w:p w14:paraId="1DE2B9FA"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0</w:t>
            </w:r>
          </w:p>
        </w:tc>
        <w:tc>
          <w:tcPr>
            <w:tcW w:w="2585" w:type="dxa"/>
            <w:gridSpan w:val="2"/>
            <w:tcBorders>
              <w:top w:val="single" w:sz="4" w:space="0" w:color="auto"/>
            </w:tcBorders>
            <w:shd w:val="clear" w:color="auto" w:fill="FFFFFF"/>
            <w:vAlign w:val="center"/>
          </w:tcPr>
          <w:p w14:paraId="1E0571BB"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0</w:t>
            </w:r>
          </w:p>
        </w:tc>
        <w:tc>
          <w:tcPr>
            <w:tcW w:w="2189" w:type="dxa"/>
            <w:shd w:val="clear" w:color="auto" w:fill="FFFFFF"/>
            <w:vAlign w:val="center"/>
          </w:tcPr>
          <w:p w14:paraId="51E8D877"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0</w:t>
            </w:r>
          </w:p>
        </w:tc>
      </w:tr>
      <w:tr w:rsidR="008E6BC2" w:rsidRPr="00226F9D" w14:paraId="0A99FFA1" w14:textId="77777777" w:rsidTr="00BA5DCA">
        <w:trPr>
          <w:trHeight w:val="276"/>
          <w:jc w:val="center"/>
        </w:trPr>
        <w:tc>
          <w:tcPr>
            <w:tcW w:w="3397" w:type="dxa"/>
            <w:vMerge w:val="restart"/>
            <w:shd w:val="clear" w:color="auto" w:fill="FFC000"/>
            <w:vAlign w:val="center"/>
          </w:tcPr>
          <w:p w14:paraId="65B489F7" w14:textId="77777777" w:rsidR="00E467E7" w:rsidRPr="00226F9D" w:rsidRDefault="00E467E7" w:rsidP="00400185">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Подаци о циљним вредностима</w:t>
            </w:r>
          </w:p>
        </w:tc>
        <w:tc>
          <w:tcPr>
            <w:tcW w:w="2248" w:type="dxa"/>
            <w:shd w:val="clear" w:color="auto" w:fill="FFFFFF"/>
            <w:vAlign w:val="center"/>
          </w:tcPr>
          <w:p w14:paraId="5A1DA4AB" w14:textId="4F0DF2D4"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eastAsia="en-GB"/>
                <w14:ligatures w14:val="none"/>
              </w:rPr>
              <w:t>2026</w:t>
            </w:r>
            <w:r w:rsidR="0006559C" w:rsidRPr="00226F9D">
              <w:rPr>
                <w:rFonts w:ascii="Times New Roman" w:eastAsia="Yu Mincho" w:hAnsi="Times New Roman" w:cs="Times New Roman"/>
                <w:kern w:val="0"/>
                <w:sz w:val="20"/>
                <w:szCs w:val="20"/>
                <w:lang w:val="sr-Cyrl-RS" w:eastAsia="en-GB"/>
                <w14:ligatures w14:val="none"/>
              </w:rPr>
              <w:t>.</w:t>
            </w:r>
          </w:p>
        </w:tc>
        <w:tc>
          <w:tcPr>
            <w:tcW w:w="3326" w:type="dxa"/>
            <w:gridSpan w:val="2"/>
            <w:shd w:val="clear" w:color="auto" w:fill="FFFFFF"/>
            <w:vAlign w:val="center"/>
          </w:tcPr>
          <w:p w14:paraId="3E430917" w14:textId="77777777"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eastAsia="en-GB"/>
                <w14:ligatures w14:val="none"/>
              </w:rPr>
              <w:t>2027</w:t>
            </w:r>
            <w:r w:rsidRPr="00226F9D">
              <w:rPr>
                <w:rFonts w:ascii="Times New Roman" w:eastAsia="Yu Mincho" w:hAnsi="Times New Roman" w:cs="Times New Roman"/>
                <w:kern w:val="0"/>
                <w:sz w:val="20"/>
                <w:szCs w:val="20"/>
                <w:lang w:val="sr-Cyrl-RS" w:eastAsia="en-GB"/>
                <w14:ligatures w14:val="none"/>
              </w:rPr>
              <w:t>.</w:t>
            </w:r>
          </w:p>
        </w:tc>
        <w:tc>
          <w:tcPr>
            <w:tcW w:w="1165" w:type="dxa"/>
            <w:shd w:val="clear" w:color="auto" w:fill="FFFFFF"/>
            <w:vAlign w:val="center"/>
          </w:tcPr>
          <w:p w14:paraId="2CC09072" w14:textId="77777777"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eastAsia="en-GB"/>
                <w14:ligatures w14:val="none"/>
              </w:rPr>
              <w:t>8</w:t>
            </w:r>
            <w:r w:rsidRPr="00226F9D">
              <w:rPr>
                <w:rFonts w:ascii="Times New Roman" w:eastAsia="Yu Mincho" w:hAnsi="Times New Roman" w:cs="Times New Roman"/>
                <w:kern w:val="0"/>
                <w:sz w:val="20"/>
                <w:szCs w:val="20"/>
                <w:lang w:val="sr-Cyrl-RS" w:eastAsia="en-GB"/>
                <w14:ligatures w14:val="none"/>
              </w:rPr>
              <w:t>.</w:t>
            </w:r>
          </w:p>
        </w:tc>
        <w:tc>
          <w:tcPr>
            <w:tcW w:w="1420" w:type="dxa"/>
            <w:shd w:val="clear" w:color="auto" w:fill="FFFFFF"/>
            <w:vAlign w:val="center"/>
          </w:tcPr>
          <w:p w14:paraId="72723E20" w14:textId="77777777"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29</w:t>
            </w:r>
            <w:r w:rsidRPr="00226F9D">
              <w:rPr>
                <w:rFonts w:ascii="Times New Roman" w:eastAsia="Yu Mincho" w:hAnsi="Times New Roman" w:cs="Times New Roman"/>
                <w:kern w:val="0"/>
                <w:sz w:val="20"/>
                <w:szCs w:val="20"/>
                <w:lang w:val="sr-Cyrl-RS" w:eastAsia="en-GB"/>
                <w14:ligatures w14:val="none"/>
              </w:rPr>
              <w:t>.</w:t>
            </w:r>
          </w:p>
        </w:tc>
        <w:tc>
          <w:tcPr>
            <w:tcW w:w="2189" w:type="dxa"/>
            <w:shd w:val="clear" w:color="auto" w:fill="FFFFFF"/>
            <w:vAlign w:val="center"/>
          </w:tcPr>
          <w:p w14:paraId="23C6543A" w14:textId="652997EA"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eastAsia="en-GB"/>
                <w14:ligatures w14:val="none"/>
              </w:rPr>
              <w:t>2030</w:t>
            </w:r>
            <w:r w:rsidR="0006559C" w:rsidRPr="00226F9D">
              <w:rPr>
                <w:rFonts w:ascii="Times New Roman" w:eastAsia="Yu Mincho" w:hAnsi="Times New Roman" w:cs="Times New Roman"/>
                <w:kern w:val="0"/>
                <w:sz w:val="20"/>
                <w:szCs w:val="20"/>
                <w:lang w:val="sr-Cyrl-RS" w:eastAsia="en-GB"/>
                <w14:ligatures w14:val="none"/>
              </w:rPr>
              <w:t>.</w:t>
            </w:r>
          </w:p>
        </w:tc>
      </w:tr>
      <w:tr w:rsidR="008E6BC2" w:rsidRPr="00226F9D" w14:paraId="2675EB40" w14:textId="77777777" w:rsidTr="00BA5DCA">
        <w:trPr>
          <w:trHeight w:val="161"/>
          <w:jc w:val="center"/>
        </w:trPr>
        <w:tc>
          <w:tcPr>
            <w:tcW w:w="3397" w:type="dxa"/>
            <w:vMerge/>
            <w:vAlign w:val="center"/>
          </w:tcPr>
          <w:p w14:paraId="50F06CB3" w14:textId="77777777" w:rsidR="00E467E7" w:rsidRPr="00226F9D" w:rsidRDefault="00E467E7">
            <w:pPr>
              <w:spacing w:after="0" w:line="240" w:lineRule="auto"/>
              <w:jc w:val="both"/>
              <w:rPr>
                <w:rFonts w:ascii="Times New Roman" w:eastAsia="Calibri" w:hAnsi="Times New Roman" w:cs="Times New Roman"/>
                <w:b/>
                <w:bCs/>
                <w:kern w:val="0"/>
                <w:sz w:val="20"/>
                <w:szCs w:val="20"/>
                <w:lang w:val="sr-Cyrl-RS" w:eastAsia="en-GB"/>
                <w14:ligatures w14:val="none"/>
              </w:rPr>
            </w:pPr>
          </w:p>
        </w:tc>
        <w:tc>
          <w:tcPr>
            <w:tcW w:w="2248" w:type="dxa"/>
            <w:shd w:val="clear" w:color="auto" w:fill="FFFFFF"/>
            <w:vAlign w:val="center"/>
          </w:tcPr>
          <w:p w14:paraId="3286E51F"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1</w:t>
            </w:r>
          </w:p>
        </w:tc>
        <w:tc>
          <w:tcPr>
            <w:tcW w:w="3326" w:type="dxa"/>
            <w:gridSpan w:val="2"/>
            <w:shd w:val="clear" w:color="auto" w:fill="FFFFFF"/>
            <w:vAlign w:val="center"/>
          </w:tcPr>
          <w:p w14:paraId="7C10A4C9"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2</w:t>
            </w:r>
          </w:p>
        </w:tc>
        <w:tc>
          <w:tcPr>
            <w:tcW w:w="1165" w:type="dxa"/>
            <w:shd w:val="clear" w:color="auto" w:fill="FFFFFF"/>
            <w:vAlign w:val="center"/>
          </w:tcPr>
          <w:p w14:paraId="258E9AA6"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3</w:t>
            </w:r>
          </w:p>
        </w:tc>
        <w:tc>
          <w:tcPr>
            <w:tcW w:w="1420" w:type="dxa"/>
            <w:shd w:val="clear" w:color="auto" w:fill="FFFFFF"/>
            <w:vAlign w:val="center"/>
          </w:tcPr>
          <w:p w14:paraId="6ACF8DDF"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4</w:t>
            </w:r>
          </w:p>
        </w:tc>
        <w:tc>
          <w:tcPr>
            <w:tcW w:w="2189" w:type="dxa"/>
            <w:shd w:val="clear" w:color="auto" w:fill="FFFFFF"/>
            <w:vAlign w:val="center"/>
          </w:tcPr>
          <w:p w14:paraId="37828D5D" w14:textId="77777777" w:rsidR="00E467E7" w:rsidRPr="00226F9D" w:rsidRDefault="00E467E7">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5</w:t>
            </w:r>
          </w:p>
        </w:tc>
      </w:tr>
      <w:tr w:rsidR="00E467E7" w:rsidRPr="00226F9D" w14:paraId="6D668976" w14:textId="77777777" w:rsidTr="00BA5DCA">
        <w:trPr>
          <w:trHeight w:val="161"/>
          <w:jc w:val="center"/>
        </w:trPr>
        <w:tc>
          <w:tcPr>
            <w:tcW w:w="3397" w:type="dxa"/>
            <w:shd w:val="clear" w:color="auto" w:fill="FFC000"/>
            <w:vAlign w:val="center"/>
          </w:tcPr>
          <w:p w14:paraId="14CEAE26" w14:textId="77777777" w:rsidR="00E467E7" w:rsidRPr="00226F9D" w:rsidRDefault="00E467E7">
            <w:pPr>
              <w:spacing w:after="0" w:line="240" w:lineRule="auto"/>
              <w:jc w:val="both"/>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Процена успешности</w:t>
            </w:r>
          </w:p>
        </w:tc>
        <w:tc>
          <w:tcPr>
            <w:tcW w:w="10348" w:type="dxa"/>
            <w:gridSpan w:val="6"/>
            <w:shd w:val="clear" w:color="auto" w:fill="FFFFFF"/>
            <w:vAlign w:val="center"/>
          </w:tcPr>
          <w:p w14:paraId="57FBAE9C" w14:textId="77777777" w:rsidR="00E467E7" w:rsidRPr="00226F9D" w:rsidRDefault="00E467E7">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Прихватљиво је одступање од једне оцене на планираној скали.</w:t>
            </w:r>
          </w:p>
        </w:tc>
      </w:tr>
    </w:tbl>
    <w:p w14:paraId="45922BE7" w14:textId="77777777" w:rsidR="00627280" w:rsidRPr="00226F9D" w:rsidRDefault="00627280" w:rsidP="00627280">
      <w:pPr>
        <w:pStyle w:val="Heading2"/>
        <w:rPr>
          <w:rFonts w:ascii="Times New Roman" w:eastAsia="Yu Gothic Light" w:hAnsi="Times New Roman" w:cs="Times New Roman"/>
          <w:sz w:val="28"/>
          <w:szCs w:val="28"/>
          <w:lang w:val="sr-Cyrl-RS" w:eastAsia="en-GB"/>
        </w:rPr>
      </w:pPr>
    </w:p>
    <w:p w14:paraId="2FD33B02" w14:textId="202EFC4F" w:rsidR="00001C5C" w:rsidRPr="00226F9D" w:rsidRDefault="004D388A" w:rsidP="00627280">
      <w:pPr>
        <w:pStyle w:val="Heading2"/>
        <w:rPr>
          <w:rFonts w:ascii="Times New Roman" w:eastAsia="Yu Gothic Light" w:hAnsi="Times New Roman" w:cs="Times New Roman"/>
          <w:sz w:val="28"/>
          <w:szCs w:val="28"/>
          <w:lang w:val="sr-Cyrl-RS" w:eastAsia="en-GB"/>
        </w:rPr>
      </w:pPr>
      <w:bookmarkStart w:id="64" w:name="_Toc222753936"/>
      <w:r w:rsidRPr="00226F9D">
        <w:rPr>
          <w:rFonts w:ascii="Times New Roman" w:eastAsia="Yu Gothic Light" w:hAnsi="Times New Roman" w:cs="Times New Roman"/>
          <w:sz w:val="28"/>
          <w:szCs w:val="28"/>
          <w:lang w:val="sr-Cyrl-RS" w:eastAsia="en-GB"/>
        </w:rPr>
        <w:t>Посебни циљ 2:  Унапређење система финансирања локалне самоуправе</w:t>
      </w:r>
      <w:bookmarkEnd w:id="6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76"/>
        <w:gridCol w:w="2305"/>
        <w:gridCol w:w="2336"/>
        <w:gridCol w:w="2548"/>
        <w:gridCol w:w="2076"/>
        <w:gridCol w:w="1921"/>
      </w:tblGrid>
      <w:tr w:rsidR="00001C5C" w:rsidRPr="00226F9D" w14:paraId="4C9492BB" w14:textId="77777777" w:rsidTr="00400185">
        <w:trPr>
          <w:trHeight w:val="653"/>
          <w:jc w:val="center"/>
        </w:trPr>
        <w:tc>
          <w:tcPr>
            <w:tcW w:w="3219" w:type="dxa"/>
            <w:shd w:val="clear" w:color="auto" w:fill="D9D9D9"/>
            <w:vAlign w:val="center"/>
          </w:tcPr>
          <w:p w14:paraId="203BE4C1" w14:textId="416E1EE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Latn-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показатеља</w:t>
            </w:r>
          </w:p>
        </w:tc>
        <w:tc>
          <w:tcPr>
            <w:tcW w:w="10668" w:type="dxa"/>
            <w:gridSpan w:val="5"/>
            <w:shd w:val="clear" w:color="auto" w:fill="D9D9D9"/>
            <w:vAlign w:val="center"/>
          </w:tcPr>
          <w:p w14:paraId="34C38A12" w14:textId="1D2D606B" w:rsidR="00001C5C" w:rsidRPr="00226F9D" w:rsidRDefault="00F32809" w:rsidP="00400185">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Удео текућих прихода градова и општина (са урачунатим трансферима од других нивоа власти) у укупним текућим приходима у Републици Србији</w:t>
            </w:r>
          </w:p>
        </w:tc>
      </w:tr>
      <w:tr w:rsidR="00001C5C" w:rsidRPr="00226F9D" w14:paraId="0243D0AE" w14:textId="77777777" w:rsidTr="004A0952">
        <w:trPr>
          <w:jc w:val="center"/>
        </w:trPr>
        <w:tc>
          <w:tcPr>
            <w:tcW w:w="3219" w:type="dxa"/>
            <w:shd w:val="clear" w:color="auto" w:fill="FFC000"/>
          </w:tcPr>
          <w:p w14:paraId="7ACDE0A1"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Одговарајући општи, посебни циљ или мера</w:t>
            </w:r>
          </w:p>
        </w:tc>
        <w:tc>
          <w:tcPr>
            <w:tcW w:w="10668" w:type="dxa"/>
            <w:gridSpan w:val="5"/>
            <w:shd w:val="clear" w:color="auto" w:fill="FFFFFF"/>
          </w:tcPr>
          <w:p w14:paraId="472F7261"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Унапређење система финансирања локалне самоуправе</w:t>
            </w:r>
          </w:p>
        </w:tc>
      </w:tr>
      <w:tr w:rsidR="00741988" w:rsidRPr="00226F9D" w14:paraId="0F4CA20A" w14:textId="77777777" w:rsidTr="004A0952">
        <w:trPr>
          <w:jc w:val="center"/>
        </w:trPr>
        <w:tc>
          <w:tcPr>
            <w:tcW w:w="3219" w:type="dxa"/>
            <w:shd w:val="clear" w:color="auto" w:fill="FFC000"/>
          </w:tcPr>
          <w:p w14:paraId="7EA943BA"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Тип и ниво показатеља</w:t>
            </w:r>
          </w:p>
        </w:tc>
        <w:tc>
          <w:tcPr>
            <w:tcW w:w="4426" w:type="dxa"/>
            <w:gridSpan w:val="2"/>
            <w:shd w:val="clear" w:color="auto" w:fill="FFFFFF"/>
          </w:tcPr>
          <w:p w14:paraId="3E983055" w14:textId="77777777" w:rsidR="00001C5C" w:rsidRPr="00226F9D" w:rsidRDefault="00001C5C" w:rsidP="00090884">
            <w:pPr>
              <w:spacing w:after="0" w:line="240" w:lineRule="auto"/>
              <w:jc w:val="both"/>
              <w:rPr>
                <w:rFonts w:ascii="Times New Roman" w:eastAsia="Times New Roman" w:hAnsi="Times New Roman" w:cs="Times New Roman"/>
                <w:color w:val="000000"/>
                <w:kern w:val="24"/>
                <w:sz w:val="20"/>
                <w:szCs w:val="20"/>
                <w:lang w:val="sr-Cyrl-RS" w:eastAsia="en-GB"/>
                <w14:ligatures w14:val="none"/>
              </w:rPr>
            </w:pPr>
            <w:r w:rsidRPr="00226F9D">
              <w:rPr>
                <w:rFonts w:ascii="Times New Roman" w:eastAsia="Times New Roman" w:hAnsi="Times New Roman" w:cs="Times New Roman"/>
                <w:color w:val="000000"/>
                <w:kern w:val="24"/>
                <w:sz w:val="20"/>
                <w:szCs w:val="20"/>
                <w:lang w:val="sr-Cyrl-RS" w:eastAsia="en-GB"/>
                <w14:ligatures w14:val="none"/>
              </w:rPr>
              <w:t>Квантитативни</w:t>
            </w:r>
          </w:p>
        </w:tc>
        <w:tc>
          <w:tcPr>
            <w:tcW w:w="6242" w:type="dxa"/>
            <w:gridSpan w:val="3"/>
            <w:shd w:val="clear" w:color="auto" w:fill="FFFFFF"/>
          </w:tcPr>
          <w:p w14:paraId="6F82FDB9" w14:textId="77777777" w:rsidR="00001C5C" w:rsidRPr="00226F9D" w:rsidRDefault="00001C5C" w:rsidP="00090884">
            <w:pPr>
              <w:spacing w:after="0" w:line="240" w:lineRule="auto"/>
              <w:jc w:val="both"/>
              <w:rPr>
                <w:rFonts w:ascii="Times New Roman" w:eastAsia="Times New Roman" w:hAnsi="Times New Roman" w:cs="Times New Roman"/>
                <w:bCs/>
                <w:color w:val="000000"/>
                <w:kern w:val="24"/>
                <w:sz w:val="20"/>
                <w:szCs w:val="20"/>
                <w:lang w:val="sr-Cyrl-RS" w:eastAsia="en-GB"/>
                <w14:ligatures w14:val="none"/>
              </w:rPr>
            </w:pPr>
            <w:r w:rsidRPr="00226F9D">
              <w:rPr>
                <w:rFonts w:ascii="Times New Roman" w:eastAsia="Times New Roman" w:hAnsi="Times New Roman" w:cs="Times New Roman"/>
                <w:bCs/>
                <w:color w:val="000000"/>
                <w:kern w:val="24"/>
                <w:sz w:val="20"/>
                <w:szCs w:val="20"/>
                <w:lang w:val="sr-Cyrl-RS" w:eastAsia="en-GB"/>
                <w14:ligatures w14:val="none"/>
              </w:rPr>
              <w:t>Показатељ на нивоу посебног циља</w:t>
            </w:r>
          </w:p>
        </w:tc>
      </w:tr>
      <w:tr w:rsidR="007A7449" w:rsidRPr="00226F9D" w14:paraId="3251910F" w14:textId="77777777" w:rsidTr="004A0952">
        <w:trPr>
          <w:trHeight w:val="373"/>
          <w:jc w:val="center"/>
        </w:trPr>
        <w:tc>
          <w:tcPr>
            <w:tcW w:w="3219" w:type="dxa"/>
            <w:shd w:val="clear" w:color="auto" w:fill="FFC000"/>
          </w:tcPr>
          <w:p w14:paraId="09F1089E" w14:textId="77777777" w:rsidR="00001C5C" w:rsidRPr="00226F9D" w:rsidRDefault="00001C5C" w:rsidP="00400185">
            <w:pPr>
              <w:spacing w:after="0" w:line="240" w:lineRule="auto"/>
              <w:rPr>
                <w:rFonts w:ascii="Times New Roman" w:eastAsia="Times New Roman" w:hAnsi="Times New Roman" w:cs="Times New Roman"/>
                <w:b/>
                <w:color w:val="000000"/>
                <w:kern w:val="24"/>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Јединица мере и природа</w:t>
            </w:r>
          </w:p>
        </w:tc>
        <w:tc>
          <w:tcPr>
            <w:tcW w:w="4426" w:type="dxa"/>
            <w:gridSpan w:val="2"/>
            <w:shd w:val="clear" w:color="auto" w:fill="FFFFFF"/>
          </w:tcPr>
          <w:p w14:paraId="7EE4449A"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w:t>
            </w:r>
          </w:p>
        </w:tc>
        <w:tc>
          <w:tcPr>
            <w:tcW w:w="6242" w:type="dxa"/>
            <w:gridSpan w:val="3"/>
            <w:shd w:val="clear" w:color="auto" w:fill="FFFFFF"/>
          </w:tcPr>
          <w:p w14:paraId="1628B26C" w14:textId="77777777" w:rsidR="00001C5C" w:rsidRPr="00226F9D" w:rsidRDefault="00001C5C" w:rsidP="0009088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tr w:rsidR="00001C5C" w:rsidRPr="00226F9D" w14:paraId="06B9148F" w14:textId="77777777" w:rsidTr="004A0952">
        <w:trPr>
          <w:jc w:val="center"/>
        </w:trPr>
        <w:tc>
          <w:tcPr>
            <w:tcW w:w="3219" w:type="dxa"/>
            <w:shd w:val="clear" w:color="auto" w:fill="FFC000"/>
          </w:tcPr>
          <w:p w14:paraId="7E36AC49"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Извор података за праћење показатеља учинка</w:t>
            </w:r>
          </w:p>
        </w:tc>
        <w:tc>
          <w:tcPr>
            <w:tcW w:w="10668" w:type="dxa"/>
            <w:gridSpan w:val="5"/>
            <w:shd w:val="clear" w:color="auto" w:fill="FFFFFF"/>
          </w:tcPr>
          <w:p w14:paraId="127C636F"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РЗС – Општине и региони</w:t>
            </w:r>
            <w:r w:rsidRPr="00226F9D">
              <w:rPr>
                <w:rFonts w:ascii="Times New Roman" w:eastAsia="Times New Roman" w:hAnsi="Times New Roman" w:cs="Times New Roman"/>
                <w:color w:val="000000"/>
                <w:kern w:val="0"/>
                <w:sz w:val="20"/>
                <w:szCs w:val="20"/>
                <w:lang w:val="sr-Latn-RS" w:eastAsia="en-GB"/>
                <w14:ligatures w14:val="none"/>
              </w:rPr>
              <w:t xml:space="preserve"> - https://www.stat.gov.rs/publikacije/publication/?p=17065&amp;tip=13</w:t>
            </w:r>
          </w:p>
          <w:p w14:paraId="48FF56FD"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Месечни билтен јавних финансија Министарства финансија</w:t>
            </w:r>
            <w:r w:rsidRPr="00226F9D">
              <w:rPr>
                <w:rFonts w:ascii="Times New Roman" w:eastAsia="Times New Roman" w:hAnsi="Times New Roman" w:cs="Times New Roman"/>
                <w:color w:val="000000"/>
                <w:kern w:val="0"/>
                <w:sz w:val="20"/>
                <w:szCs w:val="20"/>
                <w:lang w:val="sr-Latn-RS" w:eastAsia="en-GB"/>
                <w14:ligatures w14:val="none"/>
              </w:rPr>
              <w:t xml:space="preserve"> - https://www.mfin.gov.rs/aktivnosti/bilten-javnih-finansija</w:t>
            </w:r>
          </w:p>
        </w:tc>
      </w:tr>
      <w:tr w:rsidR="00001C5C" w:rsidRPr="00226F9D" w14:paraId="60AF2D45" w14:textId="77777777" w:rsidTr="004A0952">
        <w:trPr>
          <w:jc w:val="center"/>
        </w:trPr>
        <w:tc>
          <w:tcPr>
            <w:tcW w:w="3219" w:type="dxa"/>
            <w:shd w:val="clear" w:color="auto" w:fill="FFC000"/>
          </w:tcPr>
          <w:p w14:paraId="055673F7"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носиоца прикупљања података</w:t>
            </w:r>
          </w:p>
        </w:tc>
        <w:tc>
          <w:tcPr>
            <w:tcW w:w="10668" w:type="dxa"/>
            <w:gridSpan w:val="5"/>
            <w:shd w:val="clear" w:color="auto" w:fill="FFFFFF"/>
          </w:tcPr>
          <w:p w14:paraId="60AB7F2E" w14:textId="1F14AAA5"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 xml:space="preserve">Министарство финансија, </w:t>
            </w:r>
            <w:r w:rsidR="005068D0" w:rsidRPr="00226F9D">
              <w:rPr>
                <w:rFonts w:ascii="Times New Roman" w:eastAsia="Times New Roman" w:hAnsi="Times New Roman" w:cs="Times New Roman"/>
                <w:kern w:val="0"/>
                <w:sz w:val="20"/>
                <w:szCs w:val="20"/>
                <w:lang w:val="sr-Cyrl-RS" w:eastAsia="en-GB"/>
                <w14:ligatures w14:val="none"/>
              </w:rPr>
              <w:t xml:space="preserve">Иван Зечић, </w:t>
            </w:r>
            <w:hyperlink r:id="rId48" w:history="1">
              <w:r w:rsidR="000542A5" w:rsidRPr="00226F9D">
                <w:rPr>
                  <w:rStyle w:val="Hyperlink"/>
                  <w:rFonts w:ascii="Times New Roman" w:eastAsia="Times New Roman" w:hAnsi="Times New Roman" w:cs="Times New Roman"/>
                  <w:kern w:val="0"/>
                  <w:sz w:val="20"/>
                  <w:szCs w:val="20"/>
                  <w:lang w:val="sr-Cyrl-RS" w:eastAsia="en-GB"/>
                  <w14:ligatures w14:val="none"/>
                </w:rPr>
                <w:t>ivan.zecic@mfin.gov.rs</w:t>
              </w:r>
            </w:hyperlink>
            <w:r w:rsidR="000542A5" w:rsidRPr="00226F9D">
              <w:rPr>
                <w:rFonts w:ascii="Times New Roman" w:eastAsia="Times New Roman" w:hAnsi="Times New Roman" w:cs="Times New Roman"/>
                <w:kern w:val="0"/>
                <w:sz w:val="20"/>
                <w:szCs w:val="20"/>
                <w:lang w:val="sr-Cyrl-RS" w:eastAsia="en-GB"/>
                <w14:ligatures w14:val="none"/>
              </w:rPr>
              <w:t xml:space="preserve"> </w:t>
            </w:r>
          </w:p>
          <w:p w14:paraId="2E3AE73F"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СКГО, Александар Маринковић, </w:t>
            </w:r>
            <w:hyperlink r:id="rId49" w:history="1">
              <w:r w:rsidRPr="00226F9D">
                <w:rPr>
                  <w:rStyle w:val="Hyperlink"/>
                  <w:rFonts w:ascii="Times New Roman" w:eastAsia="Yu Mincho" w:hAnsi="Times New Roman" w:cs="Times New Roman"/>
                  <w:kern w:val="0"/>
                  <w:sz w:val="20"/>
                  <w:szCs w:val="20"/>
                  <w:lang w:val="sr-Latn-RS" w:eastAsia="en-GB"/>
                  <w14:ligatures w14:val="none"/>
                </w:rPr>
                <w:t>aleksandar</w:t>
              </w:r>
              <w:r w:rsidRPr="00226F9D">
                <w:rPr>
                  <w:rStyle w:val="Hyperlink"/>
                  <w:rFonts w:ascii="Times New Roman" w:eastAsia="Yu Mincho" w:hAnsi="Times New Roman" w:cs="Times New Roman"/>
                  <w:kern w:val="0"/>
                  <w:sz w:val="20"/>
                  <w:szCs w:val="20"/>
                  <w:lang w:val="sr-Cyrl-RS" w:eastAsia="en-GB"/>
                  <w14:ligatures w14:val="none"/>
                </w:rPr>
                <w:t>.</w:t>
              </w:r>
              <w:r w:rsidRPr="00226F9D">
                <w:rPr>
                  <w:rStyle w:val="Hyperlink"/>
                  <w:rFonts w:ascii="Times New Roman" w:eastAsia="Yu Mincho" w:hAnsi="Times New Roman" w:cs="Times New Roman"/>
                  <w:kern w:val="0"/>
                  <w:sz w:val="20"/>
                  <w:szCs w:val="20"/>
                  <w:lang w:val="sr-Latn-RS" w:eastAsia="en-GB"/>
                  <w14:ligatures w14:val="none"/>
                </w:rPr>
                <w:t>marinko</w:t>
              </w:r>
              <w:r w:rsidRPr="00226F9D">
                <w:rPr>
                  <w:rStyle w:val="Hyperlink"/>
                  <w:rFonts w:ascii="Times New Roman" w:eastAsia="Yu Mincho" w:hAnsi="Times New Roman" w:cs="Times New Roman"/>
                  <w:kern w:val="0"/>
                  <w:sz w:val="20"/>
                  <w:szCs w:val="20"/>
                  <w:lang w:val="sr-Cyrl-RS" w:eastAsia="en-GB"/>
                  <w14:ligatures w14:val="none"/>
                </w:rPr>
                <w:t>vic@skgo.org</w:t>
              </w:r>
            </w:hyperlink>
          </w:p>
          <w:p w14:paraId="24C62611"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tc>
      </w:tr>
      <w:tr w:rsidR="00001C5C" w:rsidRPr="00226F9D" w14:paraId="00B42D6F" w14:textId="77777777" w:rsidTr="004A0952">
        <w:trPr>
          <w:jc w:val="center"/>
        </w:trPr>
        <w:tc>
          <w:tcPr>
            <w:tcW w:w="3219" w:type="dxa"/>
            <w:shd w:val="clear" w:color="auto" w:fill="FFC000"/>
          </w:tcPr>
          <w:p w14:paraId="3B689AC4"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Учесталост прикупљања података</w:t>
            </w:r>
          </w:p>
        </w:tc>
        <w:tc>
          <w:tcPr>
            <w:tcW w:w="10668" w:type="dxa"/>
            <w:gridSpan w:val="5"/>
            <w:shd w:val="clear" w:color="auto" w:fill="FFFFFF"/>
          </w:tcPr>
          <w:p w14:paraId="37061DDB"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Подаци се прикупљају до 30. септембра текуће године за претходну.</w:t>
            </w:r>
          </w:p>
        </w:tc>
      </w:tr>
      <w:tr w:rsidR="00001C5C" w:rsidRPr="00226F9D" w14:paraId="3015DF29" w14:textId="77777777" w:rsidTr="004A0952">
        <w:trPr>
          <w:trHeight w:val="2317"/>
          <w:jc w:val="center"/>
        </w:trPr>
        <w:tc>
          <w:tcPr>
            <w:tcW w:w="3219" w:type="dxa"/>
            <w:shd w:val="clear" w:color="auto" w:fill="FFC000"/>
          </w:tcPr>
          <w:p w14:paraId="1B3FAAC2" w14:textId="77777777" w:rsidR="00001C5C" w:rsidRPr="00226F9D" w:rsidRDefault="00001C5C" w:rsidP="00400185">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Кратак опис показатеља и методологије израчунавања</w:t>
            </w:r>
          </w:p>
          <w:p w14:paraId="74868720"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(формуле/једначине)</w:t>
            </w:r>
          </w:p>
          <w:p w14:paraId="67FADA3C"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10668" w:type="dxa"/>
            <w:gridSpan w:val="5"/>
            <w:shd w:val="clear" w:color="auto" w:fill="FFFFFF"/>
          </w:tcPr>
          <w:p w14:paraId="7C7B6209" w14:textId="10FD99D2" w:rsidR="00445F24" w:rsidRPr="00226F9D" w:rsidRDefault="000C0C05"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 xml:space="preserve">Овај показатељ показује степен учешћа </w:t>
            </w:r>
            <w:r w:rsidR="00B7134E" w:rsidRPr="00226F9D">
              <w:rPr>
                <w:rFonts w:ascii="Times New Roman" w:eastAsia="Times New Roman" w:hAnsi="Times New Roman" w:cs="Times New Roman"/>
                <w:color w:val="000000"/>
                <w:kern w:val="0"/>
                <w:sz w:val="20"/>
                <w:szCs w:val="20"/>
                <w:lang w:val="sr-Cyrl-RS" w:eastAsia="en-GB"/>
                <w14:ligatures w14:val="none"/>
              </w:rPr>
              <w:t>текућих прихода ЈЛС (укључујући и приходе од трансфера од других нивоа власти)</w:t>
            </w:r>
            <w:r w:rsidR="003108FA" w:rsidRPr="00226F9D">
              <w:rPr>
                <w:rFonts w:ascii="Times New Roman" w:eastAsia="Times New Roman" w:hAnsi="Times New Roman" w:cs="Times New Roman"/>
                <w:color w:val="000000"/>
                <w:kern w:val="0"/>
                <w:sz w:val="20"/>
                <w:szCs w:val="20"/>
                <w:lang w:val="sr-Cyrl-RS" w:eastAsia="en-GB"/>
                <w14:ligatures w14:val="none"/>
              </w:rPr>
              <w:t xml:space="preserve"> </w:t>
            </w:r>
            <w:r w:rsidR="00B7134E" w:rsidRPr="00226F9D">
              <w:rPr>
                <w:rFonts w:ascii="Times New Roman" w:eastAsia="Times New Roman" w:hAnsi="Times New Roman" w:cs="Times New Roman"/>
                <w:color w:val="000000"/>
                <w:kern w:val="0"/>
                <w:sz w:val="20"/>
                <w:szCs w:val="20"/>
                <w:lang w:val="sr-Cyrl-RS" w:eastAsia="en-GB"/>
                <w14:ligatures w14:val="none"/>
              </w:rPr>
              <w:t>у текућим приходима</w:t>
            </w:r>
            <w:r w:rsidR="00383758" w:rsidRPr="00226F9D">
              <w:rPr>
                <w:rFonts w:ascii="Times New Roman" w:eastAsia="Times New Roman" w:hAnsi="Times New Roman" w:cs="Times New Roman"/>
                <w:color w:val="000000"/>
                <w:kern w:val="0"/>
                <w:sz w:val="20"/>
                <w:szCs w:val="20"/>
                <w:lang w:val="sr-Cyrl-RS" w:eastAsia="en-GB"/>
                <w14:ligatures w14:val="none"/>
              </w:rPr>
              <w:t xml:space="preserve"> опште државе</w:t>
            </w:r>
            <w:r w:rsidRPr="00226F9D">
              <w:rPr>
                <w:rFonts w:ascii="Times New Roman" w:eastAsia="Times New Roman" w:hAnsi="Times New Roman" w:cs="Times New Roman"/>
                <w:color w:val="000000"/>
                <w:kern w:val="0"/>
                <w:sz w:val="20"/>
                <w:szCs w:val="20"/>
                <w:lang w:val="sr-Cyrl-RS" w:eastAsia="en-GB"/>
                <w14:ligatures w14:val="none"/>
              </w:rPr>
              <w:t xml:space="preserve">. </w:t>
            </w:r>
            <w:r w:rsidR="00F36D4B" w:rsidRPr="00226F9D">
              <w:rPr>
                <w:rFonts w:ascii="Times New Roman" w:eastAsia="Times New Roman" w:hAnsi="Times New Roman" w:cs="Times New Roman"/>
                <w:color w:val="000000"/>
                <w:kern w:val="0"/>
                <w:sz w:val="20"/>
                <w:szCs w:val="20"/>
                <w:lang w:val="sr-Cyrl-RS" w:eastAsia="en-GB"/>
                <w14:ligatures w14:val="none"/>
              </w:rPr>
              <w:t xml:space="preserve">Он показује </w:t>
            </w:r>
            <w:r w:rsidR="00292BFE" w:rsidRPr="00226F9D">
              <w:rPr>
                <w:rFonts w:ascii="Times New Roman" w:eastAsia="Times New Roman" w:hAnsi="Times New Roman" w:cs="Times New Roman"/>
                <w:color w:val="000000"/>
                <w:kern w:val="0"/>
                <w:sz w:val="20"/>
                <w:szCs w:val="20"/>
                <w:lang w:val="sr-Cyrl-RS" w:eastAsia="en-GB"/>
                <w14:ligatures w14:val="none"/>
              </w:rPr>
              <w:t xml:space="preserve">степен децентрализације </w:t>
            </w:r>
            <w:r w:rsidR="00C82546" w:rsidRPr="00226F9D">
              <w:rPr>
                <w:rFonts w:ascii="Times New Roman" w:eastAsia="Times New Roman" w:hAnsi="Times New Roman" w:cs="Times New Roman"/>
                <w:color w:val="000000"/>
                <w:kern w:val="0"/>
                <w:sz w:val="20"/>
                <w:szCs w:val="20"/>
                <w:lang w:val="sr-Cyrl-RS" w:eastAsia="en-GB"/>
                <w14:ligatures w14:val="none"/>
              </w:rPr>
              <w:t>ЈЛ</w:t>
            </w:r>
            <w:r w:rsidR="002A187A" w:rsidRPr="00226F9D">
              <w:rPr>
                <w:rFonts w:ascii="Times New Roman" w:eastAsia="Times New Roman" w:hAnsi="Times New Roman" w:cs="Times New Roman"/>
                <w:color w:val="000000"/>
                <w:kern w:val="0"/>
                <w:sz w:val="20"/>
                <w:szCs w:val="20"/>
                <w:lang w:val="sr-Cyrl-RS" w:eastAsia="en-GB"/>
                <w14:ligatures w14:val="none"/>
              </w:rPr>
              <w:t>С.</w:t>
            </w:r>
            <w:r w:rsidR="00292BFE" w:rsidRPr="00226F9D">
              <w:rPr>
                <w:rFonts w:ascii="Times New Roman" w:eastAsia="Times New Roman" w:hAnsi="Times New Roman" w:cs="Times New Roman"/>
                <w:color w:val="000000"/>
                <w:kern w:val="0"/>
                <w:sz w:val="20"/>
                <w:szCs w:val="20"/>
                <w:lang w:val="sr-Cyrl-RS" w:eastAsia="en-GB"/>
                <w14:ligatures w14:val="none"/>
              </w:rPr>
              <w:t xml:space="preserve"> </w:t>
            </w:r>
            <w:r w:rsidRPr="00226F9D">
              <w:rPr>
                <w:rFonts w:ascii="Times New Roman" w:eastAsia="Times New Roman" w:hAnsi="Times New Roman" w:cs="Times New Roman"/>
                <w:color w:val="000000"/>
                <w:kern w:val="0"/>
                <w:sz w:val="20"/>
                <w:szCs w:val="20"/>
                <w:lang w:val="sr-Cyrl-RS" w:eastAsia="en-GB"/>
                <w14:ligatures w14:val="none"/>
              </w:rPr>
              <w:t xml:space="preserve"> Овај показатељ се израчунава тако што се укупан износ </w:t>
            </w:r>
            <w:r w:rsidR="002A187A" w:rsidRPr="00226F9D">
              <w:rPr>
                <w:rFonts w:ascii="Times New Roman" w:eastAsia="Times New Roman" w:hAnsi="Times New Roman" w:cs="Times New Roman"/>
                <w:color w:val="000000"/>
                <w:kern w:val="0"/>
                <w:sz w:val="20"/>
                <w:szCs w:val="20"/>
                <w:lang w:val="sr-Cyrl-RS" w:eastAsia="en-GB"/>
                <w14:ligatures w14:val="none"/>
              </w:rPr>
              <w:t xml:space="preserve">текућих прихода </w:t>
            </w:r>
            <w:r w:rsidR="00445F24" w:rsidRPr="00226F9D">
              <w:rPr>
                <w:rFonts w:ascii="Times New Roman" w:eastAsia="Times New Roman" w:hAnsi="Times New Roman" w:cs="Times New Roman"/>
                <w:color w:val="000000"/>
                <w:kern w:val="0"/>
                <w:sz w:val="20"/>
                <w:szCs w:val="20"/>
                <w:lang w:val="sr-Cyrl-RS" w:eastAsia="en-GB"/>
                <w14:ligatures w14:val="none"/>
              </w:rPr>
              <w:t>ЈЛС</w:t>
            </w:r>
            <w:r w:rsidRPr="00226F9D">
              <w:rPr>
                <w:rFonts w:ascii="Times New Roman" w:eastAsia="Times New Roman" w:hAnsi="Times New Roman" w:cs="Times New Roman"/>
                <w:color w:val="000000"/>
                <w:kern w:val="0"/>
                <w:sz w:val="20"/>
                <w:szCs w:val="20"/>
                <w:lang w:val="sr-Cyrl-RS" w:eastAsia="en-GB"/>
                <w14:ligatures w14:val="none"/>
              </w:rPr>
              <w:t xml:space="preserve"> подели </w:t>
            </w:r>
            <w:r w:rsidR="00445F24" w:rsidRPr="00226F9D">
              <w:rPr>
                <w:rFonts w:ascii="Times New Roman" w:eastAsia="Times New Roman" w:hAnsi="Times New Roman" w:cs="Times New Roman"/>
                <w:color w:val="000000"/>
                <w:kern w:val="0"/>
                <w:sz w:val="20"/>
                <w:szCs w:val="20"/>
                <w:lang w:val="sr-Cyrl-RS" w:eastAsia="en-GB"/>
                <w14:ligatures w14:val="none"/>
              </w:rPr>
              <w:t>текућим приходима опште државе из консолидованог биланса.</w:t>
            </w:r>
          </w:p>
          <w:p w14:paraId="461E9C26" w14:textId="06F1B5D6" w:rsidR="000C0C05" w:rsidRPr="00226F9D" w:rsidRDefault="000C0C05"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p w14:paraId="1F59450F" w14:textId="77777777" w:rsidR="000C0C05" w:rsidRPr="00226F9D" w:rsidRDefault="000C0C05" w:rsidP="00090884">
            <w:pPr>
              <w:spacing w:after="0" w:line="240" w:lineRule="auto"/>
              <w:jc w:val="both"/>
              <w:rPr>
                <w:rFonts w:ascii="Times New Roman" w:eastAsia="Calibri" w:hAnsi="Times New Roman" w:cs="Times New Roman"/>
                <w:b/>
                <w:color w:val="000000"/>
                <w:kern w:val="0"/>
                <w:sz w:val="20"/>
                <w:szCs w:val="20"/>
                <w:lang w:val="sr-Cyrl-RS" w:eastAsia="en-GB"/>
                <w14:ligatures w14:val="none"/>
              </w:rPr>
            </w:pPr>
            <w:r w:rsidRPr="00226F9D">
              <w:rPr>
                <w:rFonts w:ascii="Times New Roman" w:eastAsia="Calibri" w:hAnsi="Times New Roman" w:cs="Times New Roman"/>
                <w:b/>
                <w:color w:val="000000"/>
                <w:kern w:val="0"/>
                <w:sz w:val="20"/>
                <w:szCs w:val="20"/>
                <w:lang w:val="sr-Cyrl-RS" w:eastAsia="en-GB"/>
                <w14:ligatures w14:val="none"/>
              </w:rPr>
              <w:t xml:space="preserve">                                                                 ФОРМУЛА/ЈЕДНАЧИНА</w:t>
            </w:r>
          </w:p>
          <w:p w14:paraId="3EBB1DDA" w14:textId="77777777" w:rsidR="000C0C05" w:rsidRPr="00226F9D" w:rsidRDefault="000C0C05"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noProof/>
                <w:color w:val="000000"/>
                <w:kern w:val="0"/>
                <w:sz w:val="20"/>
                <w:szCs w:val="20"/>
                <w14:ligatures w14:val="none"/>
              </w:rPr>
              <mc:AlternateContent>
                <mc:Choice Requires="wps">
                  <w:drawing>
                    <wp:anchor distT="0" distB="0" distL="114300" distR="114300" simplePos="0" relativeHeight="251658242" behindDoc="0" locked="0" layoutInCell="1" allowOverlap="1" wp14:anchorId="2B750006" wp14:editId="5457BC2F">
                      <wp:simplePos x="0" y="0"/>
                      <wp:positionH relativeFrom="column">
                        <wp:posOffset>660690</wp:posOffset>
                      </wp:positionH>
                      <wp:positionV relativeFrom="paragraph">
                        <wp:posOffset>153210</wp:posOffset>
                      </wp:positionV>
                      <wp:extent cx="5382450" cy="264816"/>
                      <wp:effectExtent l="0" t="0" r="8890" b="4445"/>
                      <wp:wrapNone/>
                      <wp:docPr id="1270023343" name="TextBox 2"/>
                      <wp:cNvGraphicFramePr/>
                      <a:graphic xmlns:a="http://schemas.openxmlformats.org/drawingml/2006/main">
                        <a:graphicData uri="http://schemas.microsoft.com/office/word/2010/wordprocessingShape">
                          <wps:wsp>
                            <wps:cNvSpPr txBox="1"/>
                            <wps:spPr>
                              <a:xfrm>
                                <a:off x="0" y="0"/>
                                <a:ext cx="5382450" cy="264816"/>
                              </a:xfrm>
                              <a:prstGeom prst="rect">
                                <a:avLst/>
                              </a:prstGeom>
                              <a:noFill/>
                              <a:ln>
                                <a:noFill/>
                              </a:ln>
                              <a:effectLst/>
                            </wps:spPr>
                            <wps:txbx>
                              <w:txbxContent>
                                <w:p w14:paraId="22145059" w14:textId="0DDBEBE3" w:rsidR="00C01216" w:rsidRPr="004136FD" w:rsidRDefault="00D155C4" w:rsidP="000C0C05">
                                  <w:pPr>
                                    <w:rPr>
                                      <w:color w:val="000000"/>
                                      <w:lang w:val="sr-Latn-RS"/>
                                    </w:rPr>
                                  </w:pPr>
                                  <m:oMath>
                                    <m:f>
                                      <m:fPr>
                                        <m:ctrlPr>
                                          <w:rPr>
                                            <w:rFonts w:ascii="Cambria Math" w:eastAsia="Yu Mincho" w:hAnsi="Cambria Math"/>
                                            <w:i/>
                                            <w:iCs/>
                                            <w:color w:val="000000"/>
                                            <w:sz w:val="28"/>
                                            <w:szCs w:val="28"/>
                                          </w:rPr>
                                        </m:ctrlPr>
                                      </m:fPr>
                                      <m:num>
                                        <m:r>
                                          <m:rPr>
                                            <m:sty m:val="p"/>
                                          </m:rPr>
                                          <w:rPr>
                                            <w:rFonts w:ascii="Cambria Math" w:hAnsi="Cambria Math"/>
                                            <w:color w:val="000000"/>
                                            <w:sz w:val="28"/>
                                            <w:szCs w:val="28"/>
                                            <w:lang w:val="sr-Latn-RS"/>
                                          </w:rPr>
                                          <m:t>Т</m:t>
                                        </m:r>
                                        <m:r>
                                          <w:rPr>
                                            <w:rFonts w:ascii="Cambria Math" w:hAnsi="Cambria Math"/>
                                            <w:color w:val="000000"/>
                                            <w:sz w:val="28"/>
                                            <w:szCs w:val="28"/>
                                            <w:lang w:val="sr-Cyrl-RS"/>
                                          </w:rPr>
                                          <m:t xml:space="preserve">екући приходи (укључујући приходе од трансфера од других нивоа власти) </m:t>
                                        </m:r>
                                        <m:r>
                                          <w:rPr>
                                            <w:rFonts w:ascii="Cambria Math" w:hAnsi="Cambria Math"/>
                                            <w:color w:val="000000"/>
                                            <w:sz w:val="28"/>
                                            <w:szCs w:val="28"/>
                                            <w:lang w:val="sr-Latn-RS"/>
                                          </w:rPr>
                                          <m:t>ЈЛС</m:t>
                                        </m:r>
                                      </m:num>
                                      <m:den>
                                        <m:r>
                                          <w:rPr>
                                            <w:rFonts w:ascii="Cambria Math" w:hAnsi="Cambria Math"/>
                                            <w:color w:val="000000"/>
                                            <w:sz w:val="28"/>
                                            <w:szCs w:val="28"/>
                                            <w:lang w:val="sr-Latn-RS"/>
                                          </w:rPr>
                                          <m:t>Т</m:t>
                                        </m:r>
                                        <m:r>
                                          <w:rPr>
                                            <w:rFonts w:ascii="Cambria Math" w:hAnsi="Cambria Math"/>
                                            <w:color w:val="000000"/>
                                            <w:sz w:val="28"/>
                                            <w:szCs w:val="28"/>
                                            <w:lang w:val="sr-Cyrl-RS"/>
                                          </w:rPr>
                                          <m:t>екући приходи државе (консолидовани биланс)</m:t>
                                        </m:r>
                                      </m:den>
                                    </m:f>
                                  </m:oMath>
                                  <w:r w:rsidR="00C01216" w:rsidRPr="004136FD">
                                    <w:rPr>
                                      <w:color w:val="000000"/>
                                      <w:lang w:val="sr-Latn-RS"/>
                                    </w:rPr>
                                    <w:t xml:space="preserve"> </w:t>
                                  </w:r>
                                  <m:oMath>
                                    <m:r>
                                      <w:rPr>
                                        <w:rFonts w:ascii="Cambria Math" w:eastAsia="Cambria Math" w:hAnsi="Cambria Math"/>
                                        <w:color w:val="000000"/>
                                        <w:lang w:val="sr-Latn-RS"/>
                                      </w:rPr>
                                      <m:t>×100</m:t>
                                    </m:r>
                                  </m:oMath>
                                </w:p>
                              </w:txbxContent>
                            </wps:txbx>
                            <wps:bodyPr vertOverflow="clip" horzOverflow="clip" wrap="square" lIns="0" tIns="0" rIns="0" bIns="0" rtlCol="0" anchor="t">
                              <a:spAutoFit/>
                            </wps:bodyPr>
                          </wps:wsp>
                        </a:graphicData>
                      </a:graphic>
                      <wp14:sizeRelH relativeFrom="margin">
                        <wp14:pctWidth>0</wp14:pctWidth>
                      </wp14:sizeRelH>
                    </wp:anchor>
                  </w:drawing>
                </mc:Choice>
                <mc:Fallback>
                  <w:pict>
                    <v:shape w14:anchorId="2B750006" id="TextBox 2" o:spid="_x0000_s1027" type="#_x0000_t202" style="position:absolute;left:0;text-align:left;margin-left:52pt;margin-top:12.05pt;width:423.8pt;height:20.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" filled="f" stroked="f">
                      <v:textbox style="mso-fit-shape-to-text:t" inset="0,0,0,0">
                        <w:txbxContent>
                          <w:p w14:paraId="22145059" w14:textId="0DDBEBE3" w:rsidR="00C01216" w:rsidRPr="004136FD" w:rsidRDefault="00C01216" w:rsidP="000C0C05">
                            <w:pPr>
                              <w:rPr>
                                <w:color w:val="000000"/>
                                <w:lang w:val="sr-Latn-RS"/>
                              </w:rPr>
                            </w:pPr>
                            <m:oMath>
                              <m:f>
                                <m:fPr>
                                  <m:ctrlPr>
                                    <w:rPr>
                                      <w:rFonts w:ascii="Cambria Math" w:eastAsia="Yu Mincho" w:hAnsi="Cambria Math"/>
                                      <w:i/>
                                      <w:iCs/>
                                      <w:color w:val="000000"/>
                                      <w:sz w:val="28"/>
                                      <w:szCs w:val="28"/>
                                    </w:rPr>
                                  </m:ctrlPr>
                                </m:fPr>
                                <m:num>
                                  <m:r>
                                    <m:rPr>
                                      <m:sty m:val="p"/>
                                    </m:rPr>
                                    <w:rPr>
                                      <w:rFonts w:ascii="Cambria Math" w:hAnsi="Cambria Math"/>
                                      <w:color w:val="000000"/>
                                      <w:sz w:val="28"/>
                                      <w:szCs w:val="28"/>
                                      <w:lang w:val="sr-Latn-RS"/>
                                    </w:rPr>
                                    <m:t>Т</m:t>
                                  </m:r>
                                  <m:r>
                                    <w:rPr>
                                      <w:rFonts w:ascii="Cambria Math" w:hAnsi="Cambria Math"/>
                                      <w:color w:val="000000"/>
                                      <w:sz w:val="28"/>
                                      <w:szCs w:val="28"/>
                                      <w:lang w:val="sr-Cyrl-RS"/>
                                    </w:rPr>
                                    <m:t xml:space="preserve">екући приходи (укључујући приходе од трансфера од других нивоа власти) </m:t>
                                  </m:r>
                                  <m:r>
                                    <w:rPr>
                                      <w:rFonts w:ascii="Cambria Math" w:hAnsi="Cambria Math"/>
                                      <w:color w:val="000000"/>
                                      <w:sz w:val="28"/>
                                      <w:szCs w:val="28"/>
                                      <w:lang w:val="sr-Latn-RS"/>
                                    </w:rPr>
                                    <m:t>ЈЛС</m:t>
                                  </m:r>
                                </m:num>
                                <m:den>
                                  <m:r>
                                    <w:rPr>
                                      <w:rFonts w:ascii="Cambria Math" w:hAnsi="Cambria Math"/>
                                      <w:color w:val="000000"/>
                                      <w:sz w:val="28"/>
                                      <w:szCs w:val="28"/>
                                      <w:lang w:val="sr-Latn-RS"/>
                                    </w:rPr>
                                    <m:t>Т</m:t>
                                  </m:r>
                                  <m:r>
                                    <w:rPr>
                                      <w:rFonts w:ascii="Cambria Math" w:hAnsi="Cambria Math"/>
                                      <w:color w:val="000000"/>
                                      <w:sz w:val="28"/>
                                      <w:szCs w:val="28"/>
                                      <w:lang w:val="sr-Cyrl-RS"/>
                                    </w:rPr>
                                    <m:t>екући приходи државе (консолидовани биланс)</m:t>
                                  </m:r>
                                </m:den>
                              </m:f>
                            </m:oMath>
                            <w:r w:rsidRPr="004136FD">
                              <w:rPr>
                                <w:color w:val="000000"/>
                                <w:lang w:val="sr-Latn-RS"/>
                              </w:rPr>
                              <w:t xml:space="preserve"> </w:t>
                            </w:r>
                            <m:oMath>
                              <m:r>
                                <w:rPr>
                                  <w:rFonts w:ascii="Cambria Math" w:eastAsia="Cambria Math" w:hAnsi="Cambria Math"/>
                                  <w:color w:val="000000"/>
                                  <w:lang w:val="sr-Latn-RS"/>
                                </w:rPr>
                                <m:t>×100</m:t>
                              </m:r>
                            </m:oMath>
                          </w:p>
                        </w:txbxContent>
                      </v:textbox>
                    </v:shape>
                  </w:pict>
                </mc:Fallback>
              </mc:AlternateContent>
            </w:r>
          </w:p>
          <w:p w14:paraId="1D931EEB"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tc>
      </w:tr>
      <w:tr w:rsidR="007A7449" w:rsidRPr="00226F9D" w14:paraId="7ACBCE55" w14:textId="77777777" w:rsidTr="004A0952">
        <w:trPr>
          <w:trHeight w:val="265"/>
          <w:jc w:val="center"/>
        </w:trPr>
        <w:tc>
          <w:tcPr>
            <w:tcW w:w="3219" w:type="dxa"/>
            <w:vMerge w:val="restart"/>
            <w:shd w:val="clear" w:color="auto" w:fill="FFC000"/>
          </w:tcPr>
          <w:p w14:paraId="521EEDCD"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полазној вредности и години кад је измерена, као и о тренду у прошлости</w:t>
            </w:r>
          </w:p>
        </w:tc>
        <w:tc>
          <w:tcPr>
            <w:tcW w:w="6856" w:type="dxa"/>
            <w:gridSpan w:val="3"/>
            <w:tcBorders>
              <w:bottom w:val="single" w:sz="4" w:space="0" w:color="auto"/>
            </w:tcBorders>
            <w:shd w:val="clear" w:color="auto" w:fill="FFFFFF"/>
          </w:tcPr>
          <w:p w14:paraId="0795BD60" w14:textId="6FE4298C"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Тренд у прошлости</w:t>
            </w:r>
          </w:p>
        </w:tc>
        <w:tc>
          <w:tcPr>
            <w:tcW w:w="3812" w:type="dxa"/>
            <w:gridSpan w:val="2"/>
            <w:shd w:val="clear" w:color="auto" w:fill="FFFFFF"/>
          </w:tcPr>
          <w:p w14:paraId="168EAE92"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Полазна вредност</w:t>
            </w:r>
          </w:p>
        </w:tc>
      </w:tr>
      <w:tr w:rsidR="007A7449" w:rsidRPr="00226F9D" w14:paraId="33E87E96" w14:textId="77777777" w:rsidTr="004A0952">
        <w:trPr>
          <w:trHeight w:val="137"/>
          <w:jc w:val="center"/>
        </w:trPr>
        <w:tc>
          <w:tcPr>
            <w:tcW w:w="3219" w:type="dxa"/>
            <w:vMerge/>
          </w:tcPr>
          <w:p w14:paraId="77B79507"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14:paraId="58DD1B03"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2021.</w:t>
            </w:r>
          </w:p>
        </w:tc>
        <w:tc>
          <w:tcPr>
            <w:tcW w:w="2228" w:type="dxa"/>
            <w:tcBorders>
              <w:top w:val="single" w:sz="4" w:space="0" w:color="auto"/>
              <w:left w:val="single" w:sz="4" w:space="0" w:color="auto"/>
              <w:bottom w:val="single" w:sz="4" w:space="0" w:color="auto"/>
              <w:right w:val="single" w:sz="4" w:space="0" w:color="auto"/>
            </w:tcBorders>
            <w:shd w:val="clear" w:color="auto" w:fill="FFFFFF"/>
          </w:tcPr>
          <w:p w14:paraId="35622A77"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2022.</w:t>
            </w:r>
          </w:p>
        </w:tc>
        <w:tc>
          <w:tcPr>
            <w:tcW w:w="2430" w:type="dxa"/>
            <w:tcBorders>
              <w:top w:val="single" w:sz="4" w:space="0" w:color="auto"/>
              <w:left w:val="single" w:sz="4" w:space="0" w:color="auto"/>
              <w:bottom w:val="single" w:sz="4" w:space="0" w:color="auto"/>
              <w:right w:val="single" w:sz="4" w:space="0" w:color="auto"/>
            </w:tcBorders>
            <w:shd w:val="clear" w:color="auto" w:fill="FFFFFF"/>
          </w:tcPr>
          <w:p w14:paraId="1203F20C"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2023.</w:t>
            </w:r>
          </w:p>
        </w:tc>
        <w:tc>
          <w:tcPr>
            <w:tcW w:w="3812" w:type="dxa"/>
            <w:gridSpan w:val="2"/>
            <w:tcBorders>
              <w:left w:val="single" w:sz="4" w:space="0" w:color="auto"/>
            </w:tcBorders>
            <w:shd w:val="clear" w:color="auto" w:fill="FFFFFF"/>
          </w:tcPr>
          <w:p w14:paraId="3C696F88" w14:textId="2D3C967F"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2024</w:t>
            </w:r>
            <w:r w:rsidR="00231DCB" w:rsidRPr="00226F9D">
              <w:rPr>
                <w:rFonts w:ascii="Times New Roman" w:eastAsia="Times New Roman" w:hAnsi="Times New Roman" w:cs="Times New Roman"/>
                <w:color w:val="000000"/>
                <w:kern w:val="0"/>
                <w:sz w:val="20"/>
                <w:szCs w:val="20"/>
                <w:lang w:val="sr-Cyrl-RS" w:eastAsia="en-GB"/>
                <w14:ligatures w14:val="none"/>
              </w:rPr>
              <w:t>.</w:t>
            </w:r>
          </w:p>
        </w:tc>
      </w:tr>
      <w:tr w:rsidR="007A7449" w:rsidRPr="00226F9D" w14:paraId="4FE63C31" w14:textId="77777777" w:rsidTr="004A0952">
        <w:trPr>
          <w:trHeight w:val="323"/>
          <w:jc w:val="center"/>
        </w:trPr>
        <w:tc>
          <w:tcPr>
            <w:tcW w:w="3219" w:type="dxa"/>
            <w:vMerge/>
          </w:tcPr>
          <w:p w14:paraId="794D1396"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198" w:type="dxa"/>
            <w:tcBorders>
              <w:top w:val="single" w:sz="4" w:space="0" w:color="auto"/>
            </w:tcBorders>
            <w:shd w:val="clear" w:color="auto" w:fill="FFFFFF"/>
          </w:tcPr>
          <w:p w14:paraId="1CF54C31" w14:textId="2C6E5D3B" w:rsidR="00001C5C" w:rsidRPr="00226F9D" w:rsidRDefault="006E6A89"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Style w:val="cf01"/>
                <w:rFonts w:ascii="Times New Roman" w:hAnsi="Times New Roman" w:cs="Times New Roman"/>
                <w:sz w:val="20"/>
                <w:szCs w:val="20"/>
              </w:rPr>
              <w:t>14%</w:t>
            </w:r>
          </w:p>
        </w:tc>
        <w:tc>
          <w:tcPr>
            <w:tcW w:w="2228" w:type="dxa"/>
            <w:tcBorders>
              <w:top w:val="single" w:sz="4" w:space="0" w:color="auto"/>
            </w:tcBorders>
            <w:shd w:val="clear" w:color="auto" w:fill="FFFFFF"/>
          </w:tcPr>
          <w:p w14:paraId="0978C075" w14:textId="6BA84627" w:rsidR="00001C5C" w:rsidRPr="00226F9D" w:rsidRDefault="006E6A89"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Style w:val="cf01"/>
                <w:rFonts w:ascii="Times New Roman" w:hAnsi="Times New Roman" w:cs="Times New Roman"/>
                <w:sz w:val="20"/>
                <w:szCs w:val="20"/>
              </w:rPr>
              <w:t>13</w:t>
            </w:r>
            <w:r w:rsidR="0033713C" w:rsidRPr="00226F9D">
              <w:rPr>
                <w:rStyle w:val="cf01"/>
                <w:rFonts w:ascii="Times New Roman" w:hAnsi="Times New Roman" w:cs="Times New Roman"/>
                <w:sz w:val="20"/>
                <w:szCs w:val="20"/>
                <w:lang w:val="sr-Cyrl-RS"/>
              </w:rPr>
              <w:t>,</w:t>
            </w:r>
            <w:r w:rsidRPr="00226F9D">
              <w:rPr>
                <w:rStyle w:val="cf01"/>
                <w:rFonts w:ascii="Times New Roman" w:hAnsi="Times New Roman" w:cs="Times New Roman"/>
                <w:sz w:val="20"/>
                <w:szCs w:val="20"/>
              </w:rPr>
              <w:t>7%</w:t>
            </w:r>
          </w:p>
        </w:tc>
        <w:tc>
          <w:tcPr>
            <w:tcW w:w="2430" w:type="dxa"/>
            <w:tcBorders>
              <w:top w:val="single" w:sz="4" w:space="0" w:color="auto"/>
            </w:tcBorders>
            <w:shd w:val="clear" w:color="auto" w:fill="FFFFFF"/>
          </w:tcPr>
          <w:p w14:paraId="787BF502" w14:textId="3697814D" w:rsidR="00001C5C" w:rsidRPr="00226F9D" w:rsidRDefault="006E6A89"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Style w:val="cf01"/>
                <w:rFonts w:ascii="Times New Roman" w:hAnsi="Times New Roman" w:cs="Times New Roman"/>
                <w:sz w:val="20"/>
                <w:szCs w:val="20"/>
              </w:rPr>
              <w:t>13</w:t>
            </w:r>
            <w:r w:rsidR="0033713C" w:rsidRPr="00226F9D">
              <w:rPr>
                <w:rStyle w:val="cf01"/>
                <w:rFonts w:ascii="Times New Roman" w:hAnsi="Times New Roman" w:cs="Times New Roman"/>
                <w:sz w:val="20"/>
                <w:szCs w:val="20"/>
                <w:lang w:val="sr-Cyrl-RS"/>
              </w:rPr>
              <w:t>,</w:t>
            </w:r>
            <w:r w:rsidRPr="00226F9D">
              <w:rPr>
                <w:rStyle w:val="cf01"/>
                <w:rFonts w:ascii="Times New Roman" w:hAnsi="Times New Roman" w:cs="Times New Roman"/>
                <w:sz w:val="20"/>
                <w:szCs w:val="20"/>
              </w:rPr>
              <w:t>6%</w:t>
            </w:r>
          </w:p>
        </w:tc>
        <w:tc>
          <w:tcPr>
            <w:tcW w:w="3812" w:type="dxa"/>
            <w:gridSpan w:val="2"/>
            <w:shd w:val="clear" w:color="auto" w:fill="FFFFFF"/>
          </w:tcPr>
          <w:p w14:paraId="467349E2" w14:textId="69EAC879" w:rsidR="00001C5C" w:rsidRPr="00226F9D" w:rsidRDefault="006E6A89"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Style w:val="cf01"/>
                <w:rFonts w:ascii="Times New Roman" w:hAnsi="Times New Roman" w:cs="Times New Roman"/>
                <w:sz w:val="20"/>
                <w:szCs w:val="20"/>
              </w:rPr>
              <w:t>13%</w:t>
            </w:r>
          </w:p>
        </w:tc>
      </w:tr>
      <w:tr w:rsidR="007A7449" w:rsidRPr="00226F9D" w14:paraId="7B43F156" w14:textId="77777777" w:rsidTr="004A0952">
        <w:trPr>
          <w:trHeight w:val="274"/>
          <w:jc w:val="center"/>
        </w:trPr>
        <w:tc>
          <w:tcPr>
            <w:tcW w:w="3219" w:type="dxa"/>
            <w:vMerge w:val="restart"/>
            <w:shd w:val="clear" w:color="auto" w:fill="FFC000"/>
          </w:tcPr>
          <w:p w14:paraId="4E9FFC84"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циљним вредностима</w:t>
            </w:r>
          </w:p>
        </w:tc>
        <w:tc>
          <w:tcPr>
            <w:tcW w:w="2198" w:type="dxa"/>
            <w:shd w:val="clear" w:color="auto" w:fill="FFFFFF"/>
          </w:tcPr>
          <w:p w14:paraId="6AA73030"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2026.</w:t>
            </w:r>
          </w:p>
        </w:tc>
        <w:tc>
          <w:tcPr>
            <w:tcW w:w="2228" w:type="dxa"/>
            <w:shd w:val="clear" w:color="auto" w:fill="FFFFFF"/>
          </w:tcPr>
          <w:p w14:paraId="3312BF0E" w14:textId="354A74D8"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2027.</w:t>
            </w:r>
          </w:p>
        </w:tc>
        <w:tc>
          <w:tcPr>
            <w:tcW w:w="2430" w:type="dxa"/>
            <w:shd w:val="clear" w:color="auto" w:fill="FFFFFF"/>
          </w:tcPr>
          <w:p w14:paraId="71384A3C"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w:t>
            </w:r>
            <w:r w:rsidRPr="00226F9D">
              <w:rPr>
                <w:rFonts w:ascii="Times New Roman" w:eastAsia="Times New Roman" w:hAnsi="Times New Roman" w:cs="Times New Roman"/>
                <w:color w:val="000000"/>
                <w:kern w:val="0"/>
                <w:sz w:val="20"/>
                <w:szCs w:val="20"/>
                <w:lang w:val="sr-Latn-RS" w:eastAsia="en-GB"/>
                <w14:ligatures w14:val="none"/>
              </w:rPr>
              <w:t>8</w:t>
            </w:r>
            <w:r w:rsidRPr="00226F9D">
              <w:rPr>
                <w:rFonts w:ascii="Times New Roman" w:eastAsia="Times New Roman" w:hAnsi="Times New Roman" w:cs="Times New Roman"/>
                <w:color w:val="000000"/>
                <w:kern w:val="0"/>
                <w:sz w:val="20"/>
                <w:szCs w:val="20"/>
                <w:lang w:val="sr-Cyrl-RS" w:eastAsia="en-GB"/>
                <w14:ligatures w14:val="none"/>
              </w:rPr>
              <w:t>.</w:t>
            </w:r>
          </w:p>
        </w:tc>
        <w:tc>
          <w:tcPr>
            <w:tcW w:w="1980" w:type="dxa"/>
            <w:shd w:val="clear" w:color="auto" w:fill="FFFFFF"/>
          </w:tcPr>
          <w:p w14:paraId="1784CAF2"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w:t>
            </w:r>
            <w:r w:rsidRPr="00226F9D">
              <w:rPr>
                <w:rFonts w:ascii="Times New Roman" w:eastAsia="Times New Roman" w:hAnsi="Times New Roman" w:cs="Times New Roman"/>
                <w:color w:val="000000"/>
                <w:kern w:val="0"/>
                <w:sz w:val="20"/>
                <w:szCs w:val="20"/>
                <w:lang w:val="sr-Latn-RS" w:eastAsia="en-GB"/>
                <w14:ligatures w14:val="none"/>
              </w:rPr>
              <w:t>29</w:t>
            </w:r>
            <w:r w:rsidRPr="00226F9D">
              <w:rPr>
                <w:rFonts w:ascii="Times New Roman" w:eastAsia="Times New Roman" w:hAnsi="Times New Roman" w:cs="Times New Roman"/>
                <w:color w:val="000000"/>
                <w:kern w:val="0"/>
                <w:sz w:val="20"/>
                <w:szCs w:val="20"/>
                <w:lang w:val="sr-Cyrl-RS" w:eastAsia="en-GB"/>
                <w14:ligatures w14:val="none"/>
              </w:rPr>
              <w:t>.</w:t>
            </w:r>
          </w:p>
        </w:tc>
        <w:tc>
          <w:tcPr>
            <w:tcW w:w="1832" w:type="dxa"/>
            <w:shd w:val="clear" w:color="auto" w:fill="FFFFFF"/>
          </w:tcPr>
          <w:p w14:paraId="5C6A7629"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Latn-RS" w:eastAsia="en-GB"/>
                <w14:ligatures w14:val="none"/>
              </w:rPr>
              <w:t>2030.</w:t>
            </w:r>
          </w:p>
        </w:tc>
      </w:tr>
      <w:tr w:rsidR="007A7449" w:rsidRPr="00226F9D" w14:paraId="26991420" w14:textId="77777777" w:rsidTr="004A0952">
        <w:trPr>
          <w:trHeight w:val="160"/>
          <w:jc w:val="center"/>
        </w:trPr>
        <w:tc>
          <w:tcPr>
            <w:tcW w:w="3219" w:type="dxa"/>
            <w:vMerge/>
          </w:tcPr>
          <w:p w14:paraId="788E6667"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198" w:type="dxa"/>
            <w:shd w:val="clear" w:color="auto" w:fill="FFFFFF"/>
          </w:tcPr>
          <w:p w14:paraId="09FB687E" w14:textId="46517369" w:rsidR="00001C5C" w:rsidRPr="00226F9D" w:rsidRDefault="006E6A89" w:rsidP="00090884">
            <w:pPr>
              <w:spacing w:after="0" w:line="240" w:lineRule="auto"/>
              <w:jc w:val="both"/>
              <w:rPr>
                <w:rFonts w:ascii="Times New Roman" w:eastAsia="Times New Roman" w:hAnsi="Times New Roman" w:cs="Times New Roman"/>
                <w:color w:val="EE0000"/>
                <w:kern w:val="0"/>
                <w:sz w:val="20"/>
                <w:szCs w:val="20"/>
                <w:lang w:val="sr-Cyrl-RS" w:eastAsia="en-GB"/>
                <w14:ligatures w14:val="none"/>
              </w:rPr>
            </w:pPr>
            <w:r w:rsidRPr="00226F9D">
              <w:rPr>
                <w:rStyle w:val="cf01"/>
                <w:rFonts w:ascii="Times New Roman" w:hAnsi="Times New Roman" w:cs="Times New Roman"/>
                <w:sz w:val="20"/>
                <w:szCs w:val="20"/>
              </w:rPr>
              <w:t>13%</w:t>
            </w:r>
          </w:p>
        </w:tc>
        <w:tc>
          <w:tcPr>
            <w:tcW w:w="2228" w:type="dxa"/>
            <w:shd w:val="clear" w:color="auto" w:fill="FFFFFF"/>
          </w:tcPr>
          <w:p w14:paraId="331BCC6B" w14:textId="56C98A03" w:rsidR="00001C5C" w:rsidRPr="00226F9D" w:rsidRDefault="00B239ED" w:rsidP="00090884">
            <w:pPr>
              <w:spacing w:after="0" w:line="240" w:lineRule="auto"/>
              <w:jc w:val="both"/>
              <w:rPr>
                <w:rFonts w:ascii="Times New Roman" w:eastAsia="Times New Roman" w:hAnsi="Times New Roman" w:cs="Times New Roman"/>
                <w:color w:val="EE0000"/>
                <w:kern w:val="0"/>
                <w:sz w:val="20"/>
                <w:szCs w:val="20"/>
                <w:lang w:val="sr-Latn-RS" w:eastAsia="en-GB"/>
                <w14:ligatures w14:val="none"/>
              </w:rPr>
            </w:pPr>
            <w:r w:rsidRPr="00226F9D">
              <w:rPr>
                <w:rStyle w:val="cf01"/>
                <w:rFonts w:ascii="Times New Roman" w:hAnsi="Times New Roman" w:cs="Times New Roman"/>
                <w:sz w:val="20"/>
                <w:szCs w:val="20"/>
              </w:rPr>
              <w:t>13%</w:t>
            </w:r>
          </w:p>
        </w:tc>
        <w:tc>
          <w:tcPr>
            <w:tcW w:w="2430" w:type="dxa"/>
            <w:shd w:val="clear" w:color="auto" w:fill="FFFFFF"/>
          </w:tcPr>
          <w:p w14:paraId="4C7DF86A" w14:textId="35DC0211" w:rsidR="00001C5C" w:rsidRPr="00226F9D" w:rsidRDefault="00B239ED" w:rsidP="00090884">
            <w:pPr>
              <w:spacing w:after="0" w:line="240" w:lineRule="auto"/>
              <w:jc w:val="both"/>
              <w:rPr>
                <w:rFonts w:ascii="Times New Roman" w:eastAsia="Times New Roman" w:hAnsi="Times New Roman" w:cs="Times New Roman"/>
                <w:color w:val="EE0000"/>
                <w:kern w:val="0"/>
                <w:sz w:val="20"/>
                <w:szCs w:val="20"/>
                <w:lang w:val="sr-Cyrl-RS" w:eastAsia="en-GB"/>
                <w14:ligatures w14:val="none"/>
              </w:rPr>
            </w:pPr>
            <w:r w:rsidRPr="00226F9D">
              <w:rPr>
                <w:rStyle w:val="cf01"/>
                <w:rFonts w:ascii="Times New Roman" w:hAnsi="Times New Roman" w:cs="Times New Roman"/>
                <w:sz w:val="20"/>
                <w:szCs w:val="20"/>
              </w:rPr>
              <w:t>14</w:t>
            </w:r>
            <w:r w:rsidR="0033713C" w:rsidRPr="00226F9D">
              <w:rPr>
                <w:rStyle w:val="cf01"/>
                <w:rFonts w:ascii="Times New Roman" w:hAnsi="Times New Roman" w:cs="Times New Roman"/>
                <w:sz w:val="20"/>
                <w:szCs w:val="20"/>
                <w:lang w:val="sr-Cyrl-RS"/>
              </w:rPr>
              <w:t>,</w:t>
            </w:r>
            <w:r w:rsidRPr="00226F9D">
              <w:rPr>
                <w:rStyle w:val="cf01"/>
                <w:rFonts w:ascii="Times New Roman" w:hAnsi="Times New Roman" w:cs="Times New Roman"/>
                <w:sz w:val="20"/>
                <w:szCs w:val="20"/>
              </w:rPr>
              <w:t>3%</w:t>
            </w:r>
          </w:p>
        </w:tc>
        <w:tc>
          <w:tcPr>
            <w:tcW w:w="1980" w:type="dxa"/>
            <w:shd w:val="clear" w:color="auto" w:fill="FFFFFF"/>
          </w:tcPr>
          <w:p w14:paraId="17AFE8A8" w14:textId="06DFE944" w:rsidR="00001C5C" w:rsidRPr="00226F9D" w:rsidRDefault="000C0C05" w:rsidP="00090884">
            <w:pPr>
              <w:spacing w:after="0" w:line="240" w:lineRule="auto"/>
              <w:jc w:val="both"/>
              <w:rPr>
                <w:rFonts w:ascii="Times New Roman" w:eastAsia="Times New Roman" w:hAnsi="Times New Roman" w:cs="Times New Roman"/>
                <w:color w:val="EE0000"/>
                <w:kern w:val="0"/>
                <w:sz w:val="20"/>
                <w:szCs w:val="20"/>
                <w:lang w:val="sr-Cyrl-RS" w:eastAsia="en-GB"/>
                <w14:ligatures w14:val="none"/>
              </w:rPr>
            </w:pPr>
            <w:r w:rsidRPr="00226F9D">
              <w:rPr>
                <w:rStyle w:val="cf01"/>
                <w:rFonts w:ascii="Times New Roman" w:hAnsi="Times New Roman" w:cs="Times New Roman"/>
                <w:sz w:val="20"/>
                <w:szCs w:val="20"/>
              </w:rPr>
              <w:t>14</w:t>
            </w:r>
            <w:r w:rsidR="0033713C" w:rsidRPr="00226F9D">
              <w:rPr>
                <w:rStyle w:val="cf01"/>
                <w:rFonts w:ascii="Times New Roman" w:hAnsi="Times New Roman" w:cs="Times New Roman"/>
                <w:sz w:val="20"/>
                <w:szCs w:val="20"/>
                <w:lang w:val="sr-Cyrl-RS"/>
              </w:rPr>
              <w:t>,</w:t>
            </w:r>
            <w:r w:rsidRPr="00226F9D">
              <w:rPr>
                <w:rStyle w:val="cf01"/>
                <w:rFonts w:ascii="Times New Roman" w:hAnsi="Times New Roman" w:cs="Times New Roman"/>
                <w:sz w:val="20"/>
                <w:szCs w:val="20"/>
              </w:rPr>
              <w:t>3%</w:t>
            </w:r>
          </w:p>
        </w:tc>
        <w:tc>
          <w:tcPr>
            <w:tcW w:w="1832" w:type="dxa"/>
            <w:shd w:val="clear" w:color="auto" w:fill="FFFFFF"/>
          </w:tcPr>
          <w:p w14:paraId="527D28F5" w14:textId="4D4FBFBD" w:rsidR="00001C5C" w:rsidRPr="00226F9D" w:rsidRDefault="000C0C05" w:rsidP="00090884">
            <w:pPr>
              <w:spacing w:after="0" w:line="240" w:lineRule="auto"/>
              <w:jc w:val="both"/>
              <w:rPr>
                <w:rFonts w:ascii="Times New Roman" w:eastAsia="Times New Roman" w:hAnsi="Times New Roman" w:cs="Times New Roman"/>
                <w:color w:val="EE0000"/>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1</w:t>
            </w:r>
            <w:r w:rsidRPr="00226F9D">
              <w:rPr>
                <w:rFonts w:ascii="Times New Roman" w:eastAsia="Times New Roman" w:hAnsi="Times New Roman" w:cs="Times New Roman"/>
                <w:kern w:val="0"/>
                <w:sz w:val="20"/>
                <w:szCs w:val="20"/>
                <w:lang w:val="sr-Latn-RS" w:eastAsia="en-GB"/>
                <w14:ligatures w14:val="none"/>
              </w:rPr>
              <w:t>4</w:t>
            </w:r>
            <w:r w:rsidR="00001C5C" w:rsidRPr="00226F9D">
              <w:rPr>
                <w:rFonts w:ascii="Times New Roman" w:eastAsia="Times New Roman" w:hAnsi="Times New Roman" w:cs="Times New Roman"/>
                <w:kern w:val="0"/>
                <w:sz w:val="20"/>
                <w:szCs w:val="20"/>
                <w:lang w:val="sr-Cyrl-RS" w:eastAsia="en-GB"/>
                <w14:ligatures w14:val="none"/>
              </w:rPr>
              <w:t>,5%</w:t>
            </w:r>
          </w:p>
        </w:tc>
      </w:tr>
      <w:tr w:rsidR="00001C5C" w:rsidRPr="00226F9D" w14:paraId="7CD3BB0B" w14:textId="77777777" w:rsidTr="004A0952">
        <w:trPr>
          <w:trHeight w:val="160"/>
          <w:jc w:val="center"/>
        </w:trPr>
        <w:tc>
          <w:tcPr>
            <w:tcW w:w="3219" w:type="dxa"/>
            <w:shd w:val="clear" w:color="auto" w:fill="FFC000"/>
          </w:tcPr>
          <w:p w14:paraId="59A5D049"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Процена успешности</w:t>
            </w:r>
          </w:p>
        </w:tc>
        <w:tc>
          <w:tcPr>
            <w:tcW w:w="10668" w:type="dxa"/>
            <w:gridSpan w:val="5"/>
            <w:shd w:val="clear" w:color="auto" w:fill="FFFFFF"/>
          </w:tcPr>
          <w:p w14:paraId="4934775B" w14:textId="4275530B" w:rsidR="001A5947" w:rsidRPr="00226F9D" w:rsidRDefault="00E6286F"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kern w:val="0"/>
                <w:sz w:val="20"/>
                <w:szCs w:val="20"/>
                <w:lang w:val="sr-Cyrl-RS" w:eastAsia="en-GB"/>
                <w14:ligatures w14:val="none"/>
              </w:rPr>
              <w:t>Прихватљиво је одступање до 0.5 перцинтилних поена од циљане вредности</w:t>
            </w:r>
          </w:p>
        </w:tc>
      </w:tr>
    </w:tbl>
    <w:p w14:paraId="7706A4E8" w14:textId="77777777" w:rsidR="00947F21" w:rsidRPr="00226F9D" w:rsidRDefault="00947F21" w:rsidP="00090884">
      <w:pPr>
        <w:spacing w:after="0" w:line="240" w:lineRule="auto"/>
        <w:jc w:val="both"/>
        <w:rPr>
          <w:rFonts w:ascii="Times New Roman" w:eastAsia="Times New Roman" w:hAnsi="Times New Roman" w:cs="Times New Roman"/>
          <w:b/>
          <w:color w:val="FFC000"/>
          <w:kern w:val="0"/>
          <w:lang w:val="sr-Latn-RS" w:eastAsia="en-GB"/>
          <w14:ligatures w14:val="none"/>
        </w:rPr>
      </w:pPr>
    </w:p>
    <w:p w14:paraId="44C4EF7C" w14:textId="084BC109" w:rsidR="007F297D" w:rsidRDefault="007F297D" w:rsidP="00090884">
      <w:pPr>
        <w:spacing w:after="0" w:line="240" w:lineRule="auto"/>
        <w:jc w:val="both"/>
        <w:rPr>
          <w:rFonts w:ascii="Times New Roman" w:eastAsia="Times New Roman" w:hAnsi="Times New Roman" w:cs="Times New Roman"/>
          <w:b/>
          <w:bCs/>
          <w:color w:val="FFC000"/>
          <w:kern w:val="0"/>
          <w:lang w:val="sr-Latn-RS" w:eastAsia="en-GB"/>
          <w14:ligatures w14:val="none"/>
        </w:rPr>
      </w:pPr>
    </w:p>
    <w:p w14:paraId="5D392F97" w14:textId="77777777" w:rsidR="0078271E" w:rsidRPr="00226F9D" w:rsidRDefault="0078271E" w:rsidP="00090884">
      <w:pPr>
        <w:spacing w:after="0" w:line="240" w:lineRule="auto"/>
        <w:jc w:val="both"/>
        <w:rPr>
          <w:rFonts w:ascii="Times New Roman" w:eastAsia="Times New Roman" w:hAnsi="Times New Roman" w:cs="Times New Roman"/>
          <w:b/>
          <w:bCs/>
          <w:color w:val="FFC000"/>
          <w:kern w:val="0"/>
          <w:lang w:val="sr-Latn-RS" w:eastAsia="en-GB"/>
          <w14:ligatures w14:val="none"/>
        </w:rPr>
      </w:pPr>
    </w:p>
    <w:p w14:paraId="171996A6" w14:textId="77777777" w:rsidR="00947F21" w:rsidRPr="00226F9D" w:rsidRDefault="00947F21" w:rsidP="00090884">
      <w:pPr>
        <w:spacing w:after="0" w:line="240" w:lineRule="auto"/>
        <w:jc w:val="both"/>
        <w:rPr>
          <w:rFonts w:ascii="Times New Roman" w:eastAsia="Times New Roman" w:hAnsi="Times New Roman" w:cs="Times New Roman"/>
          <w:b/>
          <w:bCs/>
          <w:color w:val="FFC000"/>
          <w:kern w:val="0"/>
          <w:lang w:val="sr-Cyrl-RS" w:eastAsia="en-GB"/>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5"/>
        <w:gridCol w:w="2017"/>
        <w:gridCol w:w="2126"/>
        <w:gridCol w:w="1843"/>
        <w:gridCol w:w="1721"/>
        <w:gridCol w:w="1877"/>
        <w:gridCol w:w="1613"/>
      </w:tblGrid>
      <w:tr w:rsidR="00001C5C" w:rsidRPr="00226F9D" w14:paraId="0D393C74" w14:textId="77777777" w:rsidTr="008F686A">
        <w:trPr>
          <w:trHeight w:val="416"/>
          <w:jc w:val="center"/>
        </w:trPr>
        <w:tc>
          <w:tcPr>
            <w:tcW w:w="3365" w:type="dxa"/>
            <w:shd w:val="clear" w:color="auto" w:fill="D9D9D9"/>
            <w:vAlign w:val="center"/>
          </w:tcPr>
          <w:p w14:paraId="1312AB9D"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lastRenderedPageBreak/>
              <w:t>Назив показатеља</w:t>
            </w:r>
          </w:p>
        </w:tc>
        <w:tc>
          <w:tcPr>
            <w:tcW w:w="11197" w:type="dxa"/>
            <w:gridSpan w:val="6"/>
            <w:shd w:val="clear" w:color="auto" w:fill="D9D9D9"/>
            <w:vAlign w:val="center"/>
          </w:tcPr>
          <w:p w14:paraId="425D37FA" w14:textId="4F0C3D21" w:rsidR="00001C5C" w:rsidRPr="00226F9D" w:rsidRDefault="00001C5C" w:rsidP="004A0952">
            <w:pPr>
              <w:spacing w:after="0" w:line="240" w:lineRule="auto"/>
              <w:rPr>
                <w:rFonts w:ascii="Times New Roman" w:eastAsia="Times New Roman" w:hAnsi="Times New Roman" w:cs="Times New Roman"/>
                <w:b/>
                <w:color w:val="000000"/>
                <w:kern w:val="0"/>
                <w:sz w:val="20"/>
                <w:szCs w:val="20"/>
                <w:lang w:val="sr-Latn-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 xml:space="preserve">Удео капиталних издатака у укупним издацима локалне самоуправе </w:t>
            </w:r>
          </w:p>
        </w:tc>
      </w:tr>
      <w:tr w:rsidR="00001C5C" w:rsidRPr="00226F9D" w14:paraId="062F24BE" w14:textId="77777777" w:rsidTr="008F686A">
        <w:trPr>
          <w:trHeight w:val="517"/>
          <w:jc w:val="center"/>
        </w:trPr>
        <w:tc>
          <w:tcPr>
            <w:tcW w:w="3365" w:type="dxa"/>
            <w:shd w:val="clear" w:color="auto" w:fill="FFC000"/>
          </w:tcPr>
          <w:p w14:paraId="67D0DE51"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Одговарајући општи, посебни циљ или мера</w:t>
            </w:r>
          </w:p>
        </w:tc>
        <w:tc>
          <w:tcPr>
            <w:tcW w:w="11197" w:type="dxa"/>
            <w:gridSpan w:val="6"/>
            <w:shd w:val="clear" w:color="auto" w:fill="FFFFFF"/>
          </w:tcPr>
          <w:p w14:paraId="52EDC1C3" w14:textId="7777777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Унапређење система финансирања локалне самоуправе</w:t>
            </w:r>
          </w:p>
        </w:tc>
      </w:tr>
      <w:tr w:rsidR="00741988" w:rsidRPr="00226F9D" w14:paraId="7E0E69E0" w14:textId="77777777" w:rsidTr="008F686A">
        <w:trPr>
          <w:jc w:val="center"/>
        </w:trPr>
        <w:tc>
          <w:tcPr>
            <w:tcW w:w="3365" w:type="dxa"/>
            <w:shd w:val="clear" w:color="auto" w:fill="FFC000"/>
          </w:tcPr>
          <w:p w14:paraId="59A14AC3"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Тип и ниво показатеља</w:t>
            </w:r>
          </w:p>
        </w:tc>
        <w:tc>
          <w:tcPr>
            <w:tcW w:w="4143" w:type="dxa"/>
            <w:gridSpan w:val="2"/>
            <w:shd w:val="clear" w:color="auto" w:fill="FFFFFF"/>
          </w:tcPr>
          <w:p w14:paraId="1BBE0E75" w14:textId="77777777" w:rsidR="00001C5C" w:rsidRPr="00226F9D" w:rsidRDefault="00001C5C" w:rsidP="00090884">
            <w:pPr>
              <w:spacing w:after="0" w:line="240" w:lineRule="auto"/>
              <w:jc w:val="both"/>
              <w:rPr>
                <w:rFonts w:ascii="Times New Roman" w:eastAsia="Times New Roman" w:hAnsi="Times New Roman" w:cs="Times New Roman"/>
                <w:color w:val="000000"/>
                <w:kern w:val="24"/>
                <w:sz w:val="20"/>
                <w:szCs w:val="20"/>
                <w:lang w:val="sr-Cyrl-RS" w:eastAsia="en-GB"/>
                <w14:ligatures w14:val="none"/>
              </w:rPr>
            </w:pPr>
            <w:r w:rsidRPr="00226F9D">
              <w:rPr>
                <w:rFonts w:ascii="Times New Roman" w:eastAsia="Times New Roman" w:hAnsi="Times New Roman" w:cs="Times New Roman"/>
                <w:color w:val="000000"/>
                <w:kern w:val="24"/>
                <w:sz w:val="20"/>
                <w:szCs w:val="20"/>
                <w:lang w:val="sr-Cyrl-RS" w:eastAsia="en-GB"/>
                <w14:ligatures w14:val="none"/>
              </w:rPr>
              <w:t>Квантитативни</w:t>
            </w:r>
          </w:p>
        </w:tc>
        <w:tc>
          <w:tcPr>
            <w:tcW w:w="7054" w:type="dxa"/>
            <w:gridSpan w:val="4"/>
            <w:shd w:val="clear" w:color="auto" w:fill="FFFFFF"/>
          </w:tcPr>
          <w:p w14:paraId="653D5C65" w14:textId="77777777" w:rsidR="00001C5C" w:rsidRPr="00226F9D" w:rsidRDefault="00001C5C" w:rsidP="006B59F4">
            <w:pPr>
              <w:spacing w:after="0" w:line="240" w:lineRule="auto"/>
              <w:jc w:val="both"/>
              <w:rPr>
                <w:rFonts w:ascii="Times New Roman" w:eastAsia="Times New Roman" w:hAnsi="Times New Roman" w:cs="Times New Roman"/>
                <w:bCs/>
                <w:color w:val="000000"/>
                <w:kern w:val="24"/>
                <w:sz w:val="20"/>
                <w:szCs w:val="20"/>
                <w:lang w:val="sr-Cyrl-RS" w:eastAsia="en-GB"/>
                <w14:ligatures w14:val="none"/>
              </w:rPr>
            </w:pPr>
            <w:r w:rsidRPr="00226F9D">
              <w:rPr>
                <w:rFonts w:ascii="Times New Roman" w:eastAsia="Times New Roman" w:hAnsi="Times New Roman" w:cs="Times New Roman"/>
                <w:bCs/>
                <w:color w:val="000000"/>
                <w:kern w:val="24"/>
                <w:sz w:val="20"/>
                <w:szCs w:val="20"/>
                <w:lang w:val="sr-Cyrl-RS" w:eastAsia="en-GB"/>
                <w14:ligatures w14:val="none"/>
              </w:rPr>
              <w:t>Показатељ на нивоу посебног циља</w:t>
            </w:r>
          </w:p>
        </w:tc>
      </w:tr>
      <w:tr w:rsidR="007A7449" w:rsidRPr="00226F9D" w14:paraId="6275825F" w14:textId="77777777" w:rsidTr="008F686A">
        <w:trPr>
          <w:trHeight w:val="373"/>
          <w:jc w:val="center"/>
        </w:trPr>
        <w:tc>
          <w:tcPr>
            <w:tcW w:w="3365" w:type="dxa"/>
            <w:shd w:val="clear" w:color="auto" w:fill="FFC000"/>
          </w:tcPr>
          <w:p w14:paraId="0A00B8C1" w14:textId="77777777" w:rsidR="00001C5C" w:rsidRPr="00226F9D" w:rsidRDefault="00001C5C" w:rsidP="00400185">
            <w:pPr>
              <w:spacing w:after="0" w:line="240" w:lineRule="auto"/>
              <w:rPr>
                <w:rFonts w:ascii="Times New Roman" w:eastAsia="Times New Roman" w:hAnsi="Times New Roman" w:cs="Times New Roman"/>
                <w:b/>
                <w:color w:val="000000"/>
                <w:kern w:val="24"/>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Јединица мере и природа</w:t>
            </w:r>
          </w:p>
        </w:tc>
        <w:tc>
          <w:tcPr>
            <w:tcW w:w="4143" w:type="dxa"/>
            <w:gridSpan w:val="2"/>
            <w:shd w:val="clear" w:color="auto" w:fill="FFFFFF"/>
          </w:tcPr>
          <w:p w14:paraId="58BC79B0"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24"/>
                <w:sz w:val="20"/>
                <w:szCs w:val="20"/>
                <w:lang w:val="sr-Cyrl-RS" w:eastAsia="en-GB"/>
                <w14:ligatures w14:val="none"/>
              </w:rPr>
              <w:t>%</w:t>
            </w:r>
          </w:p>
        </w:tc>
        <w:tc>
          <w:tcPr>
            <w:tcW w:w="7054" w:type="dxa"/>
            <w:gridSpan w:val="4"/>
            <w:shd w:val="clear" w:color="auto" w:fill="FFFFFF"/>
          </w:tcPr>
          <w:p w14:paraId="519529E8" w14:textId="77777777" w:rsidR="00001C5C" w:rsidRPr="00226F9D" w:rsidRDefault="00001C5C" w:rsidP="006B59F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tr w:rsidR="00001C5C" w:rsidRPr="00226F9D" w14:paraId="48246499" w14:textId="77777777" w:rsidTr="008F686A">
        <w:trPr>
          <w:jc w:val="center"/>
        </w:trPr>
        <w:tc>
          <w:tcPr>
            <w:tcW w:w="3365" w:type="dxa"/>
            <w:shd w:val="clear" w:color="auto" w:fill="FFC000"/>
          </w:tcPr>
          <w:p w14:paraId="51174F3A"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Извор података за праћење показатеља учинка</w:t>
            </w:r>
          </w:p>
        </w:tc>
        <w:tc>
          <w:tcPr>
            <w:tcW w:w="11197" w:type="dxa"/>
            <w:gridSpan w:val="6"/>
            <w:shd w:val="clear" w:color="auto" w:fill="FFFFFF"/>
          </w:tcPr>
          <w:p w14:paraId="06474050" w14:textId="77777777" w:rsidR="00001C5C" w:rsidRPr="00226F9D" w:rsidRDefault="00001C5C"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Подаци ИСИБ АП и ЈЛС</w:t>
            </w:r>
          </w:p>
          <w:p w14:paraId="767AE12D" w14:textId="77777777" w:rsidR="00001C5C" w:rsidRPr="00226F9D" w:rsidRDefault="00001C5C" w:rsidP="006B59F4">
            <w:pPr>
              <w:spacing w:after="0" w:line="240" w:lineRule="auto"/>
              <w:jc w:val="both"/>
              <w:rPr>
                <w:rFonts w:ascii="Times New Roman" w:eastAsia="Times New Roman" w:hAnsi="Times New Roman" w:cs="Times New Roman"/>
                <w:i/>
                <w:iCs/>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 xml:space="preserve">Подаци из </w:t>
            </w:r>
            <w:r w:rsidRPr="00226F9D">
              <w:rPr>
                <w:rFonts w:ascii="Times New Roman" w:eastAsia="Times New Roman" w:hAnsi="Times New Roman" w:cs="Times New Roman"/>
                <w:i/>
                <w:iCs/>
                <w:color w:val="000000"/>
                <w:kern w:val="0"/>
                <w:sz w:val="20"/>
                <w:szCs w:val="20"/>
                <w:lang w:val="sr-Cyrl-RS" w:eastAsia="en-GB"/>
                <w14:ligatures w14:val="none"/>
              </w:rPr>
              <w:t>Месечног билтена јавних финансија</w:t>
            </w:r>
            <w:r w:rsidRPr="00226F9D">
              <w:rPr>
                <w:rFonts w:ascii="Times New Roman" w:eastAsia="Times New Roman" w:hAnsi="Times New Roman" w:cs="Times New Roman"/>
                <w:i/>
                <w:iCs/>
                <w:color w:val="000000"/>
                <w:kern w:val="0"/>
                <w:sz w:val="20"/>
                <w:szCs w:val="20"/>
                <w:lang w:val="sr-Latn-RS" w:eastAsia="en-GB"/>
                <w14:ligatures w14:val="none"/>
              </w:rPr>
              <w:t xml:space="preserve"> -</w:t>
            </w:r>
            <w:r w:rsidRPr="00226F9D">
              <w:rPr>
                <w:rFonts w:ascii="Times New Roman" w:hAnsi="Times New Roman" w:cs="Times New Roman"/>
                <w:sz w:val="20"/>
                <w:szCs w:val="20"/>
                <w:lang w:val="sr-Cyrl-RS"/>
              </w:rPr>
              <w:t xml:space="preserve"> </w:t>
            </w:r>
            <w:r w:rsidRPr="00226F9D">
              <w:rPr>
                <w:rFonts w:ascii="Times New Roman" w:eastAsia="Times New Roman" w:hAnsi="Times New Roman" w:cs="Times New Roman"/>
                <w:i/>
                <w:iCs/>
                <w:color w:val="000000"/>
                <w:kern w:val="0"/>
                <w:sz w:val="20"/>
                <w:szCs w:val="20"/>
                <w:lang w:val="sr-Latn-RS" w:eastAsia="en-GB"/>
                <w14:ligatures w14:val="none"/>
              </w:rPr>
              <w:t xml:space="preserve">https://www.mfin.gov.rs/aktivnosti/bilten-javnih-finansija </w:t>
            </w:r>
          </w:p>
          <w:p w14:paraId="631D6A51" w14:textId="7777777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Подаци Управе за трезор Министарства финансија</w:t>
            </w:r>
            <w:r w:rsidRPr="00226F9D">
              <w:rPr>
                <w:rFonts w:ascii="Times New Roman" w:eastAsia="Times New Roman" w:hAnsi="Times New Roman" w:cs="Times New Roman"/>
                <w:color w:val="000000"/>
                <w:kern w:val="0"/>
                <w:sz w:val="20"/>
                <w:szCs w:val="20"/>
                <w:lang w:val="sr-Latn-RS" w:eastAsia="en-GB"/>
                <w14:ligatures w14:val="none"/>
              </w:rPr>
              <w:t xml:space="preserve"> </w:t>
            </w:r>
          </w:p>
          <w:p w14:paraId="7A847FB6"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 xml:space="preserve">Подаци из аналитичког сервиса ЈЛС, МДУЛС и РСЈП, </w:t>
            </w:r>
            <w:hyperlink r:id="rId50">
              <w:r w:rsidRPr="00226F9D">
                <w:rPr>
                  <w:rFonts w:ascii="Times New Roman" w:eastAsia="Times New Roman" w:hAnsi="Times New Roman" w:cs="Times New Roman"/>
                  <w:color w:val="000000"/>
                  <w:kern w:val="0"/>
                  <w:sz w:val="20"/>
                  <w:szCs w:val="20"/>
                  <w:u w:val="single"/>
                  <w:lang w:val="sr-Cyrl-RS" w:eastAsia="en-GB"/>
                  <w14:ligatures w14:val="none"/>
                </w:rPr>
                <w:t>https://rsjp.gov.rs/jls-baza/</w:t>
              </w:r>
            </w:hyperlink>
          </w:p>
        </w:tc>
      </w:tr>
      <w:tr w:rsidR="00001C5C" w:rsidRPr="00226F9D" w14:paraId="0E194866" w14:textId="77777777" w:rsidTr="008F686A">
        <w:trPr>
          <w:jc w:val="center"/>
        </w:trPr>
        <w:tc>
          <w:tcPr>
            <w:tcW w:w="3365" w:type="dxa"/>
            <w:shd w:val="clear" w:color="auto" w:fill="FFC000"/>
          </w:tcPr>
          <w:p w14:paraId="3734289C"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носиоца прикупљања података</w:t>
            </w:r>
          </w:p>
        </w:tc>
        <w:tc>
          <w:tcPr>
            <w:tcW w:w="11197" w:type="dxa"/>
            <w:gridSpan w:val="6"/>
            <w:shd w:val="clear" w:color="auto" w:fill="FFFFFF"/>
          </w:tcPr>
          <w:p w14:paraId="6706B925"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 xml:space="preserve">Министарство финансија, Иван Зечић, </w:t>
            </w:r>
            <w:hyperlink r:id="rId51" w:history="1">
              <w:r w:rsidRPr="00226F9D">
                <w:rPr>
                  <w:rFonts w:ascii="Times New Roman" w:eastAsia="Times New Roman" w:hAnsi="Times New Roman" w:cs="Times New Roman"/>
                  <w:color w:val="0563C1"/>
                  <w:kern w:val="0"/>
                  <w:sz w:val="20"/>
                  <w:szCs w:val="20"/>
                  <w:u w:val="single"/>
                  <w:lang w:val="sr-Cyrl-RS" w:eastAsia="en-GB"/>
                  <w14:ligatures w14:val="none"/>
                </w:rPr>
                <w:t>ivan.zecic@mfin.gov.rs</w:t>
              </w:r>
            </w:hyperlink>
          </w:p>
          <w:p w14:paraId="07F99D6E" w14:textId="7A368396"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 xml:space="preserve">СКГО, Александар Маринковић, </w:t>
            </w:r>
            <w:hyperlink r:id="rId52" w:history="1">
              <w:r w:rsidRPr="00226F9D">
                <w:rPr>
                  <w:rStyle w:val="Hyperlink"/>
                  <w:rFonts w:ascii="Times New Roman" w:eastAsia="Times New Roman" w:hAnsi="Times New Roman" w:cs="Times New Roman"/>
                  <w:kern w:val="0"/>
                  <w:sz w:val="20"/>
                  <w:szCs w:val="20"/>
                  <w:lang w:val="sr-Latn-RS" w:eastAsia="en-GB"/>
                  <w14:ligatures w14:val="none"/>
                </w:rPr>
                <w:t>aleksandar</w:t>
              </w:r>
              <w:r w:rsidRPr="00226F9D">
                <w:rPr>
                  <w:rStyle w:val="Hyperlink"/>
                  <w:rFonts w:ascii="Times New Roman" w:eastAsia="Times New Roman" w:hAnsi="Times New Roman" w:cs="Times New Roman"/>
                  <w:kern w:val="0"/>
                  <w:sz w:val="20"/>
                  <w:szCs w:val="20"/>
                  <w:lang w:val="sr-Cyrl-RS" w:eastAsia="en-GB"/>
                  <w14:ligatures w14:val="none"/>
                </w:rPr>
                <w:t>.</w:t>
              </w:r>
              <w:r w:rsidRPr="00226F9D">
                <w:rPr>
                  <w:rStyle w:val="Hyperlink"/>
                  <w:rFonts w:ascii="Times New Roman" w:eastAsia="Times New Roman" w:hAnsi="Times New Roman" w:cs="Times New Roman"/>
                  <w:kern w:val="0"/>
                  <w:sz w:val="20"/>
                  <w:szCs w:val="20"/>
                  <w:lang w:val="sr-Latn-RS" w:eastAsia="en-GB"/>
                  <w14:ligatures w14:val="none"/>
                </w:rPr>
                <w:t>marinkovic</w:t>
              </w:r>
              <w:r w:rsidRPr="00226F9D">
                <w:rPr>
                  <w:rStyle w:val="Hyperlink"/>
                  <w:rFonts w:ascii="Times New Roman" w:eastAsia="Times New Roman" w:hAnsi="Times New Roman" w:cs="Times New Roman"/>
                  <w:kern w:val="0"/>
                  <w:sz w:val="20"/>
                  <w:szCs w:val="20"/>
                  <w:lang w:val="sr-Cyrl-RS" w:eastAsia="en-GB"/>
                  <w14:ligatures w14:val="none"/>
                </w:rPr>
                <w:t>@skgo.org</w:t>
              </w:r>
            </w:hyperlink>
            <w:r w:rsidR="00B77818" w:rsidRPr="00226F9D">
              <w:rPr>
                <w:rFonts w:ascii="Times New Roman" w:hAnsi="Times New Roman" w:cs="Times New Roman"/>
                <w:sz w:val="20"/>
                <w:szCs w:val="20"/>
                <w:lang w:val="sr-Cyrl-RS"/>
              </w:rPr>
              <w:t xml:space="preserve"> </w:t>
            </w:r>
          </w:p>
        </w:tc>
      </w:tr>
      <w:tr w:rsidR="00001C5C" w:rsidRPr="00226F9D" w14:paraId="53919120" w14:textId="77777777" w:rsidTr="008F686A">
        <w:trPr>
          <w:jc w:val="center"/>
        </w:trPr>
        <w:tc>
          <w:tcPr>
            <w:tcW w:w="3365" w:type="dxa"/>
            <w:shd w:val="clear" w:color="auto" w:fill="FFC000"/>
          </w:tcPr>
          <w:p w14:paraId="7AFB36CF"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Учесталост прикупљања података</w:t>
            </w:r>
          </w:p>
        </w:tc>
        <w:tc>
          <w:tcPr>
            <w:tcW w:w="11197" w:type="dxa"/>
            <w:gridSpan w:val="6"/>
            <w:shd w:val="clear" w:color="auto" w:fill="FFFFFF"/>
          </w:tcPr>
          <w:p w14:paraId="1272A787" w14:textId="7777777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Подаци се прикупљају до 30. септембра текуће године за претходну.</w:t>
            </w:r>
          </w:p>
        </w:tc>
      </w:tr>
      <w:tr w:rsidR="00001C5C" w:rsidRPr="00226F9D" w14:paraId="0449D37F" w14:textId="77777777" w:rsidTr="008F686A">
        <w:trPr>
          <w:jc w:val="center"/>
        </w:trPr>
        <w:tc>
          <w:tcPr>
            <w:tcW w:w="3365" w:type="dxa"/>
            <w:shd w:val="clear" w:color="auto" w:fill="FFC000"/>
          </w:tcPr>
          <w:p w14:paraId="1279637A" w14:textId="77777777" w:rsidR="00001C5C" w:rsidRPr="00226F9D" w:rsidRDefault="00001C5C" w:rsidP="00400185">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Кратак опис показатеља и методологије израчунавања</w:t>
            </w:r>
          </w:p>
          <w:p w14:paraId="55E9F38B"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(формуле/једначине)</w:t>
            </w:r>
          </w:p>
        </w:tc>
        <w:tc>
          <w:tcPr>
            <w:tcW w:w="11197" w:type="dxa"/>
            <w:gridSpan w:val="6"/>
            <w:shd w:val="clear" w:color="auto" w:fill="FFFFFF"/>
          </w:tcPr>
          <w:p w14:paraId="0B310C7E" w14:textId="7777777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Овај показатељ показује степен учешћа капиталних издатака у издацима локалне самоуправе. С обзиром на то да је једна од кључних функција локалне самоуправе развој локалне комуналне и социјалне инфраструктуре (у образовању, социјалној заштити, култури, спорту, омладинској политици и др.) одређени ниво удела капиталних издатака у локалном буџету указује на сврсисходност употребе прикупљених локалних прихода. Овај показатељ се израчунава тако што се укупан износ капиталних издатака подели укупним износом издатака локалне самоуправе.</w:t>
            </w:r>
          </w:p>
          <w:p w14:paraId="73B8EDF3" w14:textId="77777777" w:rsidR="00001C5C" w:rsidRPr="00226F9D" w:rsidRDefault="00001C5C" w:rsidP="00090884">
            <w:pPr>
              <w:spacing w:after="0" w:line="240" w:lineRule="auto"/>
              <w:jc w:val="both"/>
              <w:rPr>
                <w:rFonts w:ascii="Times New Roman" w:eastAsia="Calibri" w:hAnsi="Times New Roman" w:cs="Times New Roman"/>
                <w:b/>
                <w:color w:val="000000"/>
                <w:kern w:val="0"/>
                <w:sz w:val="20"/>
                <w:szCs w:val="20"/>
                <w:lang w:val="sr-Cyrl-RS" w:eastAsia="en-GB"/>
                <w14:ligatures w14:val="none"/>
              </w:rPr>
            </w:pPr>
            <w:r w:rsidRPr="00226F9D">
              <w:rPr>
                <w:rFonts w:ascii="Times New Roman" w:eastAsia="Calibri" w:hAnsi="Times New Roman" w:cs="Times New Roman"/>
                <w:b/>
                <w:color w:val="000000"/>
                <w:kern w:val="0"/>
                <w:sz w:val="20"/>
                <w:szCs w:val="20"/>
                <w:lang w:val="sr-Cyrl-RS" w:eastAsia="en-GB"/>
                <w14:ligatures w14:val="none"/>
              </w:rPr>
              <w:t xml:space="preserve">                                                                 ФОРМУЛА/ЈЕДНАЧИНА</w:t>
            </w:r>
          </w:p>
          <w:p w14:paraId="188D7B9D" w14:textId="7777777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noProof/>
                <w:color w:val="000000"/>
                <w:kern w:val="0"/>
                <w:sz w:val="20"/>
                <w:szCs w:val="20"/>
                <w14:ligatures w14:val="none"/>
              </w:rPr>
              <mc:AlternateContent>
                <mc:Choice Requires="wps">
                  <w:drawing>
                    <wp:anchor distT="0" distB="0" distL="114300" distR="114300" simplePos="0" relativeHeight="251658241" behindDoc="0" locked="0" layoutInCell="1" allowOverlap="1" wp14:anchorId="6CDB35CF" wp14:editId="30AC32EC">
                      <wp:simplePos x="0" y="0"/>
                      <wp:positionH relativeFrom="column">
                        <wp:posOffset>2090420</wp:posOffset>
                      </wp:positionH>
                      <wp:positionV relativeFrom="paragraph">
                        <wp:posOffset>52070</wp:posOffset>
                      </wp:positionV>
                      <wp:extent cx="2638425" cy="264816"/>
                      <wp:effectExtent l="0" t="0" r="0" b="0"/>
                      <wp:wrapNone/>
                      <wp:docPr id="15" name="TextBox 2"/>
                      <wp:cNvGraphicFramePr/>
                      <a:graphic xmlns:a="http://schemas.openxmlformats.org/drawingml/2006/main">
                        <a:graphicData uri="http://schemas.microsoft.com/office/word/2010/wordprocessingShape">
                          <wps:wsp>
                            <wps:cNvSpPr txBox="1"/>
                            <wps:spPr>
                              <a:xfrm>
                                <a:off x="0" y="0"/>
                                <a:ext cx="2638425" cy="264816"/>
                              </a:xfrm>
                              <a:prstGeom prst="rect">
                                <a:avLst/>
                              </a:prstGeom>
                              <a:noFill/>
                              <a:ln>
                                <a:noFill/>
                              </a:ln>
                              <a:effectLst/>
                            </wps:spPr>
                            <wps:txbx>
                              <w:txbxContent>
                                <w:p w14:paraId="23542C52" w14:textId="77777777" w:rsidR="00C01216" w:rsidRPr="004136FD" w:rsidRDefault="00D155C4" w:rsidP="00001C5C">
                                  <w:pPr>
                                    <w:rPr>
                                      <w:color w:val="000000"/>
                                      <w:lang w:val="sr-Latn-RS"/>
                                    </w:rPr>
                                  </w:pPr>
                                  <m:oMath>
                                    <m:f>
                                      <m:fPr>
                                        <m:ctrlPr>
                                          <w:rPr>
                                            <w:rFonts w:ascii="Cambria Math" w:eastAsia="Yu Mincho" w:hAnsi="Cambria Math"/>
                                            <w:i/>
                                            <w:iCs/>
                                            <w:color w:val="000000"/>
                                            <w:sz w:val="28"/>
                                            <w:szCs w:val="28"/>
                                          </w:rPr>
                                        </m:ctrlPr>
                                      </m:fPr>
                                      <m:num>
                                        <m:r>
                                          <w:rPr>
                                            <w:rFonts w:ascii="Cambria Math" w:hAnsi="Cambria Math"/>
                                            <w:color w:val="000000"/>
                                            <w:sz w:val="28"/>
                                            <w:szCs w:val="28"/>
                                            <w:lang w:val="sr-Latn-RS"/>
                                          </w:rPr>
                                          <m:t>Укупни капитални издаци ЈЛС</m:t>
                                        </m:r>
                                      </m:num>
                                      <m:den>
                                        <m:r>
                                          <w:rPr>
                                            <w:rFonts w:ascii="Cambria Math" w:hAnsi="Cambria Math"/>
                                            <w:color w:val="000000"/>
                                            <w:sz w:val="28"/>
                                            <w:szCs w:val="28"/>
                                            <w:lang w:val="sr-Latn-RS"/>
                                          </w:rPr>
                                          <m:t>Укупни издаци ЈЛС</m:t>
                                        </m:r>
                                      </m:den>
                                    </m:f>
                                  </m:oMath>
                                  <w:r w:rsidR="00C01216" w:rsidRPr="004136FD">
                                    <w:rPr>
                                      <w:color w:val="000000"/>
                                      <w:lang w:val="sr-Latn-RS"/>
                                    </w:rPr>
                                    <w:t xml:space="preserve"> </w:t>
                                  </w:r>
                                  <m:oMath>
                                    <m:r>
                                      <w:rPr>
                                        <w:rFonts w:ascii="Cambria Math" w:eastAsia="Cambria Math" w:hAnsi="Cambria Math"/>
                                        <w:color w:val="000000"/>
                                        <w:lang w:val="sr-Latn-RS"/>
                                      </w:rPr>
                                      <m:t>×100</m:t>
                                    </m:r>
                                  </m:oMath>
                                </w:p>
                              </w:txbxContent>
                            </wps:txbx>
                            <wps:bodyPr vertOverflow="clip" horzOverflow="clip" wrap="square" lIns="0" tIns="0" rIns="0" bIns="0" rtlCol="0" anchor="t">
                              <a:spAutoFit/>
                            </wps:bodyPr>
                          </wps:wsp>
                        </a:graphicData>
                      </a:graphic>
                      <wp14:sizeRelH relativeFrom="margin">
                        <wp14:pctWidth>0</wp14:pctWidth>
                      </wp14:sizeRelH>
                    </wp:anchor>
                  </w:drawing>
                </mc:Choice>
                <mc:Fallback>
                  <w:pict>
                    <v:shape w14:anchorId="6CDB35CF" id="_x0000_s1028" type="#_x0000_t202" style="position:absolute;left:0;text-align:left;margin-left:164.6pt;margin-top:4.1pt;width:207.75pt;height:20.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" filled="f" stroked="f">
                      <v:textbox style="mso-fit-shape-to-text:t" inset="0,0,0,0">
                        <w:txbxContent>
                          <w:p w14:paraId="23542C52" w14:textId="77777777" w:rsidR="00C01216" w:rsidRPr="004136FD" w:rsidRDefault="00C01216" w:rsidP="00001C5C">
                            <w:pPr>
                              <w:rPr>
                                <w:color w:val="000000"/>
                                <w:lang w:val="sr-Latn-RS"/>
                              </w:rPr>
                            </w:pPr>
                            <m:oMath>
                              <m:f>
                                <m:fPr>
                                  <m:ctrlPr>
                                    <w:rPr>
                                      <w:rFonts w:ascii="Cambria Math" w:eastAsia="Yu Mincho" w:hAnsi="Cambria Math"/>
                                      <w:i/>
                                      <w:iCs/>
                                      <w:color w:val="000000"/>
                                      <w:sz w:val="28"/>
                                      <w:szCs w:val="28"/>
                                    </w:rPr>
                                  </m:ctrlPr>
                                </m:fPr>
                                <m:num>
                                  <m:r>
                                    <w:rPr>
                                      <w:rFonts w:ascii="Cambria Math" w:hAnsi="Cambria Math"/>
                                      <w:color w:val="000000"/>
                                      <w:sz w:val="28"/>
                                      <w:szCs w:val="28"/>
                                      <w:lang w:val="sr-Latn-RS"/>
                                    </w:rPr>
                                    <m:t>Укупни капитални издаци ЈЛС</m:t>
                                  </m:r>
                                </m:num>
                                <m:den>
                                  <m:r>
                                    <w:rPr>
                                      <w:rFonts w:ascii="Cambria Math" w:hAnsi="Cambria Math"/>
                                      <w:color w:val="000000"/>
                                      <w:sz w:val="28"/>
                                      <w:szCs w:val="28"/>
                                      <w:lang w:val="sr-Latn-RS"/>
                                    </w:rPr>
                                    <m:t>Укупни издаци ЈЛС</m:t>
                                  </m:r>
                                </m:den>
                              </m:f>
                            </m:oMath>
                            <w:r w:rsidRPr="004136FD">
                              <w:rPr>
                                <w:color w:val="000000"/>
                                <w:lang w:val="sr-Latn-RS"/>
                              </w:rPr>
                              <w:t xml:space="preserve"> </w:t>
                            </w:r>
                            <m:oMath>
                              <m:r>
                                <w:rPr>
                                  <w:rFonts w:ascii="Cambria Math" w:eastAsia="Cambria Math" w:hAnsi="Cambria Math"/>
                                  <w:color w:val="000000"/>
                                  <w:lang w:val="sr-Latn-RS"/>
                                </w:rPr>
                                <m:t>×100</m:t>
                              </m:r>
                            </m:oMath>
                          </w:p>
                        </w:txbxContent>
                      </v:textbox>
                    </v:shape>
                  </w:pict>
                </mc:Fallback>
              </mc:AlternateContent>
            </w:r>
          </w:p>
          <w:p w14:paraId="06CC0517" w14:textId="7777777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p w14:paraId="5BEBE8AB" w14:textId="7777777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tc>
      </w:tr>
      <w:tr w:rsidR="007A7449" w:rsidRPr="00226F9D" w14:paraId="265A7F08" w14:textId="77777777" w:rsidTr="008F686A">
        <w:trPr>
          <w:trHeight w:val="265"/>
          <w:jc w:val="center"/>
        </w:trPr>
        <w:tc>
          <w:tcPr>
            <w:tcW w:w="3365" w:type="dxa"/>
            <w:vMerge w:val="restart"/>
            <w:shd w:val="clear" w:color="auto" w:fill="FFC000"/>
          </w:tcPr>
          <w:p w14:paraId="1F436DC7" w14:textId="77777777" w:rsidR="00001C5C" w:rsidRPr="00226F9D" w:rsidRDefault="00001C5C"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полазној вредности и години кад је измерена, као и о тренду у прошлости</w:t>
            </w:r>
          </w:p>
        </w:tc>
        <w:tc>
          <w:tcPr>
            <w:tcW w:w="7707" w:type="dxa"/>
            <w:gridSpan w:val="4"/>
            <w:tcBorders>
              <w:bottom w:val="single" w:sz="4" w:space="0" w:color="auto"/>
            </w:tcBorders>
            <w:shd w:val="clear" w:color="auto" w:fill="FFFFFF"/>
          </w:tcPr>
          <w:p w14:paraId="78D73F6F" w14:textId="60CF9BBD"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Тренд у прошлости</w:t>
            </w:r>
          </w:p>
        </w:tc>
        <w:tc>
          <w:tcPr>
            <w:tcW w:w="3490" w:type="dxa"/>
            <w:gridSpan w:val="2"/>
            <w:shd w:val="clear" w:color="auto" w:fill="FFFFFF"/>
          </w:tcPr>
          <w:p w14:paraId="74A984D9"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Полазна вредност</w:t>
            </w:r>
          </w:p>
        </w:tc>
      </w:tr>
      <w:tr w:rsidR="008F686A" w:rsidRPr="00226F9D" w14:paraId="402819CB" w14:textId="77777777" w:rsidTr="008F686A">
        <w:trPr>
          <w:trHeight w:val="137"/>
          <w:jc w:val="center"/>
        </w:trPr>
        <w:tc>
          <w:tcPr>
            <w:tcW w:w="3365" w:type="dxa"/>
            <w:vMerge/>
          </w:tcPr>
          <w:p w14:paraId="78C815AB" w14:textId="77777777" w:rsidR="008F686A" w:rsidRPr="00226F9D" w:rsidRDefault="008F686A"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017" w:type="dxa"/>
            <w:tcBorders>
              <w:top w:val="single" w:sz="4" w:space="0" w:color="auto"/>
              <w:left w:val="single" w:sz="4" w:space="0" w:color="auto"/>
              <w:bottom w:val="single" w:sz="4" w:space="0" w:color="auto"/>
              <w:right w:val="single" w:sz="4" w:space="0" w:color="auto"/>
            </w:tcBorders>
            <w:shd w:val="clear" w:color="auto" w:fill="FFFFFF"/>
          </w:tcPr>
          <w:p w14:paraId="2EF43111" w14:textId="3873A3CF"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2021.</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90B1B09" w14:textId="718B265B"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7A088A" w14:textId="77777777"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2023.</w:t>
            </w:r>
          </w:p>
        </w:tc>
        <w:tc>
          <w:tcPr>
            <w:tcW w:w="1721" w:type="dxa"/>
            <w:tcBorders>
              <w:top w:val="single" w:sz="4" w:space="0" w:color="auto"/>
              <w:left w:val="single" w:sz="4" w:space="0" w:color="auto"/>
              <w:bottom w:val="single" w:sz="4" w:space="0" w:color="auto"/>
              <w:right w:val="single" w:sz="4" w:space="0" w:color="auto"/>
            </w:tcBorders>
            <w:shd w:val="clear" w:color="auto" w:fill="FFFFFF"/>
          </w:tcPr>
          <w:p w14:paraId="6A191B82" w14:textId="3581E405"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2024.</w:t>
            </w:r>
          </w:p>
        </w:tc>
        <w:tc>
          <w:tcPr>
            <w:tcW w:w="3490" w:type="dxa"/>
            <w:gridSpan w:val="2"/>
            <w:tcBorders>
              <w:left w:val="single" w:sz="4" w:space="0" w:color="auto"/>
            </w:tcBorders>
            <w:shd w:val="clear" w:color="auto" w:fill="FFFFFF"/>
          </w:tcPr>
          <w:p w14:paraId="60413200" w14:textId="46951456"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2025</w:t>
            </w:r>
            <w:r w:rsidR="008D0D4B" w:rsidRPr="00226F9D">
              <w:rPr>
                <w:rFonts w:ascii="Times New Roman" w:eastAsia="Times New Roman" w:hAnsi="Times New Roman" w:cs="Times New Roman"/>
                <w:color w:val="000000"/>
                <w:kern w:val="0"/>
                <w:sz w:val="20"/>
                <w:szCs w:val="20"/>
                <w:lang w:val="sr-Cyrl-RS" w:eastAsia="en-GB"/>
                <w14:ligatures w14:val="none"/>
              </w:rPr>
              <w:t>.</w:t>
            </w:r>
          </w:p>
        </w:tc>
      </w:tr>
      <w:tr w:rsidR="008F686A" w:rsidRPr="00226F9D" w14:paraId="244D0580" w14:textId="77777777" w:rsidTr="008F686A">
        <w:trPr>
          <w:trHeight w:val="323"/>
          <w:jc w:val="center"/>
        </w:trPr>
        <w:tc>
          <w:tcPr>
            <w:tcW w:w="3365" w:type="dxa"/>
            <w:vMerge/>
          </w:tcPr>
          <w:p w14:paraId="5D725AE2" w14:textId="77777777" w:rsidR="008F686A" w:rsidRPr="00226F9D" w:rsidRDefault="008F686A"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017" w:type="dxa"/>
            <w:tcBorders>
              <w:top w:val="single" w:sz="4" w:space="0" w:color="auto"/>
            </w:tcBorders>
            <w:shd w:val="clear" w:color="auto" w:fill="FFFFFF"/>
          </w:tcPr>
          <w:p w14:paraId="07157DA7" w14:textId="3141CE94"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1</w:t>
            </w:r>
            <w:r w:rsidRPr="00226F9D">
              <w:rPr>
                <w:rFonts w:ascii="Times New Roman" w:eastAsia="Times New Roman" w:hAnsi="Times New Roman" w:cs="Times New Roman"/>
                <w:color w:val="000000"/>
                <w:kern w:val="0"/>
                <w:sz w:val="20"/>
                <w:szCs w:val="20"/>
                <w:lang w:val="sr-Latn-RS" w:eastAsia="en-GB"/>
                <w14:ligatures w14:val="none"/>
              </w:rPr>
              <w:t>7</w:t>
            </w:r>
            <w:r w:rsidRPr="00226F9D">
              <w:rPr>
                <w:rFonts w:ascii="Times New Roman" w:eastAsia="Times New Roman" w:hAnsi="Times New Roman" w:cs="Times New Roman"/>
                <w:color w:val="000000"/>
                <w:kern w:val="0"/>
                <w:sz w:val="20"/>
                <w:szCs w:val="20"/>
                <w:lang w:val="sr-Cyrl-RS" w:eastAsia="en-GB"/>
                <w14:ligatures w14:val="none"/>
              </w:rPr>
              <w:t>,</w:t>
            </w:r>
            <w:r w:rsidRPr="00226F9D">
              <w:rPr>
                <w:rFonts w:ascii="Times New Roman" w:eastAsia="Times New Roman" w:hAnsi="Times New Roman" w:cs="Times New Roman"/>
                <w:color w:val="000000"/>
                <w:kern w:val="0"/>
                <w:sz w:val="20"/>
                <w:szCs w:val="20"/>
                <w:lang w:val="sr-Latn-RS" w:eastAsia="en-GB"/>
                <w14:ligatures w14:val="none"/>
              </w:rPr>
              <w:t>3</w:t>
            </w:r>
            <w:r w:rsidRPr="00226F9D">
              <w:rPr>
                <w:rFonts w:ascii="Times New Roman" w:eastAsia="Times New Roman" w:hAnsi="Times New Roman" w:cs="Times New Roman"/>
                <w:color w:val="000000"/>
                <w:kern w:val="0"/>
                <w:sz w:val="20"/>
                <w:szCs w:val="20"/>
                <w:lang w:val="sr-Cyrl-RS" w:eastAsia="en-GB"/>
                <w14:ligatures w14:val="none"/>
              </w:rPr>
              <w:t>%</w:t>
            </w:r>
          </w:p>
        </w:tc>
        <w:tc>
          <w:tcPr>
            <w:tcW w:w="2126" w:type="dxa"/>
            <w:tcBorders>
              <w:top w:val="single" w:sz="4" w:space="0" w:color="auto"/>
            </w:tcBorders>
            <w:shd w:val="clear" w:color="auto" w:fill="FFFFFF"/>
          </w:tcPr>
          <w:p w14:paraId="5E821235" w14:textId="19782539"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18,4%</w:t>
            </w:r>
          </w:p>
        </w:tc>
        <w:tc>
          <w:tcPr>
            <w:tcW w:w="1843" w:type="dxa"/>
            <w:tcBorders>
              <w:top w:val="single" w:sz="4" w:space="0" w:color="auto"/>
            </w:tcBorders>
            <w:shd w:val="clear" w:color="auto" w:fill="FFFFFF"/>
          </w:tcPr>
          <w:p w14:paraId="05913991" w14:textId="77777777"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18,1%</w:t>
            </w:r>
          </w:p>
        </w:tc>
        <w:tc>
          <w:tcPr>
            <w:tcW w:w="1721" w:type="dxa"/>
            <w:tcBorders>
              <w:top w:val="single" w:sz="4" w:space="0" w:color="auto"/>
            </w:tcBorders>
            <w:shd w:val="clear" w:color="auto" w:fill="FFFFFF"/>
          </w:tcPr>
          <w:p w14:paraId="3F017157" w14:textId="2E13481F" w:rsidR="008F686A" w:rsidRPr="00226F9D" w:rsidRDefault="0089180B"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18%</w:t>
            </w:r>
          </w:p>
        </w:tc>
        <w:tc>
          <w:tcPr>
            <w:tcW w:w="3490" w:type="dxa"/>
            <w:gridSpan w:val="2"/>
            <w:shd w:val="clear" w:color="auto" w:fill="FFFFFF"/>
          </w:tcPr>
          <w:p w14:paraId="3565FAA3" w14:textId="603A11A4" w:rsidR="008F686A" w:rsidRPr="00226F9D" w:rsidRDefault="008F686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15,8%</w:t>
            </w:r>
          </w:p>
        </w:tc>
      </w:tr>
      <w:tr w:rsidR="007A7449" w:rsidRPr="00226F9D" w14:paraId="1EF2B8A2" w14:textId="77777777" w:rsidTr="008F686A">
        <w:trPr>
          <w:trHeight w:val="274"/>
          <w:jc w:val="center"/>
        </w:trPr>
        <w:tc>
          <w:tcPr>
            <w:tcW w:w="3365" w:type="dxa"/>
            <w:vMerge w:val="restart"/>
            <w:shd w:val="clear" w:color="auto" w:fill="FFC000"/>
          </w:tcPr>
          <w:p w14:paraId="39D8C183" w14:textId="77777777" w:rsidR="00211A15" w:rsidRPr="00226F9D" w:rsidRDefault="00211A15"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циљним вредностима</w:t>
            </w:r>
          </w:p>
        </w:tc>
        <w:tc>
          <w:tcPr>
            <w:tcW w:w="2017" w:type="dxa"/>
            <w:shd w:val="clear" w:color="auto" w:fill="FFFFFF"/>
          </w:tcPr>
          <w:p w14:paraId="4B849967"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2026.</w:t>
            </w:r>
          </w:p>
        </w:tc>
        <w:tc>
          <w:tcPr>
            <w:tcW w:w="2126" w:type="dxa"/>
            <w:shd w:val="clear" w:color="auto" w:fill="FFFFFF"/>
          </w:tcPr>
          <w:p w14:paraId="38FDE3F4"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eastAsia="en-GB"/>
                <w14:ligatures w14:val="none"/>
              </w:rPr>
            </w:pPr>
          </w:p>
          <w:p w14:paraId="7F1ED1D1"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2027.</w:t>
            </w:r>
          </w:p>
          <w:p w14:paraId="5C643862"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p>
        </w:tc>
        <w:tc>
          <w:tcPr>
            <w:tcW w:w="3564" w:type="dxa"/>
            <w:gridSpan w:val="2"/>
            <w:shd w:val="clear" w:color="auto" w:fill="FFFFFF"/>
          </w:tcPr>
          <w:p w14:paraId="0BD3F261"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w:t>
            </w:r>
            <w:r w:rsidRPr="00226F9D">
              <w:rPr>
                <w:rFonts w:ascii="Times New Roman" w:eastAsia="Times New Roman" w:hAnsi="Times New Roman" w:cs="Times New Roman"/>
                <w:color w:val="000000"/>
                <w:kern w:val="0"/>
                <w:sz w:val="20"/>
                <w:szCs w:val="20"/>
                <w:lang w:val="sr-Latn-RS" w:eastAsia="en-GB"/>
                <w14:ligatures w14:val="none"/>
              </w:rPr>
              <w:t>8</w:t>
            </w:r>
            <w:r w:rsidRPr="00226F9D">
              <w:rPr>
                <w:rFonts w:ascii="Times New Roman" w:eastAsia="Times New Roman" w:hAnsi="Times New Roman" w:cs="Times New Roman"/>
                <w:color w:val="000000"/>
                <w:kern w:val="0"/>
                <w:sz w:val="20"/>
                <w:szCs w:val="20"/>
                <w:lang w:val="sr-Cyrl-RS" w:eastAsia="en-GB"/>
                <w14:ligatures w14:val="none"/>
              </w:rPr>
              <w:t>.</w:t>
            </w:r>
          </w:p>
        </w:tc>
        <w:tc>
          <w:tcPr>
            <w:tcW w:w="1877" w:type="dxa"/>
            <w:shd w:val="clear" w:color="auto" w:fill="FFFFFF"/>
          </w:tcPr>
          <w:p w14:paraId="5D06207E"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w:t>
            </w:r>
            <w:r w:rsidRPr="00226F9D">
              <w:rPr>
                <w:rFonts w:ascii="Times New Roman" w:eastAsia="Times New Roman" w:hAnsi="Times New Roman" w:cs="Times New Roman"/>
                <w:color w:val="000000"/>
                <w:kern w:val="0"/>
                <w:sz w:val="20"/>
                <w:szCs w:val="20"/>
                <w:lang w:val="sr-Latn-RS" w:eastAsia="en-GB"/>
                <w14:ligatures w14:val="none"/>
              </w:rPr>
              <w:t>29</w:t>
            </w:r>
            <w:r w:rsidRPr="00226F9D">
              <w:rPr>
                <w:rFonts w:ascii="Times New Roman" w:eastAsia="Times New Roman" w:hAnsi="Times New Roman" w:cs="Times New Roman"/>
                <w:color w:val="000000"/>
                <w:kern w:val="0"/>
                <w:sz w:val="20"/>
                <w:szCs w:val="20"/>
                <w:lang w:val="sr-Cyrl-RS" w:eastAsia="en-GB"/>
                <w14:ligatures w14:val="none"/>
              </w:rPr>
              <w:t>.</w:t>
            </w:r>
          </w:p>
        </w:tc>
        <w:tc>
          <w:tcPr>
            <w:tcW w:w="1613" w:type="dxa"/>
            <w:shd w:val="clear" w:color="auto" w:fill="FFFFFF"/>
          </w:tcPr>
          <w:p w14:paraId="4F1976E3"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Latn-RS" w:eastAsia="en-GB"/>
                <w14:ligatures w14:val="none"/>
              </w:rPr>
              <w:t>2030.</w:t>
            </w:r>
          </w:p>
        </w:tc>
      </w:tr>
      <w:tr w:rsidR="007A7449" w:rsidRPr="00226F9D" w14:paraId="72EB0562" w14:textId="77777777" w:rsidTr="008F686A">
        <w:trPr>
          <w:trHeight w:val="160"/>
          <w:jc w:val="center"/>
        </w:trPr>
        <w:tc>
          <w:tcPr>
            <w:tcW w:w="3365" w:type="dxa"/>
            <w:vMerge/>
          </w:tcPr>
          <w:p w14:paraId="60A1F458" w14:textId="77777777" w:rsidR="00211A15" w:rsidRPr="00226F9D" w:rsidRDefault="00211A15"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017" w:type="dxa"/>
            <w:shd w:val="clear" w:color="auto" w:fill="FFFFFF"/>
          </w:tcPr>
          <w:p w14:paraId="4027B779" w14:textId="1EA25F6B"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1</w:t>
            </w:r>
            <w:r w:rsidR="00B157EC" w:rsidRPr="00226F9D">
              <w:rPr>
                <w:rFonts w:ascii="Times New Roman" w:eastAsia="Times New Roman" w:hAnsi="Times New Roman" w:cs="Times New Roman"/>
                <w:color w:val="000000"/>
                <w:kern w:val="0"/>
                <w:sz w:val="20"/>
                <w:szCs w:val="20"/>
                <w:lang w:val="sr-Cyrl-RS" w:eastAsia="en-GB"/>
                <w14:ligatures w14:val="none"/>
              </w:rPr>
              <w:t>8</w:t>
            </w:r>
            <w:r w:rsidR="00DB5637" w:rsidRPr="00226F9D">
              <w:rPr>
                <w:rFonts w:ascii="Times New Roman" w:eastAsia="Times New Roman" w:hAnsi="Times New Roman" w:cs="Times New Roman"/>
                <w:color w:val="000000"/>
                <w:kern w:val="0"/>
                <w:sz w:val="20"/>
                <w:szCs w:val="20"/>
                <w:lang w:eastAsia="en-GB"/>
                <w14:ligatures w14:val="none"/>
              </w:rPr>
              <w:t>,</w:t>
            </w:r>
            <w:r w:rsidR="00B157EC" w:rsidRPr="00226F9D">
              <w:rPr>
                <w:rFonts w:ascii="Times New Roman" w:eastAsia="Times New Roman" w:hAnsi="Times New Roman" w:cs="Times New Roman"/>
                <w:color w:val="000000"/>
                <w:kern w:val="0"/>
                <w:sz w:val="20"/>
                <w:szCs w:val="20"/>
                <w:lang w:val="sr-Cyrl-RS" w:eastAsia="en-GB"/>
                <w14:ligatures w14:val="none"/>
              </w:rPr>
              <w:t>3</w:t>
            </w:r>
            <w:r w:rsidRPr="00226F9D">
              <w:rPr>
                <w:rFonts w:ascii="Times New Roman" w:eastAsia="Times New Roman" w:hAnsi="Times New Roman" w:cs="Times New Roman"/>
                <w:color w:val="000000"/>
                <w:kern w:val="0"/>
                <w:sz w:val="20"/>
                <w:szCs w:val="20"/>
                <w:lang w:val="sr-Cyrl-RS" w:eastAsia="en-GB"/>
                <w14:ligatures w14:val="none"/>
              </w:rPr>
              <w:t>%</w:t>
            </w:r>
          </w:p>
        </w:tc>
        <w:tc>
          <w:tcPr>
            <w:tcW w:w="2126" w:type="dxa"/>
            <w:shd w:val="clear" w:color="auto" w:fill="FFFFFF"/>
          </w:tcPr>
          <w:p w14:paraId="4EB67F30" w14:textId="0AF49E43"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24"/>
                <w:sz w:val="20"/>
                <w:szCs w:val="20"/>
                <w:lang w:val="sr-Cyrl-RS" w:eastAsia="en-GB"/>
                <w14:ligatures w14:val="none"/>
              </w:rPr>
              <w:t>18</w:t>
            </w:r>
            <w:r w:rsidR="00B157EC" w:rsidRPr="00226F9D">
              <w:rPr>
                <w:rFonts w:ascii="Times New Roman" w:eastAsia="Times New Roman" w:hAnsi="Times New Roman" w:cs="Times New Roman"/>
                <w:color w:val="000000"/>
                <w:kern w:val="24"/>
                <w:sz w:val="20"/>
                <w:szCs w:val="20"/>
                <w:lang w:val="sr-Cyrl-RS" w:eastAsia="en-GB"/>
                <w14:ligatures w14:val="none"/>
              </w:rPr>
              <w:t>,7</w:t>
            </w:r>
            <w:r w:rsidRPr="00226F9D">
              <w:rPr>
                <w:rFonts w:ascii="Times New Roman" w:eastAsia="Times New Roman" w:hAnsi="Times New Roman" w:cs="Times New Roman"/>
                <w:color w:val="000000"/>
                <w:kern w:val="24"/>
                <w:sz w:val="20"/>
                <w:szCs w:val="20"/>
                <w:lang w:val="sr-Cyrl-RS" w:eastAsia="en-GB"/>
                <w14:ligatures w14:val="none"/>
              </w:rPr>
              <w:t>%</w:t>
            </w:r>
          </w:p>
          <w:p w14:paraId="4A3A334C"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p>
        </w:tc>
        <w:tc>
          <w:tcPr>
            <w:tcW w:w="3564" w:type="dxa"/>
            <w:gridSpan w:val="2"/>
            <w:shd w:val="clear" w:color="auto" w:fill="FFFFFF"/>
          </w:tcPr>
          <w:p w14:paraId="35CEC2CD" w14:textId="3E3F1B5E"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24"/>
                <w:sz w:val="20"/>
                <w:szCs w:val="20"/>
                <w:lang w:val="sr-Cyrl-RS" w:eastAsia="en-GB"/>
                <w14:ligatures w14:val="none"/>
              </w:rPr>
              <w:t>1</w:t>
            </w:r>
            <w:r w:rsidR="001155C0" w:rsidRPr="00226F9D">
              <w:rPr>
                <w:rFonts w:ascii="Times New Roman" w:eastAsia="Times New Roman" w:hAnsi="Times New Roman" w:cs="Times New Roman"/>
                <w:color w:val="000000"/>
                <w:kern w:val="24"/>
                <w:sz w:val="20"/>
                <w:szCs w:val="20"/>
                <w:lang w:val="sr-Cyrl-RS" w:eastAsia="en-GB"/>
                <w14:ligatures w14:val="none"/>
              </w:rPr>
              <w:t>9</w:t>
            </w:r>
            <w:r w:rsidR="00DB5637" w:rsidRPr="00226F9D">
              <w:rPr>
                <w:rFonts w:ascii="Times New Roman" w:eastAsia="Times New Roman" w:hAnsi="Times New Roman" w:cs="Times New Roman"/>
                <w:color w:val="000000"/>
                <w:kern w:val="24"/>
                <w:sz w:val="20"/>
                <w:szCs w:val="20"/>
                <w:lang w:val="sr-Latn-RS" w:eastAsia="en-GB"/>
                <w14:ligatures w14:val="none"/>
              </w:rPr>
              <w:t>,</w:t>
            </w:r>
            <w:r w:rsidR="001155C0" w:rsidRPr="00226F9D">
              <w:rPr>
                <w:rFonts w:ascii="Times New Roman" w:eastAsia="Times New Roman" w:hAnsi="Times New Roman" w:cs="Times New Roman"/>
                <w:color w:val="000000"/>
                <w:kern w:val="24"/>
                <w:sz w:val="20"/>
                <w:szCs w:val="20"/>
                <w:lang w:val="sr-Cyrl-RS" w:eastAsia="en-GB"/>
                <w14:ligatures w14:val="none"/>
              </w:rPr>
              <w:t>2</w:t>
            </w:r>
            <w:r w:rsidRPr="00226F9D">
              <w:rPr>
                <w:rFonts w:ascii="Times New Roman" w:eastAsia="Times New Roman" w:hAnsi="Times New Roman" w:cs="Times New Roman"/>
                <w:color w:val="000000"/>
                <w:kern w:val="24"/>
                <w:sz w:val="20"/>
                <w:szCs w:val="20"/>
                <w:lang w:val="sr-Cyrl-RS" w:eastAsia="en-GB"/>
                <w14:ligatures w14:val="none"/>
              </w:rPr>
              <w:t>%</w:t>
            </w:r>
          </w:p>
        </w:tc>
        <w:tc>
          <w:tcPr>
            <w:tcW w:w="1877" w:type="dxa"/>
            <w:shd w:val="clear" w:color="auto" w:fill="FFFFFF"/>
          </w:tcPr>
          <w:p w14:paraId="5814044B" w14:textId="0FFEF56E"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24"/>
                <w:sz w:val="20"/>
                <w:szCs w:val="20"/>
                <w:lang w:val="sr-Latn-RS" w:eastAsia="en-GB"/>
                <w14:ligatures w14:val="none"/>
              </w:rPr>
              <w:t>19,</w:t>
            </w:r>
            <w:r w:rsidR="001155C0" w:rsidRPr="00226F9D">
              <w:rPr>
                <w:rFonts w:ascii="Times New Roman" w:eastAsia="Times New Roman" w:hAnsi="Times New Roman" w:cs="Times New Roman"/>
                <w:color w:val="000000"/>
                <w:kern w:val="24"/>
                <w:sz w:val="20"/>
                <w:szCs w:val="20"/>
                <w:lang w:val="sr-Cyrl-RS" w:eastAsia="en-GB"/>
                <w14:ligatures w14:val="none"/>
              </w:rPr>
              <w:t>7</w:t>
            </w:r>
            <w:r w:rsidRPr="00226F9D">
              <w:rPr>
                <w:rFonts w:ascii="Times New Roman" w:eastAsia="Times New Roman" w:hAnsi="Times New Roman" w:cs="Times New Roman"/>
                <w:color w:val="000000"/>
                <w:kern w:val="24"/>
                <w:sz w:val="20"/>
                <w:szCs w:val="20"/>
                <w:lang w:val="sr-Cyrl-RS" w:eastAsia="en-GB"/>
                <w14:ligatures w14:val="none"/>
              </w:rPr>
              <w:t>%</w:t>
            </w:r>
          </w:p>
        </w:tc>
        <w:tc>
          <w:tcPr>
            <w:tcW w:w="1613" w:type="dxa"/>
            <w:shd w:val="clear" w:color="auto" w:fill="FFFFFF"/>
          </w:tcPr>
          <w:p w14:paraId="12F59893" w14:textId="77777777" w:rsidR="00211A15" w:rsidRPr="00226F9D" w:rsidRDefault="00211A15"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Latn-RS" w:eastAsia="en-GB"/>
                <w14:ligatures w14:val="none"/>
              </w:rPr>
              <w:t>20%</w:t>
            </w:r>
          </w:p>
        </w:tc>
      </w:tr>
      <w:tr w:rsidR="00211A15" w:rsidRPr="00226F9D" w14:paraId="0C9B03F4" w14:textId="77777777" w:rsidTr="008F686A">
        <w:trPr>
          <w:trHeight w:val="160"/>
          <w:jc w:val="center"/>
        </w:trPr>
        <w:tc>
          <w:tcPr>
            <w:tcW w:w="3365" w:type="dxa"/>
            <w:shd w:val="clear" w:color="auto" w:fill="FFC000"/>
          </w:tcPr>
          <w:p w14:paraId="3D3A7378" w14:textId="77777777" w:rsidR="00211A15" w:rsidRPr="00226F9D" w:rsidRDefault="00211A15" w:rsidP="00400185">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Процена успешности</w:t>
            </w:r>
          </w:p>
        </w:tc>
        <w:tc>
          <w:tcPr>
            <w:tcW w:w="11197" w:type="dxa"/>
            <w:gridSpan w:val="6"/>
            <w:shd w:val="clear" w:color="auto" w:fill="FFFFFF"/>
          </w:tcPr>
          <w:p w14:paraId="066C879B" w14:textId="77777777" w:rsidR="00211A15" w:rsidRPr="00226F9D" w:rsidRDefault="00211A15"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Прихватљиво је одступање до 0.5 перцинтилних поена од циљане вредности</w:t>
            </w:r>
            <w:r w:rsidRPr="00226F9D">
              <w:rPr>
                <w:rFonts w:ascii="Times New Roman" w:eastAsia="Times New Roman" w:hAnsi="Times New Roman" w:cs="Times New Roman"/>
                <w:color w:val="000000"/>
                <w:kern w:val="0"/>
                <w:sz w:val="20"/>
                <w:szCs w:val="20"/>
                <w:lang w:val="sr-Cyrl-RS" w:eastAsia="en-GB"/>
                <w14:ligatures w14:val="none"/>
              </w:rPr>
              <w:t>.</w:t>
            </w:r>
          </w:p>
        </w:tc>
      </w:tr>
      <w:bookmarkEnd w:id="63"/>
    </w:tbl>
    <w:p w14:paraId="31F3556C" w14:textId="77777777" w:rsidR="00001C5C" w:rsidRPr="00226F9D" w:rsidRDefault="00001C5C" w:rsidP="006B59F4">
      <w:pPr>
        <w:spacing w:after="0" w:line="240" w:lineRule="auto"/>
        <w:jc w:val="both"/>
        <w:rPr>
          <w:rFonts w:ascii="Times New Roman" w:eastAsia="Times New Roman" w:hAnsi="Times New Roman" w:cs="Times New Roman"/>
          <w:b/>
          <w:color w:val="2F5496"/>
          <w:kern w:val="0"/>
          <w:lang w:val="sr-Latn-RS" w:eastAsia="en-GB"/>
          <w14:ligatures w14:val="none"/>
        </w:rPr>
      </w:pPr>
    </w:p>
    <w:p w14:paraId="6FCB9FA0" w14:textId="77777777" w:rsidR="004A0952" w:rsidRPr="00226F9D" w:rsidRDefault="004A0952" w:rsidP="006B59F4">
      <w:pPr>
        <w:spacing w:after="0" w:line="240" w:lineRule="auto"/>
        <w:jc w:val="both"/>
        <w:rPr>
          <w:rFonts w:ascii="Times New Roman" w:eastAsia="Times New Roman" w:hAnsi="Times New Roman" w:cs="Times New Roman"/>
          <w:b/>
          <w:color w:val="2F5496"/>
          <w:kern w:val="0"/>
          <w:lang w:val="sr-Latn-RS" w:eastAsia="en-GB"/>
          <w14:ligatures w14:val="none"/>
        </w:rPr>
      </w:pPr>
    </w:p>
    <w:p w14:paraId="5B368FF1" w14:textId="77777777" w:rsidR="004A0952" w:rsidRPr="00226F9D" w:rsidRDefault="004A0952" w:rsidP="006B59F4">
      <w:pPr>
        <w:spacing w:after="0" w:line="240" w:lineRule="auto"/>
        <w:jc w:val="both"/>
        <w:rPr>
          <w:rFonts w:ascii="Times New Roman" w:eastAsia="Times New Roman" w:hAnsi="Times New Roman" w:cs="Times New Roman"/>
          <w:b/>
          <w:color w:val="2F5496"/>
          <w:kern w:val="0"/>
          <w:lang w:val="sr-Latn-RS" w:eastAsia="en-GB"/>
          <w14:ligatures w14:val="none"/>
        </w:rPr>
      </w:pPr>
    </w:p>
    <w:p w14:paraId="66425459" w14:textId="77777777" w:rsidR="004A0952" w:rsidRPr="00226F9D" w:rsidRDefault="004A0952" w:rsidP="006B59F4">
      <w:pPr>
        <w:spacing w:after="0" w:line="240" w:lineRule="auto"/>
        <w:jc w:val="both"/>
        <w:rPr>
          <w:rFonts w:ascii="Times New Roman" w:eastAsia="Times New Roman" w:hAnsi="Times New Roman" w:cs="Times New Roman"/>
          <w:b/>
          <w:color w:val="2F5496"/>
          <w:kern w:val="0"/>
          <w:lang w:val="sr-Latn-RS" w:eastAsia="en-GB"/>
          <w14:ligatures w14:val="none"/>
        </w:rPr>
      </w:pPr>
    </w:p>
    <w:p w14:paraId="234AE8BC" w14:textId="3E4602E2" w:rsidR="00001C5C" w:rsidRPr="00226F9D" w:rsidRDefault="004D388A" w:rsidP="008E4D40">
      <w:pPr>
        <w:pStyle w:val="Heading2"/>
        <w:rPr>
          <w:rFonts w:ascii="Times New Roman" w:eastAsia="Yu Gothic Light" w:hAnsi="Times New Roman" w:cs="Times New Roman"/>
          <w:sz w:val="28"/>
          <w:szCs w:val="28"/>
          <w:lang w:val="sr-Cyrl-RS" w:eastAsia="en-GB"/>
        </w:rPr>
      </w:pPr>
      <w:bookmarkStart w:id="65" w:name="_Toc222753937"/>
      <w:r w:rsidRPr="00226F9D">
        <w:rPr>
          <w:rFonts w:ascii="Times New Roman" w:eastAsia="Yu Gothic Light" w:hAnsi="Times New Roman" w:cs="Times New Roman"/>
          <w:sz w:val="28"/>
          <w:szCs w:val="28"/>
          <w:lang w:val="sr-Cyrl-RS" w:eastAsia="en-GB"/>
        </w:rPr>
        <w:lastRenderedPageBreak/>
        <w:t>Посебни циљ 3:  Унапређена организација и капацитети локалне самоуправе</w:t>
      </w:r>
      <w:bookmarkEnd w:id="65"/>
    </w:p>
    <w:p w14:paraId="0BCF290D" w14:textId="77777777" w:rsidR="00001C5C" w:rsidRPr="00226F9D" w:rsidRDefault="00001C5C" w:rsidP="00090884">
      <w:pPr>
        <w:spacing w:after="0" w:line="240" w:lineRule="auto"/>
        <w:jc w:val="both"/>
        <w:rPr>
          <w:rFonts w:ascii="Times New Roman" w:eastAsia="Times New Roman" w:hAnsi="Times New Roman" w:cs="Times New Roman"/>
          <w:b/>
          <w:bCs/>
          <w:color w:val="FFC000"/>
          <w:kern w:val="0"/>
          <w:lang w:val="sr-Cyrl-RS" w:eastAsia="en-GB"/>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1"/>
        <w:gridCol w:w="51"/>
        <w:gridCol w:w="2292"/>
        <w:gridCol w:w="159"/>
        <w:gridCol w:w="2356"/>
        <w:gridCol w:w="12"/>
        <w:gridCol w:w="940"/>
        <w:gridCol w:w="962"/>
        <w:gridCol w:w="252"/>
        <w:gridCol w:w="1480"/>
        <w:gridCol w:w="329"/>
        <w:gridCol w:w="2188"/>
      </w:tblGrid>
      <w:tr w:rsidR="00001C5C" w:rsidRPr="00226F9D" w14:paraId="419D8D48" w14:textId="77777777" w:rsidTr="0EB8FC02">
        <w:trPr>
          <w:trHeight w:val="511"/>
          <w:jc w:val="center"/>
        </w:trPr>
        <w:tc>
          <w:tcPr>
            <w:tcW w:w="3592" w:type="dxa"/>
            <w:gridSpan w:val="2"/>
            <w:shd w:val="clear" w:color="auto" w:fill="D1D1D1" w:themeFill="background2" w:themeFillShade="E6"/>
            <w:vAlign w:val="center"/>
          </w:tcPr>
          <w:p w14:paraId="693EFD79" w14:textId="77777777" w:rsidR="00001C5C" w:rsidRPr="00226F9D" w:rsidRDefault="00001C5C" w:rsidP="004F09AB">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Назив показатеља</w:t>
            </w:r>
          </w:p>
        </w:tc>
        <w:tc>
          <w:tcPr>
            <w:tcW w:w="10970" w:type="dxa"/>
            <w:gridSpan w:val="10"/>
            <w:shd w:val="clear" w:color="auto" w:fill="D1D1D1" w:themeFill="background2" w:themeFillShade="E6"/>
            <w:vAlign w:val="center"/>
          </w:tcPr>
          <w:p w14:paraId="0AB7A0B9" w14:textId="0FDB5A3D" w:rsidR="00001C5C" w:rsidRPr="00226F9D" w:rsidRDefault="00001C5C" w:rsidP="004F09AB">
            <w:pPr>
              <w:spacing w:after="0" w:line="240" w:lineRule="auto"/>
              <w:rPr>
                <w:rFonts w:ascii="Times New Roman" w:eastAsia="Times New Roman" w:hAnsi="Times New Roman" w:cs="Times New Roman"/>
                <w:b/>
                <w:color w:val="000000"/>
                <w:kern w:val="0"/>
                <w:sz w:val="20"/>
                <w:szCs w:val="20"/>
                <w:lang w:val="sr-Latn-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Капацитет ЈЛС за управљање људским ресурсима у локалној управи</w:t>
            </w:r>
          </w:p>
        </w:tc>
      </w:tr>
      <w:tr w:rsidR="00001C5C" w:rsidRPr="00226F9D" w14:paraId="76C934A3" w14:textId="77777777" w:rsidTr="0EB8FC02">
        <w:trPr>
          <w:jc w:val="center"/>
        </w:trPr>
        <w:tc>
          <w:tcPr>
            <w:tcW w:w="3592" w:type="dxa"/>
            <w:gridSpan w:val="2"/>
            <w:shd w:val="clear" w:color="auto" w:fill="FFC000"/>
          </w:tcPr>
          <w:p w14:paraId="5441E636"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Одговарајући општи, посебни циљ или мера</w:t>
            </w:r>
          </w:p>
        </w:tc>
        <w:tc>
          <w:tcPr>
            <w:tcW w:w="10970" w:type="dxa"/>
            <w:gridSpan w:val="10"/>
            <w:shd w:val="clear" w:color="auto" w:fill="FFFFFF" w:themeFill="background1"/>
          </w:tcPr>
          <w:p w14:paraId="7F298466" w14:textId="77777777" w:rsidR="00001C5C" w:rsidRPr="00226F9D" w:rsidRDefault="00001C5C" w:rsidP="00090884">
            <w:pPr>
              <w:spacing w:after="0" w:line="240" w:lineRule="auto"/>
              <w:jc w:val="both"/>
              <w:rPr>
                <w:rFonts w:ascii="Times New Roman" w:eastAsia="Times New Roman" w:hAnsi="Times New Roman" w:cs="Times New Roman"/>
                <w:bCs/>
                <w:color w:val="000000"/>
                <w:kern w:val="24"/>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Унапређена организација и капацитети локалне самоуправе</w:t>
            </w:r>
          </w:p>
        </w:tc>
      </w:tr>
      <w:tr w:rsidR="00741988" w:rsidRPr="00226F9D" w14:paraId="7F8A8A09" w14:textId="77777777" w:rsidTr="0EB8FC02">
        <w:trPr>
          <w:jc w:val="center"/>
        </w:trPr>
        <w:tc>
          <w:tcPr>
            <w:tcW w:w="3592" w:type="dxa"/>
            <w:gridSpan w:val="2"/>
            <w:shd w:val="clear" w:color="auto" w:fill="FFC000"/>
          </w:tcPr>
          <w:p w14:paraId="1FF54D86"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Тип и ниво показатеља</w:t>
            </w:r>
          </w:p>
        </w:tc>
        <w:tc>
          <w:tcPr>
            <w:tcW w:w="6721" w:type="dxa"/>
            <w:gridSpan w:val="6"/>
            <w:shd w:val="clear" w:color="auto" w:fill="FFFFFF" w:themeFill="background1"/>
          </w:tcPr>
          <w:p w14:paraId="20ABCE58" w14:textId="77777777" w:rsidR="00001C5C" w:rsidRPr="00226F9D" w:rsidRDefault="00001C5C" w:rsidP="00090884">
            <w:pPr>
              <w:spacing w:after="0" w:line="240" w:lineRule="auto"/>
              <w:jc w:val="both"/>
              <w:rPr>
                <w:rFonts w:ascii="Times New Roman" w:eastAsia="Times New Roman" w:hAnsi="Times New Roman" w:cs="Times New Roman"/>
                <w:kern w:val="24"/>
                <w:sz w:val="20"/>
                <w:szCs w:val="20"/>
                <w:lang w:val="sr-Cyrl-RS" w:eastAsia="en-GB"/>
                <w14:ligatures w14:val="none"/>
              </w:rPr>
            </w:pPr>
            <w:r w:rsidRPr="00226F9D">
              <w:rPr>
                <w:rFonts w:ascii="Times New Roman" w:eastAsia="Times New Roman" w:hAnsi="Times New Roman" w:cs="Times New Roman"/>
                <w:kern w:val="24"/>
                <w:sz w:val="20"/>
                <w:szCs w:val="20"/>
                <w:lang w:val="sr-Cyrl-RS" w:eastAsia="en-GB"/>
                <w14:ligatures w14:val="none"/>
              </w:rPr>
              <w:t>Квалитативни</w:t>
            </w:r>
          </w:p>
        </w:tc>
        <w:tc>
          <w:tcPr>
            <w:tcW w:w="4249" w:type="dxa"/>
            <w:gridSpan w:val="4"/>
            <w:shd w:val="clear" w:color="auto" w:fill="FFFFFF" w:themeFill="background1"/>
          </w:tcPr>
          <w:p w14:paraId="7A17D670" w14:textId="77777777" w:rsidR="00001C5C" w:rsidRPr="00226F9D" w:rsidRDefault="00001C5C" w:rsidP="00090884">
            <w:pPr>
              <w:spacing w:after="0" w:line="240" w:lineRule="auto"/>
              <w:jc w:val="both"/>
              <w:rPr>
                <w:rFonts w:ascii="Times New Roman" w:eastAsia="Times New Roman" w:hAnsi="Times New Roman" w:cs="Times New Roman"/>
                <w:bCs/>
                <w:color w:val="000000"/>
                <w:kern w:val="24"/>
                <w:sz w:val="20"/>
                <w:szCs w:val="20"/>
                <w:lang w:val="sr-Cyrl-RS" w:eastAsia="en-GB"/>
                <w14:ligatures w14:val="none"/>
              </w:rPr>
            </w:pPr>
            <w:r w:rsidRPr="00226F9D">
              <w:rPr>
                <w:rFonts w:ascii="Times New Roman" w:eastAsia="Times New Roman" w:hAnsi="Times New Roman" w:cs="Times New Roman"/>
                <w:bCs/>
                <w:color w:val="000000"/>
                <w:kern w:val="24"/>
                <w:sz w:val="20"/>
                <w:szCs w:val="20"/>
                <w:lang w:val="sr-Cyrl-RS" w:eastAsia="en-GB"/>
                <w14:ligatures w14:val="none"/>
              </w:rPr>
              <w:t>Показатељ на нивоу посебног циља</w:t>
            </w:r>
          </w:p>
        </w:tc>
      </w:tr>
      <w:tr w:rsidR="007A7449" w:rsidRPr="00226F9D" w14:paraId="332845F8" w14:textId="77777777" w:rsidTr="0EB8FC02">
        <w:trPr>
          <w:trHeight w:val="373"/>
          <w:jc w:val="center"/>
        </w:trPr>
        <w:tc>
          <w:tcPr>
            <w:tcW w:w="3592" w:type="dxa"/>
            <w:gridSpan w:val="2"/>
            <w:shd w:val="clear" w:color="auto" w:fill="FFC000"/>
          </w:tcPr>
          <w:p w14:paraId="00DE6526" w14:textId="77777777" w:rsidR="00001C5C" w:rsidRPr="00226F9D" w:rsidRDefault="00001C5C" w:rsidP="004A0952">
            <w:pPr>
              <w:spacing w:after="0" w:line="240" w:lineRule="auto"/>
              <w:rPr>
                <w:rFonts w:ascii="Times New Roman" w:eastAsia="Times New Roman" w:hAnsi="Times New Roman" w:cs="Times New Roman"/>
                <w:b/>
                <w:color w:val="000000"/>
                <w:kern w:val="24"/>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Јединица мере и природа</w:t>
            </w:r>
          </w:p>
        </w:tc>
        <w:tc>
          <w:tcPr>
            <w:tcW w:w="6721" w:type="dxa"/>
            <w:gridSpan w:val="6"/>
            <w:shd w:val="clear" w:color="auto" w:fill="FFFFFF" w:themeFill="background1"/>
          </w:tcPr>
          <w:p w14:paraId="6EDB093E"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24"/>
                <w:sz w:val="20"/>
                <w:szCs w:val="20"/>
                <w:lang w:val="sr-Cyrl-RS" w:eastAsia="en-GB"/>
                <w14:ligatures w14:val="none"/>
              </w:rPr>
              <w:t>%</w:t>
            </w:r>
          </w:p>
        </w:tc>
        <w:tc>
          <w:tcPr>
            <w:tcW w:w="4249" w:type="dxa"/>
            <w:gridSpan w:val="4"/>
            <w:shd w:val="clear" w:color="auto" w:fill="FFFFFF" w:themeFill="background1"/>
          </w:tcPr>
          <w:p w14:paraId="63FE7055" w14:textId="77777777" w:rsidR="00001C5C" w:rsidRPr="00226F9D" w:rsidRDefault="00001C5C" w:rsidP="0009088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tr w:rsidR="00001C5C" w:rsidRPr="00226F9D" w14:paraId="15E33B2B" w14:textId="77777777" w:rsidTr="0EB8FC02">
        <w:trPr>
          <w:jc w:val="center"/>
        </w:trPr>
        <w:tc>
          <w:tcPr>
            <w:tcW w:w="3592" w:type="dxa"/>
            <w:gridSpan w:val="2"/>
            <w:shd w:val="clear" w:color="auto" w:fill="FFC000"/>
          </w:tcPr>
          <w:p w14:paraId="2B1113CF"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Извор података за праћење показатеља учинка</w:t>
            </w:r>
          </w:p>
        </w:tc>
        <w:tc>
          <w:tcPr>
            <w:tcW w:w="10970" w:type="dxa"/>
            <w:gridSpan w:val="10"/>
            <w:shd w:val="clear" w:color="auto" w:fill="FFFFFF" w:themeFill="background1"/>
          </w:tcPr>
          <w:p w14:paraId="4931C870"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Подаци из индекса управљања људским ресурсима СКГО</w:t>
            </w:r>
          </w:p>
        </w:tc>
      </w:tr>
      <w:tr w:rsidR="00001C5C" w:rsidRPr="00226F9D" w14:paraId="72FFEEAB" w14:textId="77777777" w:rsidTr="0EB8FC02">
        <w:trPr>
          <w:jc w:val="center"/>
        </w:trPr>
        <w:tc>
          <w:tcPr>
            <w:tcW w:w="3592" w:type="dxa"/>
            <w:gridSpan w:val="2"/>
            <w:shd w:val="clear" w:color="auto" w:fill="FFC000"/>
          </w:tcPr>
          <w:p w14:paraId="4961A93A"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носиоца прикупљања података</w:t>
            </w:r>
          </w:p>
        </w:tc>
        <w:tc>
          <w:tcPr>
            <w:tcW w:w="10970" w:type="dxa"/>
            <w:gridSpan w:val="10"/>
            <w:shd w:val="clear" w:color="auto" w:fill="FFFFFF" w:themeFill="background1"/>
          </w:tcPr>
          <w:p w14:paraId="42A5F049" w14:textId="7DA8888D" w:rsidR="00001C5C" w:rsidRPr="00226F9D" w:rsidRDefault="00001C5C"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СКГО, Милош Муцок</w:t>
            </w:r>
            <w:r w:rsidR="008F3843" w:rsidRPr="00226F9D">
              <w:rPr>
                <w:rFonts w:ascii="Times New Roman" w:eastAsia="Yu Mincho" w:hAnsi="Times New Roman" w:cs="Times New Roman"/>
                <w:kern w:val="0"/>
                <w:sz w:val="20"/>
                <w:szCs w:val="20"/>
                <w:lang w:val="sr-Cyrl-RS" w:eastAsia="en-GB"/>
                <w14:ligatures w14:val="none"/>
              </w:rPr>
              <w:t xml:space="preserve">, </w:t>
            </w:r>
            <w:hyperlink r:id="rId53" w:history="1">
              <w:r w:rsidR="008F3843" w:rsidRPr="00226F9D">
                <w:rPr>
                  <w:rStyle w:val="Hyperlink"/>
                  <w:rFonts w:ascii="Times New Roman" w:eastAsia="Yu Mincho" w:hAnsi="Times New Roman" w:cs="Times New Roman"/>
                  <w:kern w:val="0"/>
                  <w:sz w:val="20"/>
                  <w:szCs w:val="20"/>
                  <w:lang w:eastAsia="en-GB"/>
                  <w14:ligatures w14:val="none"/>
                </w:rPr>
                <w:t>milos</w:t>
              </w:r>
              <w:r w:rsidR="008F3843" w:rsidRPr="00226F9D">
                <w:rPr>
                  <w:rStyle w:val="Hyperlink"/>
                  <w:rFonts w:ascii="Times New Roman" w:eastAsia="Yu Mincho" w:hAnsi="Times New Roman" w:cs="Times New Roman"/>
                  <w:kern w:val="0"/>
                  <w:sz w:val="20"/>
                  <w:szCs w:val="20"/>
                  <w:lang w:val="sr-Cyrl-RS" w:eastAsia="en-GB"/>
                  <w14:ligatures w14:val="none"/>
                </w:rPr>
                <w:t>.</w:t>
              </w:r>
              <w:r w:rsidR="008F3843" w:rsidRPr="00226F9D">
                <w:rPr>
                  <w:rStyle w:val="Hyperlink"/>
                  <w:rFonts w:ascii="Times New Roman" w:eastAsia="Yu Mincho" w:hAnsi="Times New Roman" w:cs="Times New Roman"/>
                  <w:kern w:val="0"/>
                  <w:sz w:val="20"/>
                  <w:szCs w:val="20"/>
                  <w:lang w:eastAsia="en-GB"/>
                  <w14:ligatures w14:val="none"/>
                </w:rPr>
                <w:t>mucok</w:t>
              </w:r>
              <w:r w:rsidR="008F3843" w:rsidRPr="00226F9D">
                <w:rPr>
                  <w:rStyle w:val="Hyperlink"/>
                  <w:rFonts w:ascii="Times New Roman" w:eastAsia="Yu Mincho" w:hAnsi="Times New Roman" w:cs="Times New Roman"/>
                  <w:kern w:val="0"/>
                  <w:sz w:val="20"/>
                  <w:szCs w:val="20"/>
                  <w:lang w:val="sr-Cyrl-RS" w:eastAsia="en-GB"/>
                  <w14:ligatures w14:val="none"/>
                </w:rPr>
                <w:t>@</w:t>
              </w:r>
              <w:r w:rsidR="008F3843" w:rsidRPr="00226F9D">
                <w:rPr>
                  <w:rStyle w:val="Hyperlink"/>
                  <w:rFonts w:ascii="Times New Roman" w:eastAsia="Yu Mincho" w:hAnsi="Times New Roman" w:cs="Times New Roman"/>
                  <w:kern w:val="0"/>
                  <w:sz w:val="20"/>
                  <w:szCs w:val="20"/>
                  <w:lang w:eastAsia="en-GB"/>
                  <w14:ligatures w14:val="none"/>
                </w:rPr>
                <w:t>skgo</w:t>
              </w:r>
              <w:r w:rsidR="008F3843" w:rsidRPr="00226F9D">
                <w:rPr>
                  <w:rStyle w:val="Hyperlink"/>
                  <w:rFonts w:ascii="Times New Roman" w:eastAsia="Yu Mincho" w:hAnsi="Times New Roman" w:cs="Times New Roman"/>
                  <w:kern w:val="0"/>
                  <w:sz w:val="20"/>
                  <w:szCs w:val="20"/>
                  <w:lang w:val="sr-Cyrl-RS" w:eastAsia="en-GB"/>
                  <w14:ligatures w14:val="none"/>
                </w:rPr>
                <w:t>.</w:t>
              </w:r>
              <w:r w:rsidR="008F3843" w:rsidRPr="00226F9D">
                <w:rPr>
                  <w:rStyle w:val="Hyperlink"/>
                  <w:rFonts w:ascii="Times New Roman" w:eastAsia="Yu Mincho" w:hAnsi="Times New Roman" w:cs="Times New Roman"/>
                  <w:kern w:val="0"/>
                  <w:sz w:val="20"/>
                  <w:szCs w:val="20"/>
                  <w:lang w:eastAsia="en-GB"/>
                  <w14:ligatures w14:val="none"/>
                </w:rPr>
                <w:t>org</w:t>
              </w:r>
            </w:hyperlink>
            <w:r w:rsidR="008F3843" w:rsidRPr="00226F9D">
              <w:rPr>
                <w:rFonts w:ascii="Times New Roman" w:eastAsia="Yu Mincho" w:hAnsi="Times New Roman" w:cs="Times New Roman"/>
                <w:kern w:val="0"/>
                <w:sz w:val="20"/>
                <w:szCs w:val="20"/>
                <w:lang w:val="sr-Cyrl-RS" w:eastAsia="en-GB"/>
                <w14:ligatures w14:val="none"/>
              </w:rPr>
              <w:t xml:space="preserve"> </w:t>
            </w:r>
            <w:r w:rsidRPr="00226F9D">
              <w:rPr>
                <w:rFonts w:ascii="Times New Roman" w:eastAsia="Yu Mincho" w:hAnsi="Times New Roman" w:cs="Times New Roman"/>
                <w:kern w:val="0"/>
                <w:sz w:val="20"/>
                <w:szCs w:val="20"/>
                <w:lang w:val="sr-Cyrl-RS" w:eastAsia="en-GB"/>
                <w14:ligatures w14:val="none"/>
              </w:rPr>
              <w:t xml:space="preserve">  </w:t>
            </w:r>
          </w:p>
        </w:tc>
      </w:tr>
      <w:tr w:rsidR="00001C5C" w:rsidRPr="00226F9D" w14:paraId="381DDF82" w14:textId="77777777" w:rsidTr="0EB8FC02">
        <w:trPr>
          <w:jc w:val="center"/>
        </w:trPr>
        <w:tc>
          <w:tcPr>
            <w:tcW w:w="3592" w:type="dxa"/>
            <w:gridSpan w:val="2"/>
            <w:shd w:val="clear" w:color="auto" w:fill="FFC000"/>
          </w:tcPr>
          <w:p w14:paraId="5F740144"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Учесталост прикупљања података</w:t>
            </w:r>
          </w:p>
        </w:tc>
        <w:tc>
          <w:tcPr>
            <w:tcW w:w="10970" w:type="dxa"/>
            <w:gridSpan w:val="10"/>
            <w:shd w:val="clear" w:color="auto" w:fill="FFFFFF" w:themeFill="background1"/>
          </w:tcPr>
          <w:p w14:paraId="00618452" w14:textId="5D71E99A" w:rsidR="00001C5C" w:rsidRPr="00226F9D" w:rsidRDefault="009F4728"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Кретање на индексу се прати кроз периодичну</w:t>
            </w:r>
            <w:r w:rsidR="0040172A" w:rsidRPr="00226F9D">
              <w:rPr>
                <w:rFonts w:ascii="Times New Roman" w:eastAsia="Yu Mincho" w:hAnsi="Times New Roman" w:cs="Times New Roman"/>
                <w:color w:val="000000"/>
                <w:kern w:val="0"/>
                <w:sz w:val="20"/>
                <w:szCs w:val="20"/>
                <w:lang w:val="sr-Cyrl-RS" w:eastAsia="en-GB"/>
                <w14:ligatures w14:val="none"/>
              </w:rPr>
              <w:t xml:space="preserve"> (на сваке 2 до 3 године)</w:t>
            </w:r>
            <w:r w:rsidRPr="00226F9D">
              <w:rPr>
                <w:rFonts w:ascii="Times New Roman" w:eastAsia="Yu Mincho" w:hAnsi="Times New Roman" w:cs="Times New Roman"/>
                <w:color w:val="000000"/>
                <w:kern w:val="0"/>
                <w:sz w:val="20"/>
                <w:szCs w:val="20"/>
                <w:lang w:val="sr-Cyrl-RS" w:eastAsia="en-GB"/>
                <w14:ligatures w14:val="none"/>
              </w:rPr>
              <w:t xml:space="preserve"> екстерну процену од стране СКГО и мери као просечна процентуална вредност индекса на нивоу узорка ЈЛС, која се потом екстраполира на све ЈЛС.</w:t>
            </w:r>
          </w:p>
        </w:tc>
      </w:tr>
      <w:tr w:rsidR="00001C5C" w:rsidRPr="00226F9D" w14:paraId="010A7711" w14:textId="77777777" w:rsidTr="0EB8FC02">
        <w:trPr>
          <w:trHeight w:val="710"/>
          <w:jc w:val="center"/>
        </w:trPr>
        <w:tc>
          <w:tcPr>
            <w:tcW w:w="3592" w:type="dxa"/>
            <w:gridSpan w:val="2"/>
            <w:shd w:val="clear" w:color="auto" w:fill="FFC000"/>
          </w:tcPr>
          <w:p w14:paraId="6D144E06" w14:textId="77777777" w:rsidR="00001C5C" w:rsidRPr="00226F9D" w:rsidRDefault="00001C5C"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Кратак опис показатеља и методологије израчунавања</w:t>
            </w:r>
          </w:p>
          <w:p w14:paraId="3F023590"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(формуле/једначине)</w:t>
            </w:r>
          </w:p>
        </w:tc>
        <w:tc>
          <w:tcPr>
            <w:tcW w:w="10970" w:type="dxa"/>
            <w:gridSpan w:val="10"/>
            <w:shd w:val="clear" w:color="auto" w:fill="FFFFFF" w:themeFill="background1"/>
          </w:tcPr>
          <w:p w14:paraId="52CDB90B" w14:textId="6B7DABA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Овај показатељ показује степен просечног капацитета ЈЛС за испуњавање појединачних административних, функционалних и процесних захтева који се пред њих постављају у процесу управљања људским ресурсима у локалној управи. Такође, индекс указује и на степен капацитета локалне самоуправе да обезбеди адекватно функционисање и одговарајуће кадрове у локалној управи за обезбеђивање управних услуга према грађанима и привреди. Постојећи индекс за управљање људским ресурсима садржи мерења капацитета ЈЛС у следећим областима</w:t>
            </w:r>
            <w:r w:rsidRPr="00226F9D">
              <w:rPr>
                <w:rFonts w:ascii="Times New Roman" w:eastAsia="Times New Roman" w:hAnsi="Times New Roman" w:cs="Times New Roman"/>
                <w:b/>
                <w:bCs/>
                <w:color w:val="000000"/>
                <w:kern w:val="0"/>
                <w:sz w:val="20"/>
                <w:szCs w:val="20"/>
                <w:lang w:val="sr-Cyrl-RS" w:eastAsia="en-GB"/>
                <w14:ligatures w14:val="none"/>
              </w:rPr>
              <w:t>:</w:t>
            </w:r>
            <w:r w:rsidRPr="00226F9D">
              <w:rPr>
                <w:rFonts w:ascii="Times New Roman" w:eastAsia="Times New Roman" w:hAnsi="Times New Roman" w:cs="Times New Roman"/>
                <w:color w:val="000000"/>
                <w:kern w:val="0"/>
                <w:sz w:val="20"/>
                <w:szCs w:val="20"/>
                <w:lang w:val="sr-Cyrl-RS" w:eastAsia="en-GB"/>
                <w14:ligatures w14:val="none"/>
              </w:rPr>
              <w:t xml:space="preserve"> 1) организација и планирање људских ресурса; 2) попуњавање радних места; 3) стручно усавршавање и оспособљавање запослених; 4) оцењивање запослених, дисциплинска одговорност и жалбени поступак и 5) комуникација, етика, вредности и култура организације.</w:t>
            </w:r>
          </w:p>
          <w:p w14:paraId="3940ABC5" w14:textId="60D7654B"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 xml:space="preserve">Индекс служи за самопроцењивање од стране градова и општина и, поред тога што је алат за процену капацитета, он има и карактер развојног алата јер садржи и смернице за унапређење рада ЛС. С обзиром на карактер и функцију овог индекса, његова садржина прати еволуцију система јавне управе и усклађује се са њом како би овај алат могао да прати капацитет ЛС у складу са актуелним захтевима из јавних политика и прописа и са најбољом праксом. </w:t>
            </w:r>
            <w:r w:rsidR="4D7FA15C" w:rsidRPr="00226F9D">
              <w:rPr>
                <w:rFonts w:ascii="Times New Roman" w:eastAsia="Times New Roman" w:hAnsi="Times New Roman" w:cs="Times New Roman"/>
                <w:color w:val="000000"/>
                <w:kern w:val="0"/>
                <w:sz w:val="20"/>
                <w:szCs w:val="20"/>
                <w:lang w:val="sr-Cyrl-RS" w:eastAsia="en-GB"/>
                <w14:ligatures w14:val="none"/>
              </w:rPr>
              <w:t>У складу са тим током 2025. године индекс је значајно унапређен</w:t>
            </w:r>
            <w:r w:rsidR="4C1769BB" w:rsidRPr="00226F9D">
              <w:rPr>
                <w:rFonts w:ascii="Times New Roman" w:eastAsia="Times New Roman" w:hAnsi="Times New Roman" w:cs="Times New Roman"/>
                <w:color w:val="000000"/>
                <w:kern w:val="0"/>
                <w:sz w:val="20"/>
                <w:szCs w:val="20"/>
                <w:lang w:val="sr-Cyrl-RS" w:eastAsia="en-GB"/>
                <w14:ligatures w14:val="none"/>
              </w:rPr>
              <w:t xml:space="preserve">. Стога није могуће </w:t>
            </w:r>
            <w:r w:rsidR="52563B60" w:rsidRPr="00226F9D">
              <w:rPr>
                <w:rFonts w:ascii="Times New Roman" w:eastAsia="Times New Roman" w:hAnsi="Times New Roman" w:cs="Times New Roman"/>
                <w:color w:val="000000"/>
                <w:kern w:val="0"/>
                <w:sz w:val="20"/>
                <w:szCs w:val="20"/>
                <w:lang w:val="sr-Cyrl-RS" w:eastAsia="en-GB"/>
                <w14:ligatures w14:val="none"/>
              </w:rPr>
              <w:t>у потпуности у</w:t>
            </w:r>
            <w:r w:rsidR="4C1769BB" w:rsidRPr="00226F9D">
              <w:rPr>
                <w:rFonts w:ascii="Times New Roman" w:eastAsia="Times New Roman" w:hAnsi="Times New Roman" w:cs="Times New Roman"/>
                <w:color w:val="000000"/>
                <w:kern w:val="0"/>
                <w:sz w:val="20"/>
                <w:szCs w:val="20"/>
                <w:lang w:val="sr-Cyrl-RS" w:eastAsia="en-GB"/>
                <w14:ligatures w14:val="none"/>
              </w:rPr>
              <w:t xml:space="preserve">поредити </w:t>
            </w:r>
            <w:r w:rsidR="7259673F" w:rsidRPr="00226F9D">
              <w:rPr>
                <w:rFonts w:ascii="Times New Roman" w:eastAsia="Times New Roman" w:hAnsi="Times New Roman" w:cs="Times New Roman"/>
                <w:color w:val="000000"/>
                <w:kern w:val="0"/>
                <w:sz w:val="20"/>
                <w:szCs w:val="20"/>
                <w:lang w:val="sr-Cyrl-RS" w:eastAsia="en-GB"/>
                <w14:ligatures w14:val="none"/>
              </w:rPr>
              <w:t xml:space="preserve">претходно утврђене </w:t>
            </w:r>
            <w:r w:rsidR="77429170" w:rsidRPr="00226F9D">
              <w:rPr>
                <w:rFonts w:ascii="Times New Roman" w:eastAsia="Times New Roman" w:hAnsi="Times New Roman" w:cs="Times New Roman"/>
                <w:color w:val="000000"/>
                <w:kern w:val="0"/>
                <w:sz w:val="20"/>
                <w:szCs w:val="20"/>
                <w:lang w:val="sr-Cyrl-RS" w:eastAsia="en-GB"/>
                <w14:ligatures w14:val="none"/>
              </w:rPr>
              <w:t>вредности из година пре 2025.</w:t>
            </w:r>
            <w:r w:rsidR="7259673F" w:rsidRPr="00226F9D">
              <w:rPr>
                <w:rFonts w:ascii="Times New Roman" w:eastAsia="Times New Roman" w:hAnsi="Times New Roman" w:cs="Times New Roman"/>
                <w:color w:val="000000"/>
                <w:kern w:val="0"/>
                <w:sz w:val="20"/>
                <w:szCs w:val="20"/>
                <w:lang w:val="sr-Cyrl-RS" w:eastAsia="en-GB"/>
                <w14:ligatures w14:val="none"/>
              </w:rPr>
              <w:t xml:space="preserve"> </w:t>
            </w:r>
            <w:r w:rsidR="77429170" w:rsidRPr="00226F9D">
              <w:rPr>
                <w:rFonts w:ascii="Times New Roman" w:eastAsia="Times New Roman" w:hAnsi="Times New Roman" w:cs="Times New Roman"/>
                <w:color w:val="000000"/>
                <w:kern w:val="0"/>
                <w:sz w:val="20"/>
                <w:szCs w:val="20"/>
                <w:lang w:val="sr-Cyrl-RS" w:eastAsia="en-GB"/>
                <w14:ligatures w14:val="none"/>
              </w:rPr>
              <w:t>године са овом и наредних пет година</w:t>
            </w:r>
            <w:r w:rsidR="7259673F" w:rsidRPr="00226F9D">
              <w:rPr>
                <w:rFonts w:ascii="Times New Roman" w:eastAsia="Times New Roman" w:hAnsi="Times New Roman" w:cs="Times New Roman"/>
                <w:color w:val="000000"/>
                <w:kern w:val="0"/>
                <w:sz w:val="20"/>
                <w:szCs w:val="20"/>
                <w:lang w:val="sr-Cyrl-RS" w:eastAsia="en-GB"/>
                <w14:ligatures w14:val="none"/>
              </w:rPr>
              <w:t xml:space="preserve"> (иако су мер</w:t>
            </w:r>
            <w:r w:rsidR="10C09321" w:rsidRPr="00226F9D">
              <w:rPr>
                <w:rFonts w:ascii="Times New Roman" w:eastAsia="Times New Roman" w:hAnsi="Times New Roman" w:cs="Times New Roman"/>
                <w:color w:val="000000"/>
                <w:kern w:val="0"/>
                <w:sz w:val="20"/>
                <w:szCs w:val="20"/>
                <w:lang w:val="sr-Cyrl-RS" w:eastAsia="en-GB"/>
                <w14:ligatures w14:val="none"/>
              </w:rPr>
              <w:t xml:space="preserve">ења вршена </w:t>
            </w:r>
            <w:r w:rsidR="540F4A3E" w:rsidRPr="00226F9D">
              <w:rPr>
                <w:rFonts w:ascii="Times New Roman" w:eastAsia="Times New Roman" w:hAnsi="Times New Roman" w:cs="Times New Roman"/>
                <w:color w:val="000000"/>
                <w:kern w:val="0"/>
                <w:sz w:val="20"/>
                <w:szCs w:val="20"/>
                <w:lang w:val="sr-Cyrl-RS" w:eastAsia="en-GB"/>
                <w14:ligatures w14:val="none"/>
              </w:rPr>
              <w:t>у</w:t>
            </w:r>
            <w:r w:rsidR="10C09321" w:rsidRPr="00226F9D">
              <w:rPr>
                <w:rFonts w:ascii="Times New Roman" w:eastAsia="Times New Roman" w:hAnsi="Times New Roman" w:cs="Times New Roman"/>
                <w:color w:val="000000"/>
                <w:kern w:val="0"/>
                <w:sz w:val="20"/>
                <w:szCs w:val="20"/>
                <w:lang w:val="sr-Cyrl-RS" w:eastAsia="en-GB"/>
                <w14:ligatures w14:val="none"/>
              </w:rPr>
              <w:t xml:space="preserve"> више наврата пре 2025. године)</w:t>
            </w:r>
            <w:r w:rsidR="77429170" w:rsidRPr="00226F9D">
              <w:rPr>
                <w:rFonts w:ascii="Times New Roman" w:eastAsia="Times New Roman" w:hAnsi="Times New Roman" w:cs="Times New Roman"/>
                <w:color w:val="000000"/>
                <w:kern w:val="0"/>
                <w:sz w:val="20"/>
                <w:szCs w:val="20"/>
                <w:lang w:val="sr-Cyrl-RS" w:eastAsia="en-GB"/>
                <w14:ligatures w14:val="none"/>
              </w:rPr>
              <w:t xml:space="preserve">. </w:t>
            </w:r>
            <w:r w:rsidR="49452592" w:rsidRPr="00226F9D">
              <w:rPr>
                <w:rFonts w:ascii="Times New Roman" w:eastAsia="Times New Roman" w:hAnsi="Times New Roman" w:cs="Times New Roman"/>
                <w:color w:val="000000"/>
                <w:kern w:val="0"/>
                <w:sz w:val="20"/>
                <w:szCs w:val="20"/>
                <w:lang w:val="sr-Cyrl-RS" w:eastAsia="en-GB"/>
                <w14:ligatures w14:val="none"/>
              </w:rPr>
              <w:t xml:space="preserve">До краја 2025. године спроведено </w:t>
            </w:r>
            <w:r w:rsidR="1012C043" w:rsidRPr="00226F9D">
              <w:rPr>
                <w:rFonts w:ascii="Times New Roman" w:eastAsia="Times New Roman" w:hAnsi="Times New Roman" w:cs="Times New Roman"/>
                <w:color w:val="000000" w:themeColor="text1"/>
                <w:sz w:val="20"/>
                <w:szCs w:val="20"/>
                <w:lang w:val="sr-Cyrl-RS" w:eastAsia="en-GB"/>
              </w:rPr>
              <w:t xml:space="preserve">је </w:t>
            </w:r>
            <w:r w:rsidR="49452592" w:rsidRPr="00226F9D">
              <w:rPr>
                <w:rFonts w:ascii="Times New Roman" w:eastAsia="Times New Roman" w:hAnsi="Times New Roman" w:cs="Times New Roman"/>
                <w:color w:val="000000"/>
                <w:kern w:val="0"/>
                <w:sz w:val="20"/>
                <w:szCs w:val="20"/>
                <w:lang w:val="sr-Cyrl-RS" w:eastAsia="en-GB"/>
                <w14:ligatures w14:val="none"/>
              </w:rPr>
              <w:t>мерење</w:t>
            </w:r>
            <w:r w:rsidR="10C09321" w:rsidRPr="00226F9D">
              <w:rPr>
                <w:rFonts w:ascii="Times New Roman" w:eastAsia="Times New Roman" w:hAnsi="Times New Roman" w:cs="Times New Roman"/>
                <w:color w:val="000000"/>
                <w:kern w:val="0"/>
                <w:sz w:val="20"/>
                <w:szCs w:val="20"/>
                <w:lang w:val="sr-Cyrl-RS" w:eastAsia="en-GB"/>
                <w14:ligatures w14:val="none"/>
              </w:rPr>
              <w:t xml:space="preserve"> у складу са новим садржајем индек</w:t>
            </w:r>
            <w:r w:rsidR="416CE9E9" w:rsidRPr="00226F9D">
              <w:rPr>
                <w:rFonts w:ascii="Times New Roman" w:eastAsia="Times New Roman" w:hAnsi="Times New Roman" w:cs="Times New Roman"/>
                <w:color w:val="000000"/>
                <w:kern w:val="0"/>
                <w:sz w:val="20"/>
                <w:szCs w:val="20"/>
                <w:lang w:val="sr-Cyrl-RS" w:eastAsia="en-GB"/>
                <w14:ligatures w14:val="none"/>
              </w:rPr>
              <w:t>с</w:t>
            </w:r>
            <w:r w:rsidR="10C09321" w:rsidRPr="00226F9D">
              <w:rPr>
                <w:rFonts w:ascii="Times New Roman" w:eastAsia="Times New Roman" w:hAnsi="Times New Roman" w:cs="Times New Roman"/>
                <w:color w:val="000000"/>
                <w:kern w:val="0"/>
                <w:sz w:val="20"/>
                <w:szCs w:val="20"/>
                <w:lang w:val="sr-Cyrl-RS" w:eastAsia="en-GB"/>
                <w14:ligatures w14:val="none"/>
              </w:rPr>
              <w:t>а</w:t>
            </w:r>
            <w:r w:rsidR="49452592" w:rsidRPr="00226F9D">
              <w:rPr>
                <w:rFonts w:ascii="Times New Roman" w:eastAsia="Times New Roman" w:hAnsi="Times New Roman" w:cs="Times New Roman"/>
                <w:color w:val="000000"/>
                <w:kern w:val="0"/>
                <w:sz w:val="20"/>
                <w:szCs w:val="20"/>
                <w:lang w:val="sr-Cyrl-RS" w:eastAsia="en-GB"/>
                <w14:ligatures w14:val="none"/>
              </w:rPr>
              <w:t xml:space="preserve"> </w:t>
            </w:r>
            <w:r w:rsidR="10C09321" w:rsidRPr="00226F9D">
              <w:rPr>
                <w:rFonts w:ascii="Times New Roman" w:eastAsia="Times New Roman" w:hAnsi="Times New Roman" w:cs="Times New Roman"/>
                <w:color w:val="000000"/>
                <w:kern w:val="0"/>
                <w:sz w:val="20"/>
                <w:szCs w:val="20"/>
                <w:lang w:val="sr-Cyrl-RS" w:eastAsia="en-GB"/>
                <w14:ligatures w14:val="none"/>
              </w:rPr>
              <w:t>и п</w:t>
            </w:r>
            <w:r w:rsidR="49452592" w:rsidRPr="00226F9D">
              <w:rPr>
                <w:rFonts w:ascii="Times New Roman" w:eastAsia="Times New Roman" w:hAnsi="Times New Roman" w:cs="Times New Roman"/>
                <w:color w:val="000000"/>
                <w:kern w:val="0"/>
                <w:sz w:val="20"/>
                <w:szCs w:val="20"/>
                <w:lang w:val="sr-Cyrl-RS" w:eastAsia="en-GB"/>
                <w14:ligatures w14:val="none"/>
              </w:rPr>
              <w:t>одаци из овог мерења</w:t>
            </w:r>
            <w:r w:rsidR="5304F544" w:rsidRPr="00226F9D">
              <w:rPr>
                <w:rFonts w:ascii="Times New Roman" w:eastAsia="Times New Roman" w:hAnsi="Times New Roman" w:cs="Times New Roman"/>
                <w:color w:val="000000"/>
                <w:kern w:val="0"/>
                <w:sz w:val="20"/>
                <w:szCs w:val="20"/>
                <w:lang w:val="sr-Cyrl-RS" w:eastAsia="en-GB"/>
                <w14:ligatures w14:val="none"/>
              </w:rPr>
              <w:t xml:space="preserve"> су</w:t>
            </w:r>
            <w:r w:rsidR="49452592" w:rsidRPr="00226F9D">
              <w:rPr>
                <w:rFonts w:ascii="Times New Roman" w:eastAsia="Times New Roman" w:hAnsi="Times New Roman" w:cs="Times New Roman"/>
                <w:color w:val="000000"/>
                <w:kern w:val="0"/>
                <w:sz w:val="20"/>
                <w:szCs w:val="20"/>
                <w:lang w:val="sr-Cyrl-RS" w:eastAsia="en-GB"/>
                <w14:ligatures w14:val="none"/>
              </w:rPr>
              <w:t xml:space="preserve"> </w:t>
            </w:r>
            <w:r w:rsidR="5FF631B6" w:rsidRPr="00226F9D">
              <w:rPr>
                <w:rFonts w:ascii="Times New Roman" w:eastAsia="Times New Roman" w:hAnsi="Times New Roman" w:cs="Times New Roman"/>
                <w:color w:val="000000" w:themeColor="text1"/>
                <w:sz w:val="20"/>
                <w:szCs w:val="20"/>
                <w:lang w:val="sr-Cyrl-RS" w:eastAsia="en-GB"/>
              </w:rPr>
              <w:t>ис</w:t>
            </w:r>
            <w:r w:rsidR="49452592" w:rsidRPr="00226F9D">
              <w:rPr>
                <w:rFonts w:ascii="Times New Roman" w:eastAsia="Times New Roman" w:hAnsi="Times New Roman" w:cs="Times New Roman"/>
                <w:color w:val="000000"/>
                <w:kern w:val="0"/>
                <w:sz w:val="20"/>
                <w:szCs w:val="20"/>
                <w:lang w:val="sr-Cyrl-RS" w:eastAsia="en-GB"/>
                <w14:ligatures w14:val="none"/>
              </w:rPr>
              <w:t>коришћени за дефинисање полазне вредности и циљан</w:t>
            </w:r>
            <w:r w:rsidR="1150ACAE" w:rsidRPr="00226F9D">
              <w:rPr>
                <w:rFonts w:ascii="Times New Roman" w:eastAsia="Times New Roman" w:hAnsi="Times New Roman" w:cs="Times New Roman"/>
                <w:color w:val="000000" w:themeColor="text1"/>
                <w:sz w:val="20"/>
                <w:szCs w:val="20"/>
                <w:lang w:val="sr-Cyrl-RS" w:eastAsia="en-GB"/>
              </w:rPr>
              <w:t>их</w:t>
            </w:r>
            <w:r w:rsidR="49452592" w:rsidRPr="00226F9D">
              <w:rPr>
                <w:rFonts w:ascii="Times New Roman" w:eastAsia="Times New Roman" w:hAnsi="Times New Roman" w:cs="Times New Roman"/>
                <w:color w:val="000000"/>
                <w:kern w:val="0"/>
                <w:sz w:val="20"/>
                <w:szCs w:val="20"/>
                <w:lang w:val="sr-Cyrl-RS" w:eastAsia="en-GB"/>
                <w14:ligatures w14:val="none"/>
              </w:rPr>
              <w:t xml:space="preserve"> вредност</w:t>
            </w:r>
            <w:r w:rsidR="1150ACAE" w:rsidRPr="00226F9D">
              <w:rPr>
                <w:rFonts w:ascii="Times New Roman" w:eastAsia="Times New Roman" w:hAnsi="Times New Roman" w:cs="Times New Roman"/>
                <w:color w:val="000000" w:themeColor="text1"/>
                <w:sz w:val="20"/>
                <w:szCs w:val="20"/>
                <w:lang w:val="sr-Cyrl-RS" w:eastAsia="en-GB"/>
              </w:rPr>
              <w:t>и</w:t>
            </w:r>
            <w:r w:rsidR="49452592" w:rsidRPr="00226F9D">
              <w:rPr>
                <w:rFonts w:ascii="Times New Roman" w:eastAsia="Times New Roman" w:hAnsi="Times New Roman" w:cs="Times New Roman"/>
                <w:color w:val="000000"/>
                <w:kern w:val="0"/>
                <w:sz w:val="20"/>
                <w:szCs w:val="20"/>
                <w:lang w:val="sr-Cyrl-RS" w:eastAsia="en-GB"/>
                <w14:ligatures w14:val="none"/>
              </w:rPr>
              <w:t xml:space="preserve"> за даље праћење показатеља.</w:t>
            </w:r>
          </w:p>
        </w:tc>
      </w:tr>
      <w:tr w:rsidR="007A7449" w:rsidRPr="00226F9D" w14:paraId="6BE82397" w14:textId="77777777" w:rsidTr="0EB8FC02">
        <w:trPr>
          <w:trHeight w:val="265"/>
          <w:jc w:val="center"/>
        </w:trPr>
        <w:tc>
          <w:tcPr>
            <w:tcW w:w="3592" w:type="dxa"/>
            <w:gridSpan w:val="2"/>
            <w:vMerge w:val="restart"/>
            <w:shd w:val="clear" w:color="auto" w:fill="FFC000"/>
          </w:tcPr>
          <w:p w14:paraId="09867A21"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полазној вредности и години кад је измерена, као и о тренду у прошлости</w:t>
            </w:r>
          </w:p>
        </w:tc>
        <w:tc>
          <w:tcPr>
            <w:tcW w:w="8782" w:type="dxa"/>
            <w:gridSpan w:val="9"/>
            <w:tcBorders>
              <w:bottom w:val="single" w:sz="4" w:space="0" w:color="auto"/>
            </w:tcBorders>
            <w:shd w:val="clear" w:color="auto" w:fill="FFFFFF" w:themeFill="background1"/>
          </w:tcPr>
          <w:p w14:paraId="07080B40"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Тренд у прошлости</w:t>
            </w:r>
          </w:p>
        </w:tc>
        <w:tc>
          <w:tcPr>
            <w:tcW w:w="2188" w:type="dxa"/>
            <w:shd w:val="clear" w:color="auto" w:fill="FFFFFF" w:themeFill="background1"/>
          </w:tcPr>
          <w:p w14:paraId="5AA44B43"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Полазна вредност</w:t>
            </w:r>
          </w:p>
        </w:tc>
      </w:tr>
      <w:tr w:rsidR="003F4ABA" w:rsidRPr="00226F9D" w14:paraId="73F07C6D" w14:textId="77777777" w:rsidTr="0EB8FC02">
        <w:trPr>
          <w:trHeight w:val="137"/>
          <w:jc w:val="center"/>
        </w:trPr>
        <w:tc>
          <w:tcPr>
            <w:tcW w:w="3592" w:type="dxa"/>
            <w:gridSpan w:val="2"/>
            <w:vMerge/>
          </w:tcPr>
          <w:p w14:paraId="43AA3CB6"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4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E7D879" w14:textId="5B4F6399"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2022.</w:t>
            </w:r>
          </w:p>
        </w:tc>
        <w:tc>
          <w:tcPr>
            <w:tcW w:w="427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68894C"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2023.</w:t>
            </w:r>
          </w:p>
        </w:tc>
        <w:tc>
          <w:tcPr>
            <w:tcW w:w="206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6825D1"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2024.</w:t>
            </w:r>
          </w:p>
        </w:tc>
        <w:tc>
          <w:tcPr>
            <w:tcW w:w="2188" w:type="dxa"/>
            <w:tcBorders>
              <w:left w:val="single" w:sz="4" w:space="0" w:color="auto"/>
            </w:tcBorders>
            <w:shd w:val="clear" w:color="auto" w:fill="FFFFFF" w:themeFill="background1"/>
          </w:tcPr>
          <w:p w14:paraId="6C7F8A7B"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2025.</w:t>
            </w:r>
          </w:p>
        </w:tc>
      </w:tr>
      <w:tr w:rsidR="003F4ABA" w:rsidRPr="00226F9D" w14:paraId="7797215F" w14:textId="77777777" w:rsidTr="0EB8FC02">
        <w:trPr>
          <w:trHeight w:val="323"/>
          <w:jc w:val="center"/>
        </w:trPr>
        <w:tc>
          <w:tcPr>
            <w:tcW w:w="3592" w:type="dxa"/>
            <w:gridSpan w:val="2"/>
            <w:vMerge/>
          </w:tcPr>
          <w:p w14:paraId="6BE26997"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451" w:type="dxa"/>
            <w:gridSpan w:val="2"/>
            <w:tcBorders>
              <w:top w:val="single" w:sz="4" w:space="0" w:color="auto"/>
            </w:tcBorders>
            <w:shd w:val="clear" w:color="auto" w:fill="FFFFFF" w:themeFill="background1"/>
          </w:tcPr>
          <w:p w14:paraId="67F9B9C4" w14:textId="13AB7A32" w:rsidR="00001C5C" w:rsidRPr="00226F9D" w:rsidRDefault="00C177C4"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Latn-RS" w:eastAsia="en-GB"/>
                <w14:ligatures w14:val="none"/>
              </w:rPr>
              <w:t>59</w:t>
            </w:r>
            <w:r w:rsidR="00001C5C" w:rsidRPr="00226F9D">
              <w:rPr>
                <w:rFonts w:ascii="Times New Roman" w:eastAsia="Times New Roman" w:hAnsi="Times New Roman" w:cs="Times New Roman"/>
                <w:color w:val="000000"/>
                <w:kern w:val="0"/>
                <w:sz w:val="20"/>
                <w:szCs w:val="20"/>
                <w:lang w:val="sr-Cyrl-RS" w:eastAsia="en-GB"/>
                <w14:ligatures w14:val="none"/>
              </w:rPr>
              <w:t>,</w:t>
            </w:r>
            <w:r w:rsidRPr="00226F9D">
              <w:rPr>
                <w:rFonts w:ascii="Times New Roman" w:eastAsia="Times New Roman" w:hAnsi="Times New Roman" w:cs="Times New Roman"/>
                <w:color w:val="000000"/>
                <w:kern w:val="0"/>
                <w:sz w:val="20"/>
                <w:szCs w:val="20"/>
                <w:lang w:val="sr-Latn-RS" w:eastAsia="en-GB"/>
                <w14:ligatures w14:val="none"/>
              </w:rPr>
              <w:t>3</w:t>
            </w:r>
            <w:r w:rsidR="00001C5C" w:rsidRPr="00226F9D">
              <w:rPr>
                <w:rFonts w:ascii="Times New Roman" w:eastAsia="Times New Roman" w:hAnsi="Times New Roman" w:cs="Times New Roman"/>
                <w:color w:val="000000"/>
                <w:kern w:val="0"/>
                <w:sz w:val="20"/>
                <w:szCs w:val="20"/>
                <w:lang w:val="sr-Cyrl-RS" w:eastAsia="en-GB"/>
                <w14:ligatures w14:val="none"/>
              </w:rPr>
              <w:t>%</w:t>
            </w:r>
          </w:p>
        </w:tc>
        <w:tc>
          <w:tcPr>
            <w:tcW w:w="4270" w:type="dxa"/>
            <w:gridSpan w:val="4"/>
            <w:tcBorders>
              <w:top w:val="single" w:sz="4" w:space="0" w:color="auto"/>
            </w:tcBorders>
            <w:shd w:val="clear" w:color="auto" w:fill="FFFFFF" w:themeFill="background1"/>
          </w:tcPr>
          <w:p w14:paraId="72589467"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w:t>
            </w:r>
          </w:p>
        </w:tc>
        <w:tc>
          <w:tcPr>
            <w:tcW w:w="2061" w:type="dxa"/>
            <w:gridSpan w:val="3"/>
            <w:tcBorders>
              <w:top w:val="single" w:sz="4" w:space="0" w:color="auto"/>
            </w:tcBorders>
            <w:shd w:val="clear" w:color="auto" w:fill="FFFFFF" w:themeFill="background1"/>
          </w:tcPr>
          <w:p w14:paraId="4B422B74"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w:t>
            </w:r>
          </w:p>
        </w:tc>
        <w:tc>
          <w:tcPr>
            <w:tcW w:w="2188" w:type="dxa"/>
            <w:shd w:val="clear" w:color="auto" w:fill="FFFFFF" w:themeFill="background1"/>
          </w:tcPr>
          <w:p w14:paraId="4489DAAE" w14:textId="4255C77C" w:rsidR="00001C5C" w:rsidRPr="00226F9D" w:rsidRDefault="69CC4A4E"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sz w:val="20"/>
                <w:szCs w:val="20"/>
                <w:lang w:val="sr-Cyrl-RS" w:eastAsia="en-GB"/>
              </w:rPr>
              <w:t>56,7%</w:t>
            </w:r>
          </w:p>
        </w:tc>
      </w:tr>
      <w:tr w:rsidR="003F4ABA" w:rsidRPr="00226F9D" w14:paraId="4D5AA73C" w14:textId="77777777" w:rsidTr="0EB8FC02">
        <w:trPr>
          <w:trHeight w:val="274"/>
          <w:jc w:val="center"/>
        </w:trPr>
        <w:tc>
          <w:tcPr>
            <w:tcW w:w="3592" w:type="dxa"/>
            <w:gridSpan w:val="2"/>
            <w:vMerge w:val="restart"/>
            <w:shd w:val="clear" w:color="auto" w:fill="FFC000"/>
          </w:tcPr>
          <w:p w14:paraId="7BE82362"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циљним вредностима</w:t>
            </w:r>
          </w:p>
        </w:tc>
        <w:tc>
          <w:tcPr>
            <w:tcW w:w="2451" w:type="dxa"/>
            <w:gridSpan w:val="2"/>
            <w:shd w:val="clear" w:color="auto" w:fill="FFFFFF" w:themeFill="background1"/>
          </w:tcPr>
          <w:p w14:paraId="13A259C5"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2026.</w:t>
            </w:r>
          </w:p>
        </w:tc>
        <w:tc>
          <w:tcPr>
            <w:tcW w:w="2356" w:type="dxa"/>
            <w:shd w:val="clear" w:color="auto" w:fill="FFFFFF" w:themeFill="background1"/>
          </w:tcPr>
          <w:p w14:paraId="565A9516"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2027.</w:t>
            </w:r>
          </w:p>
        </w:tc>
        <w:tc>
          <w:tcPr>
            <w:tcW w:w="1914" w:type="dxa"/>
            <w:gridSpan w:val="3"/>
            <w:shd w:val="clear" w:color="auto" w:fill="FFFFFF" w:themeFill="background1"/>
          </w:tcPr>
          <w:p w14:paraId="6C164182"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2028.</w:t>
            </w:r>
          </w:p>
        </w:tc>
        <w:tc>
          <w:tcPr>
            <w:tcW w:w="2061" w:type="dxa"/>
            <w:gridSpan w:val="3"/>
            <w:shd w:val="clear" w:color="auto" w:fill="FFFFFF" w:themeFill="background1"/>
          </w:tcPr>
          <w:p w14:paraId="2CDC143C"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2029.</w:t>
            </w:r>
          </w:p>
        </w:tc>
        <w:tc>
          <w:tcPr>
            <w:tcW w:w="2188" w:type="dxa"/>
            <w:shd w:val="clear" w:color="auto" w:fill="FFFFFF" w:themeFill="background1"/>
          </w:tcPr>
          <w:p w14:paraId="12010CF4"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2030.</w:t>
            </w:r>
          </w:p>
        </w:tc>
      </w:tr>
      <w:tr w:rsidR="003F4ABA" w:rsidRPr="00226F9D" w14:paraId="64E60DC3" w14:textId="77777777" w:rsidTr="0EB8FC02">
        <w:trPr>
          <w:trHeight w:val="160"/>
          <w:jc w:val="center"/>
        </w:trPr>
        <w:tc>
          <w:tcPr>
            <w:tcW w:w="3592" w:type="dxa"/>
            <w:gridSpan w:val="2"/>
            <w:vMerge/>
          </w:tcPr>
          <w:p w14:paraId="29CE8449"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451" w:type="dxa"/>
            <w:gridSpan w:val="2"/>
            <w:shd w:val="clear" w:color="auto" w:fill="FFFFFF" w:themeFill="background1"/>
          </w:tcPr>
          <w:p w14:paraId="72B5B60A" w14:textId="4D46A784" w:rsidR="00001C5C" w:rsidRPr="00226F9D" w:rsidRDefault="00841741"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Latn-RS" w:eastAsia="en-GB"/>
                <w14:ligatures w14:val="none"/>
              </w:rPr>
              <w:t>/</w:t>
            </w:r>
          </w:p>
        </w:tc>
        <w:tc>
          <w:tcPr>
            <w:tcW w:w="2356" w:type="dxa"/>
            <w:shd w:val="clear" w:color="auto" w:fill="FFFFFF" w:themeFill="background1"/>
          </w:tcPr>
          <w:p w14:paraId="40158F73" w14:textId="4CC159C2" w:rsidR="00001C5C" w:rsidRPr="00226F9D" w:rsidRDefault="00973347"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Latn-RS" w:eastAsia="en-GB"/>
                <w14:ligatures w14:val="none"/>
              </w:rPr>
              <w:t>6</w:t>
            </w:r>
            <w:r w:rsidR="00FC651A" w:rsidRPr="00226F9D">
              <w:rPr>
                <w:rFonts w:ascii="Times New Roman" w:eastAsia="Times New Roman" w:hAnsi="Times New Roman" w:cs="Times New Roman"/>
                <w:color w:val="000000"/>
                <w:kern w:val="0"/>
                <w:sz w:val="20"/>
                <w:szCs w:val="20"/>
                <w:lang w:val="sr-Latn-RS" w:eastAsia="en-GB"/>
                <w14:ligatures w14:val="none"/>
              </w:rPr>
              <w:t>2,4</w:t>
            </w:r>
            <w:r w:rsidRPr="00226F9D">
              <w:rPr>
                <w:rFonts w:ascii="Times New Roman" w:eastAsia="Times New Roman" w:hAnsi="Times New Roman" w:cs="Times New Roman"/>
                <w:color w:val="000000"/>
                <w:kern w:val="0"/>
                <w:sz w:val="20"/>
                <w:szCs w:val="20"/>
                <w:lang w:val="sr-Latn-RS" w:eastAsia="en-GB"/>
                <w14:ligatures w14:val="none"/>
              </w:rPr>
              <w:t>%</w:t>
            </w:r>
          </w:p>
        </w:tc>
        <w:tc>
          <w:tcPr>
            <w:tcW w:w="1914" w:type="dxa"/>
            <w:gridSpan w:val="3"/>
            <w:shd w:val="clear" w:color="auto" w:fill="FFFFFF" w:themeFill="background1"/>
          </w:tcPr>
          <w:p w14:paraId="162D0553" w14:textId="08B66DA6" w:rsidR="00001C5C" w:rsidRPr="00226F9D" w:rsidRDefault="00973347" w:rsidP="0009088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Latn-RS" w:eastAsia="en-GB"/>
                <w14:ligatures w14:val="none"/>
              </w:rPr>
              <w:t>6</w:t>
            </w:r>
            <w:r w:rsidR="00FC651A" w:rsidRPr="00226F9D">
              <w:rPr>
                <w:rFonts w:ascii="Times New Roman" w:eastAsia="Times New Roman" w:hAnsi="Times New Roman" w:cs="Times New Roman"/>
                <w:color w:val="000000"/>
                <w:kern w:val="0"/>
                <w:sz w:val="20"/>
                <w:szCs w:val="20"/>
                <w:lang w:val="sr-Latn-RS" w:eastAsia="en-GB"/>
                <w14:ligatures w14:val="none"/>
              </w:rPr>
              <w:t>5,2</w:t>
            </w:r>
            <w:r w:rsidR="006B72C9" w:rsidRPr="00226F9D">
              <w:rPr>
                <w:rFonts w:ascii="Times New Roman" w:eastAsia="Times New Roman" w:hAnsi="Times New Roman" w:cs="Times New Roman"/>
                <w:color w:val="000000"/>
                <w:kern w:val="0"/>
                <w:sz w:val="20"/>
                <w:szCs w:val="20"/>
                <w:lang w:val="sr-Latn-RS" w:eastAsia="en-GB"/>
                <w14:ligatures w14:val="none"/>
              </w:rPr>
              <w:t>%</w:t>
            </w:r>
          </w:p>
        </w:tc>
        <w:tc>
          <w:tcPr>
            <w:tcW w:w="2061" w:type="dxa"/>
            <w:gridSpan w:val="3"/>
            <w:shd w:val="clear" w:color="auto" w:fill="FFFFFF" w:themeFill="background1"/>
          </w:tcPr>
          <w:p w14:paraId="5831ECC2"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tc>
        <w:tc>
          <w:tcPr>
            <w:tcW w:w="2188" w:type="dxa"/>
            <w:shd w:val="clear" w:color="auto" w:fill="FFFFFF" w:themeFill="background1"/>
          </w:tcPr>
          <w:p w14:paraId="0E54C3BE" w14:textId="580C2440" w:rsidR="00001C5C" w:rsidRPr="00226F9D" w:rsidRDefault="00767BCD"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68%</w:t>
            </w:r>
          </w:p>
        </w:tc>
      </w:tr>
      <w:tr w:rsidR="00001C5C" w:rsidRPr="00226F9D" w14:paraId="27BE38E2" w14:textId="77777777" w:rsidTr="0EB8FC02">
        <w:trPr>
          <w:trHeight w:val="160"/>
          <w:jc w:val="center"/>
        </w:trPr>
        <w:tc>
          <w:tcPr>
            <w:tcW w:w="3592" w:type="dxa"/>
            <w:gridSpan w:val="2"/>
            <w:shd w:val="clear" w:color="auto" w:fill="FFC000"/>
          </w:tcPr>
          <w:p w14:paraId="2E4B9B47" w14:textId="77777777" w:rsidR="00001C5C"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Процена успешности</w:t>
            </w:r>
          </w:p>
          <w:p w14:paraId="68AAE574" w14:textId="41748629" w:rsidR="00D731B1" w:rsidRPr="00226F9D" w:rsidRDefault="00D731B1"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10970" w:type="dxa"/>
            <w:gridSpan w:val="10"/>
            <w:shd w:val="clear" w:color="auto" w:fill="FFFFFF" w:themeFill="background1"/>
          </w:tcPr>
          <w:p w14:paraId="7F317764"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Прихватљиво је одступање до 5% од циљане процентуалне вредности.</w:t>
            </w:r>
          </w:p>
        </w:tc>
      </w:tr>
      <w:tr w:rsidR="00F954FF" w:rsidRPr="00226F9D" w14:paraId="6C4F8D42" w14:textId="77777777" w:rsidTr="0EB8FC02">
        <w:trPr>
          <w:trHeight w:val="699"/>
          <w:jc w:val="center"/>
        </w:trPr>
        <w:tc>
          <w:tcPr>
            <w:tcW w:w="35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565CEB" w14:textId="77777777" w:rsidR="00F954FF" w:rsidRPr="00226F9D" w:rsidRDefault="00F954FF" w:rsidP="004A0952">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lastRenderedPageBreak/>
              <w:t>Назив показатеља</w:t>
            </w:r>
          </w:p>
        </w:tc>
        <w:tc>
          <w:tcPr>
            <w:tcW w:w="1102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4C89CF" w14:textId="1CA12BC8" w:rsidR="00F954FF" w:rsidRPr="00226F9D" w:rsidRDefault="001B24BB" w:rsidP="00090884">
            <w:pPr>
              <w:spacing w:after="0" w:line="240" w:lineRule="auto"/>
              <w:jc w:val="both"/>
              <w:rPr>
                <w:rFonts w:ascii="Times New Roman" w:eastAsia="Yu Mincho" w:hAnsi="Times New Roman" w:cs="Times New Roman"/>
                <w:b/>
                <w:bCs/>
                <w:color w:val="000000"/>
                <w:kern w:val="0"/>
                <w:sz w:val="20"/>
                <w:szCs w:val="20"/>
                <w:lang w:val="sr-Latn-RS" w:eastAsia="en-GB"/>
                <w14:ligatures w14:val="none"/>
              </w:rPr>
            </w:pPr>
            <w:r w:rsidRPr="00226F9D">
              <w:rPr>
                <w:rFonts w:ascii="Times New Roman" w:eastAsia="Yu Mincho" w:hAnsi="Times New Roman" w:cs="Times New Roman"/>
                <w:b/>
                <w:bCs/>
                <w:color w:val="000000"/>
                <w:kern w:val="0"/>
                <w:sz w:val="20"/>
                <w:szCs w:val="20"/>
                <w:lang w:val="sr-Cyrl-RS" w:eastAsia="en-GB"/>
                <w14:ligatures w14:val="none"/>
              </w:rPr>
              <w:t xml:space="preserve">Степен обучености </w:t>
            </w:r>
            <w:r w:rsidR="008F157D" w:rsidRPr="00226F9D">
              <w:rPr>
                <w:rFonts w:ascii="Times New Roman" w:eastAsia="Yu Mincho" w:hAnsi="Times New Roman" w:cs="Times New Roman"/>
                <w:b/>
                <w:bCs/>
                <w:color w:val="000000"/>
                <w:kern w:val="0"/>
                <w:sz w:val="20"/>
                <w:szCs w:val="20"/>
                <w:lang w:val="sr-Cyrl-RS" w:eastAsia="en-GB"/>
                <w14:ligatures w14:val="none"/>
              </w:rPr>
              <w:t xml:space="preserve">локалних </w:t>
            </w:r>
            <w:r w:rsidR="00F954FF" w:rsidRPr="00226F9D">
              <w:rPr>
                <w:rFonts w:ascii="Times New Roman" w:eastAsia="Yu Mincho" w:hAnsi="Times New Roman" w:cs="Times New Roman"/>
                <w:b/>
                <w:bCs/>
                <w:color w:val="000000"/>
                <w:kern w:val="0"/>
                <w:sz w:val="20"/>
                <w:szCs w:val="20"/>
                <w:lang w:val="sr-Cyrl-RS" w:eastAsia="en-GB"/>
                <w14:ligatures w14:val="none"/>
              </w:rPr>
              <w:t>управ</w:t>
            </w:r>
            <w:r w:rsidRPr="00226F9D">
              <w:rPr>
                <w:rFonts w:ascii="Times New Roman" w:eastAsia="Yu Mincho" w:hAnsi="Times New Roman" w:cs="Times New Roman"/>
                <w:b/>
                <w:bCs/>
                <w:color w:val="000000"/>
                <w:kern w:val="0"/>
                <w:sz w:val="20"/>
                <w:szCs w:val="20"/>
                <w:lang w:val="sr-Cyrl-RS" w:eastAsia="en-GB"/>
                <w14:ligatures w14:val="none"/>
              </w:rPr>
              <w:t xml:space="preserve">а </w:t>
            </w:r>
            <w:r w:rsidR="00F954FF" w:rsidRPr="00226F9D">
              <w:rPr>
                <w:rFonts w:ascii="Times New Roman" w:eastAsia="Yu Mincho" w:hAnsi="Times New Roman" w:cs="Times New Roman"/>
                <w:b/>
                <w:bCs/>
                <w:color w:val="000000"/>
                <w:kern w:val="0"/>
                <w:sz w:val="20"/>
                <w:szCs w:val="20"/>
                <w:lang w:val="sr-Cyrl-RS" w:eastAsia="en-GB"/>
                <w14:ligatures w14:val="none"/>
              </w:rPr>
              <w:t>за примену нових правних и процесних решења у области управљања људским ресурсима и стручног усавршавања</w:t>
            </w:r>
          </w:p>
        </w:tc>
      </w:tr>
      <w:tr w:rsidR="00F954FF" w:rsidRPr="00226F9D" w14:paraId="6D87C1E5" w14:textId="77777777" w:rsidTr="0EB8FC02">
        <w:trPr>
          <w:trHeight w:val="561"/>
          <w:jc w:val="center"/>
        </w:trPr>
        <w:tc>
          <w:tcPr>
            <w:tcW w:w="3541" w:type="dxa"/>
            <w:tcBorders>
              <w:top w:val="single" w:sz="4" w:space="0" w:color="auto"/>
              <w:left w:val="single" w:sz="4" w:space="0" w:color="auto"/>
              <w:bottom w:val="single" w:sz="4" w:space="0" w:color="auto"/>
              <w:right w:val="single" w:sz="4" w:space="0" w:color="auto"/>
            </w:tcBorders>
            <w:shd w:val="clear" w:color="auto" w:fill="FFC000"/>
            <w:vAlign w:val="center"/>
          </w:tcPr>
          <w:p w14:paraId="42EB0C9F" w14:textId="77777777" w:rsidR="00F954FF" w:rsidRPr="00226F9D" w:rsidRDefault="00F954FF" w:rsidP="004A0952">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bCs/>
                <w:color w:val="000000"/>
                <w:kern w:val="0"/>
                <w:sz w:val="20"/>
                <w:szCs w:val="20"/>
                <w:lang w:val="sr-Cyrl-RS" w:eastAsia="en-GB"/>
                <w14:ligatures w14:val="none"/>
              </w:rPr>
              <w:t>Одговарајући општи, посебни циљ или мера</w:t>
            </w:r>
          </w:p>
        </w:tc>
        <w:tc>
          <w:tcPr>
            <w:tcW w:w="11021"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4FFC1D" w14:textId="77777777" w:rsidR="00F954FF" w:rsidRPr="00226F9D" w:rsidRDefault="00F954FF" w:rsidP="00090884">
            <w:pPr>
              <w:spacing w:after="0" w:line="240" w:lineRule="auto"/>
              <w:jc w:val="both"/>
              <w:rPr>
                <w:rFonts w:ascii="Times New Roman" w:eastAsia="Calibri" w:hAnsi="Times New Roman" w:cs="Times New Roman"/>
                <w:b/>
                <w:iCs/>
                <w:color w:val="000000"/>
                <w:kern w:val="0"/>
                <w:sz w:val="20"/>
                <w:szCs w:val="20"/>
                <w:lang w:val="sr-Cyrl-RS" w:eastAsia="en-GB"/>
                <w14:ligatures w14:val="none"/>
              </w:rPr>
            </w:pPr>
            <w:r w:rsidRPr="00226F9D">
              <w:rPr>
                <w:rFonts w:ascii="Times New Roman" w:eastAsia="Times New Roman" w:hAnsi="Times New Roman" w:cs="Times New Roman"/>
                <w:bCs/>
                <w:iCs/>
                <w:color w:val="000000"/>
                <w:kern w:val="24"/>
                <w:sz w:val="20"/>
                <w:szCs w:val="20"/>
                <w:lang w:val="sr-Cyrl-RS" w:eastAsia="en-GB"/>
                <w14:ligatures w14:val="none"/>
              </w:rPr>
              <w:t xml:space="preserve">Унапређена организација и капацитети локалне управе   </w:t>
            </w:r>
          </w:p>
        </w:tc>
      </w:tr>
      <w:tr w:rsidR="00741988" w:rsidRPr="00226F9D" w14:paraId="4B8D4F4E" w14:textId="77777777" w:rsidTr="0EB8FC02">
        <w:trPr>
          <w:trHeight w:val="272"/>
          <w:jc w:val="center"/>
        </w:trPr>
        <w:tc>
          <w:tcPr>
            <w:tcW w:w="3541" w:type="dxa"/>
            <w:shd w:val="clear" w:color="auto" w:fill="FFC000"/>
            <w:vAlign w:val="center"/>
          </w:tcPr>
          <w:p w14:paraId="0C265479" w14:textId="77777777" w:rsidR="00F954FF" w:rsidRPr="00226F9D" w:rsidRDefault="00F954FF" w:rsidP="004A0952">
            <w:pPr>
              <w:spacing w:after="0" w:line="240" w:lineRule="auto"/>
              <w:rPr>
                <w:rFonts w:ascii="Times New Roman" w:eastAsia="Calibri" w:hAnsi="Times New Roman" w:cs="Times New Roman"/>
                <w:b/>
                <w:bCs/>
                <w:color w:val="000000"/>
                <w:kern w:val="0"/>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Тип и ниво показатеља</w:t>
            </w:r>
          </w:p>
        </w:tc>
        <w:tc>
          <w:tcPr>
            <w:tcW w:w="4870" w:type="dxa"/>
            <w:gridSpan w:val="5"/>
            <w:shd w:val="clear" w:color="auto" w:fill="FFFFFF" w:themeFill="background1"/>
            <w:vAlign w:val="center"/>
          </w:tcPr>
          <w:p w14:paraId="35835730" w14:textId="77777777" w:rsidR="00F954FF" w:rsidRPr="00226F9D" w:rsidRDefault="00F954FF" w:rsidP="00090884">
            <w:pPr>
              <w:spacing w:after="0" w:line="240" w:lineRule="auto"/>
              <w:jc w:val="both"/>
              <w:rPr>
                <w:rFonts w:ascii="Times New Roman" w:eastAsia="Calibri" w:hAnsi="Times New Roman" w:cs="Times New Roman"/>
                <w:bCs/>
                <w:iCs/>
                <w:color w:val="000000"/>
                <w:kern w:val="24"/>
                <w:sz w:val="20"/>
                <w:szCs w:val="20"/>
                <w:lang w:val="sr-Cyrl-RS" w:eastAsia="en-GB"/>
                <w14:ligatures w14:val="none"/>
              </w:rPr>
            </w:pPr>
            <w:r w:rsidRPr="00226F9D">
              <w:rPr>
                <w:rFonts w:ascii="Times New Roman" w:eastAsia="Calibri" w:hAnsi="Times New Roman" w:cs="Times New Roman"/>
                <w:bCs/>
                <w:iCs/>
                <w:color w:val="000000"/>
                <w:kern w:val="24"/>
                <w:sz w:val="20"/>
                <w:szCs w:val="20"/>
                <w:lang w:val="sr-Cyrl-RS" w:eastAsia="en-GB"/>
                <w14:ligatures w14:val="none"/>
              </w:rPr>
              <w:t>Квалитативни</w:t>
            </w:r>
          </w:p>
        </w:tc>
        <w:tc>
          <w:tcPr>
            <w:tcW w:w="6151" w:type="dxa"/>
            <w:gridSpan w:val="6"/>
            <w:shd w:val="clear" w:color="auto" w:fill="FFFFFF" w:themeFill="background1"/>
            <w:vAlign w:val="center"/>
          </w:tcPr>
          <w:p w14:paraId="0AB48CE1" w14:textId="77777777" w:rsidR="00F954FF" w:rsidRPr="00226F9D" w:rsidRDefault="00F954FF" w:rsidP="00090884">
            <w:pPr>
              <w:spacing w:after="0" w:line="240" w:lineRule="auto"/>
              <w:jc w:val="both"/>
              <w:rPr>
                <w:rFonts w:ascii="Times New Roman" w:eastAsia="Calibri" w:hAnsi="Times New Roman" w:cs="Times New Roman"/>
                <w:bCs/>
                <w:iCs/>
                <w:color w:val="000000"/>
                <w:kern w:val="24"/>
                <w:sz w:val="20"/>
                <w:szCs w:val="20"/>
                <w:lang w:val="sr-Cyrl-RS" w:eastAsia="en-GB"/>
                <w14:ligatures w14:val="none"/>
              </w:rPr>
            </w:pPr>
            <w:r w:rsidRPr="00226F9D">
              <w:rPr>
                <w:rFonts w:ascii="Times New Roman" w:eastAsia="Calibri" w:hAnsi="Times New Roman" w:cs="Times New Roman"/>
                <w:bCs/>
                <w:color w:val="000000"/>
                <w:kern w:val="24"/>
                <w:sz w:val="20"/>
                <w:szCs w:val="20"/>
                <w:lang w:val="sr-Cyrl-RS" w:eastAsia="en-GB"/>
                <w14:ligatures w14:val="none"/>
              </w:rPr>
              <w:t>Показатељ на нивоу посебног циља</w:t>
            </w:r>
          </w:p>
        </w:tc>
      </w:tr>
      <w:tr w:rsidR="007A7449" w:rsidRPr="00226F9D" w14:paraId="1C8D6F74" w14:textId="77777777" w:rsidTr="0EB8FC02">
        <w:trPr>
          <w:trHeight w:val="377"/>
          <w:jc w:val="center"/>
        </w:trPr>
        <w:tc>
          <w:tcPr>
            <w:tcW w:w="3541" w:type="dxa"/>
            <w:shd w:val="clear" w:color="auto" w:fill="FFC000"/>
            <w:vAlign w:val="center"/>
          </w:tcPr>
          <w:p w14:paraId="07284CB0" w14:textId="77777777" w:rsidR="00F954FF" w:rsidRPr="00226F9D" w:rsidRDefault="00F954FF" w:rsidP="004A0952">
            <w:pPr>
              <w:spacing w:after="0" w:line="240" w:lineRule="auto"/>
              <w:rPr>
                <w:rFonts w:ascii="Times New Roman" w:eastAsia="Calibri" w:hAnsi="Times New Roman" w:cs="Times New Roman"/>
                <w:b/>
                <w:color w:val="000000"/>
                <w:kern w:val="24"/>
                <w:sz w:val="20"/>
                <w:szCs w:val="20"/>
                <w:lang w:val="sr-Cyrl-RS" w:eastAsia="en-GB"/>
                <w14:ligatures w14:val="none"/>
              </w:rPr>
            </w:pPr>
            <w:r w:rsidRPr="00226F9D">
              <w:rPr>
                <w:rFonts w:ascii="Times New Roman" w:eastAsia="Calibri" w:hAnsi="Times New Roman" w:cs="Times New Roman"/>
                <w:b/>
                <w:color w:val="000000"/>
                <w:kern w:val="24"/>
                <w:sz w:val="20"/>
                <w:szCs w:val="20"/>
                <w:lang w:val="sr-Cyrl-RS" w:eastAsia="en-GB"/>
                <w14:ligatures w14:val="none"/>
              </w:rPr>
              <w:t>Јединица мере и природа</w:t>
            </w:r>
          </w:p>
        </w:tc>
        <w:tc>
          <w:tcPr>
            <w:tcW w:w="4870" w:type="dxa"/>
            <w:gridSpan w:val="5"/>
            <w:shd w:val="clear" w:color="auto" w:fill="FFFFFF" w:themeFill="background1"/>
            <w:vAlign w:val="center"/>
          </w:tcPr>
          <w:p w14:paraId="3012BE40" w14:textId="77777777" w:rsidR="00F954FF" w:rsidRPr="00226F9D" w:rsidRDefault="00F954FF"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24"/>
                <w:sz w:val="20"/>
                <w:szCs w:val="20"/>
                <w:lang w:val="sr-Cyrl-RS" w:eastAsia="en-GB"/>
                <w14:ligatures w14:val="none"/>
              </w:rPr>
              <w:t>Композитна скала (1–5)</w:t>
            </w:r>
          </w:p>
        </w:tc>
        <w:tc>
          <w:tcPr>
            <w:tcW w:w="6151" w:type="dxa"/>
            <w:gridSpan w:val="6"/>
            <w:shd w:val="clear" w:color="auto" w:fill="FFFFFF" w:themeFill="background1"/>
            <w:vAlign w:val="center"/>
          </w:tcPr>
          <w:p w14:paraId="5A196D92" w14:textId="77777777" w:rsidR="00F954FF" w:rsidRPr="00226F9D" w:rsidRDefault="00F954FF" w:rsidP="00090884">
            <w:pPr>
              <w:spacing w:after="0" w:line="240" w:lineRule="auto"/>
              <w:jc w:val="both"/>
              <w:rPr>
                <w:rFonts w:ascii="Times New Roman" w:eastAsia="Arial" w:hAnsi="Times New Roman" w:cs="Times New Roman"/>
                <w:iCs/>
                <w:color w:val="000000"/>
                <w:spacing w:val="-1"/>
                <w:kern w:val="24"/>
                <w:sz w:val="20"/>
                <w:szCs w:val="20"/>
                <w:lang w:val="sr-Cyrl-RS" w:eastAsia="en-GB"/>
                <w14:ligatures w14:val="none"/>
              </w:rPr>
            </w:pPr>
            <w:r w:rsidRPr="00226F9D">
              <w:rPr>
                <w:rFonts w:ascii="Times New Roman" w:eastAsia="Arial" w:hAnsi="Times New Roman" w:cs="Times New Roman"/>
                <w:iCs/>
                <w:color w:val="000000"/>
                <w:spacing w:val="-1"/>
                <w:kern w:val="24"/>
                <w:sz w:val="20"/>
                <w:szCs w:val="20"/>
                <w:lang w:val="sr-Cyrl-RS" w:eastAsia="en-GB"/>
                <w14:ligatures w14:val="none"/>
              </w:rPr>
              <w:t>Пожељна је већа вредност</w:t>
            </w:r>
          </w:p>
        </w:tc>
      </w:tr>
      <w:tr w:rsidR="00F954FF" w:rsidRPr="00226F9D" w14:paraId="3A9DF1B0" w14:textId="77777777" w:rsidTr="0EB8FC02">
        <w:trPr>
          <w:trHeight w:val="561"/>
          <w:jc w:val="center"/>
        </w:trPr>
        <w:tc>
          <w:tcPr>
            <w:tcW w:w="3541" w:type="dxa"/>
            <w:shd w:val="clear" w:color="auto" w:fill="FFC000"/>
            <w:vAlign w:val="center"/>
          </w:tcPr>
          <w:p w14:paraId="78F980D1"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Извор података за праћење показатеља учинка</w:t>
            </w:r>
          </w:p>
        </w:tc>
        <w:tc>
          <w:tcPr>
            <w:tcW w:w="11021" w:type="dxa"/>
            <w:gridSpan w:val="11"/>
            <w:shd w:val="clear" w:color="auto" w:fill="FFFFFF" w:themeFill="background1"/>
            <w:vAlign w:val="center"/>
          </w:tcPr>
          <w:p w14:paraId="16CFBD4D" w14:textId="4B59A10F" w:rsidR="000D5959" w:rsidRPr="00226F9D" w:rsidRDefault="000D5959"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 xml:space="preserve">Евиденције </w:t>
            </w:r>
            <w:r w:rsidR="00E138C1" w:rsidRPr="00226F9D">
              <w:rPr>
                <w:rFonts w:ascii="Times New Roman" w:eastAsia="Calibri" w:hAnsi="Times New Roman" w:cs="Times New Roman"/>
                <w:color w:val="000000"/>
                <w:kern w:val="0"/>
                <w:sz w:val="20"/>
                <w:szCs w:val="20"/>
                <w:lang w:val="sr-Cyrl-RS" w:eastAsia="en-GB"/>
                <w14:ligatures w14:val="none"/>
              </w:rPr>
              <w:t>МДУЛС</w:t>
            </w:r>
          </w:p>
        </w:tc>
      </w:tr>
      <w:tr w:rsidR="00F954FF" w:rsidRPr="00226F9D" w14:paraId="3513E8EF" w14:textId="77777777" w:rsidTr="0EB8FC02">
        <w:trPr>
          <w:trHeight w:val="546"/>
          <w:jc w:val="center"/>
        </w:trPr>
        <w:tc>
          <w:tcPr>
            <w:tcW w:w="3541" w:type="dxa"/>
            <w:shd w:val="clear" w:color="auto" w:fill="FFC000"/>
            <w:vAlign w:val="center"/>
          </w:tcPr>
          <w:p w14:paraId="584DC80D"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Назив носиоца прикупљања података</w:t>
            </w:r>
          </w:p>
        </w:tc>
        <w:tc>
          <w:tcPr>
            <w:tcW w:w="11021" w:type="dxa"/>
            <w:gridSpan w:val="11"/>
            <w:shd w:val="clear" w:color="auto" w:fill="FFFFFF" w:themeFill="background1"/>
            <w:vAlign w:val="center"/>
          </w:tcPr>
          <w:p w14:paraId="3B006FC4" w14:textId="0232A8B9" w:rsidR="00F954FF" w:rsidRPr="00226F9D" w:rsidRDefault="009B2971" w:rsidP="00090884">
            <w:pPr>
              <w:spacing w:after="0" w:line="240" w:lineRule="auto"/>
              <w:jc w:val="both"/>
              <w:rPr>
                <w:rFonts w:ascii="Times New Roman" w:eastAsia="Calibri" w:hAnsi="Times New Roman" w:cs="Times New Roman"/>
                <w:kern w:val="0"/>
                <w:sz w:val="20"/>
                <w:szCs w:val="20"/>
                <w:lang w:val="sr-Cyrl-RS" w:eastAsia="en-GB"/>
                <w14:ligatures w14:val="none"/>
              </w:rPr>
            </w:pPr>
            <w:r w:rsidRPr="00226F9D">
              <w:rPr>
                <w:rFonts w:ascii="Times New Roman" w:eastAsia="Calibri" w:hAnsi="Times New Roman" w:cs="Times New Roman"/>
                <w:kern w:val="0"/>
                <w:sz w:val="20"/>
                <w:szCs w:val="20"/>
                <w:lang w:val="sr-Cyrl-RS" w:eastAsia="en-GB"/>
                <w14:ligatures w14:val="none"/>
              </w:rPr>
              <w:t>МДУЛС</w:t>
            </w:r>
            <w:r w:rsidR="003C5991" w:rsidRPr="00226F9D">
              <w:rPr>
                <w:rFonts w:ascii="Times New Roman" w:eastAsia="Calibri" w:hAnsi="Times New Roman" w:cs="Times New Roman"/>
                <w:kern w:val="0"/>
                <w:sz w:val="20"/>
                <w:szCs w:val="20"/>
                <w:lang w:val="sr-Cyrl-RS" w:eastAsia="en-GB"/>
                <w14:ligatures w14:val="none"/>
              </w:rPr>
              <w:t xml:space="preserve">, Душанка Јовановић, </w:t>
            </w:r>
            <w:hyperlink r:id="rId54" w:history="1">
              <w:r w:rsidR="00542382" w:rsidRPr="00226F9D">
                <w:rPr>
                  <w:rStyle w:val="Hyperlink"/>
                  <w:rFonts w:ascii="Times New Roman" w:eastAsia="Calibri" w:hAnsi="Times New Roman" w:cs="Times New Roman"/>
                  <w:kern w:val="0"/>
                  <w:sz w:val="20"/>
                  <w:szCs w:val="20"/>
                  <w:lang w:val="sr-Cyrl-RS" w:eastAsia="en-GB"/>
                  <w14:ligatures w14:val="none"/>
                </w:rPr>
                <w:t>dusanka.jovanovic@mduls.gov.rs</w:t>
              </w:r>
            </w:hyperlink>
            <w:r w:rsidR="00542382" w:rsidRPr="00226F9D">
              <w:rPr>
                <w:rFonts w:ascii="Times New Roman" w:eastAsia="Calibri" w:hAnsi="Times New Roman" w:cs="Times New Roman"/>
                <w:kern w:val="0"/>
                <w:sz w:val="20"/>
                <w:szCs w:val="20"/>
                <w:lang w:val="sr-Cyrl-RS" w:eastAsia="en-GB"/>
                <w14:ligatures w14:val="none"/>
              </w:rPr>
              <w:t xml:space="preserve"> </w:t>
            </w:r>
            <w:r w:rsidR="003C5991" w:rsidRPr="00226F9D">
              <w:rPr>
                <w:rFonts w:ascii="Times New Roman" w:eastAsia="Times New Roman" w:hAnsi="Times New Roman" w:cs="Times New Roman"/>
                <w:kern w:val="0"/>
                <w:sz w:val="20"/>
                <w:szCs w:val="20"/>
                <w:lang w:val="sr-Cyrl-RS" w:eastAsia="en-GB"/>
                <w14:ligatures w14:val="none"/>
              </w:rPr>
              <w:t xml:space="preserve">  </w:t>
            </w:r>
          </w:p>
          <w:p w14:paraId="1ACC9244" w14:textId="77777777" w:rsidR="00F954FF" w:rsidRPr="00226F9D" w:rsidRDefault="00F954FF" w:rsidP="00090884">
            <w:pPr>
              <w:spacing w:after="0" w:line="240" w:lineRule="auto"/>
              <w:jc w:val="both"/>
              <w:rPr>
                <w:rFonts w:ascii="Times New Roman" w:eastAsia="Calibri" w:hAnsi="Times New Roman" w:cs="Times New Roman"/>
                <w:kern w:val="0"/>
                <w:sz w:val="20"/>
                <w:szCs w:val="20"/>
                <w:lang w:val="sr-Latn-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СКГО, Милош Муцок, </w:t>
            </w:r>
            <w:hyperlink r:id="rId55" w:history="1">
              <w:r w:rsidRPr="00226F9D">
                <w:rPr>
                  <w:rStyle w:val="Hyperlink"/>
                  <w:rFonts w:ascii="Times New Roman" w:eastAsia="Yu Mincho" w:hAnsi="Times New Roman" w:cs="Times New Roman"/>
                  <w:kern w:val="0"/>
                  <w:sz w:val="20"/>
                  <w:szCs w:val="20"/>
                  <w:lang w:val="sr-Latn-RS" w:eastAsia="en-GB"/>
                  <w14:ligatures w14:val="none"/>
                </w:rPr>
                <w:t>milos.mucok@skgo.org</w:t>
              </w:r>
            </w:hyperlink>
            <w:r w:rsidRPr="00226F9D">
              <w:rPr>
                <w:rFonts w:ascii="Times New Roman" w:eastAsia="Yu Mincho" w:hAnsi="Times New Roman" w:cs="Times New Roman"/>
                <w:kern w:val="0"/>
                <w:sz w:val="20"/>
                <w:szCs w:val="20"/>
                <w:lang w:val="sr-Latn-RS" w:eastAsia="en-GB"/>
                <w14:ligatures w14:val="none"/>
              </w:rPr>
              <w:t xml:space="preserve"> </w:t>
            </w:r>
          </w:p>
        </w:tc>
      </w:tr>
      <w:tr w:rsidR="00F954FF" w:rsidRPr="00226F9D" w14:paraId="02B0E44F" w14:textId="77777777" w:rsidTr="0EB8FC02">
        <w:trPr>
          <w:trHeight w:val="561"/>
          <w:jc w:val="center"/>
        </w:trPr>
        <w:tc>
          <w:tcPr>
            <w:tcW w:w="3541" w:type="dxa"/>
            <w:shd w:val="clear" w:color="auto" w:fill="FFC000"/>
            <w:vAlign w:val="center"/>
          </w:tcPr>
          <w:p w14:paraId="57DBF56F"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Учесталост прикупљања података</w:t>
            </w:r>
          </w:p>
        </w:tc>
        <w:tc>
          <w:tcPr>
            <w:tcW w:w="11021" w:type="dxa"/>
            <w:gridSpan w:val="11"/>
            <w:shd w:val="clear" w:color="auto" w:fill="FFFFFF" w:themeFill="background1"/>
            <w:vAlign w:val="center"/>
          </w:tcPr>
          <w:p w14:paraId="2C6390A5" w14:textId="77777777" w:rsidR="00F954FF" w:rsidRPr="00226F9D" w:rsidRDefault="00F954FF" w:rsidP="00090884">
            <w:pPr>
              <w:spacing w:after="0" w:line="240" w:lineRule="auto"/>
              <w:jc w:val="both"/>
              <w:rPr>
                <w:rFonts w:ascii="Times New Roman" w:eastAsia="Calibri" w:hAnsi="Times New Roman" w:cs="Times New Roman"/>
                <w:kern w:val="0"/>
                <w:sz w:val="20"/>
                <w:szCs w:val="20"/>
                <w:lang w:val="sr-Cyrl-RS" w:eastAsia="en-GB"/>
                <w14:ligatures w14:val="none"/>
              </w:rPr>
            </w:pPr>
            <w:r w:rsidRPr="00226F9D">
              <w:rPr>
                <w:rFonts w:ascii="Times New Roman" w:eastAsia="Calibri" w:hAnsi="Times New Roman" w:cs="Times New Roman"/>
                <w:kern w:val="0"/>
                <w:sz w:val="20"/>
                <w:szCs w:val="20"/>
                <w:lang w:val="sr-Cyrl-RS" w:eastAsia="en-GB"/>
                <w14:ligatures w14:val="none"/>
              </w:rPr>
              <w:t>Подаци се прикупљају на годишњем нивоу.</w:t>
            </w:r>
          </w:p>
        </w:tc>
      </w:tr>
      <w:tr w:rsidR="00F954FF" w:rsidRPr="00226F9D" w14:paraId="483DA469" w14:textId="77777777" w:rsidTr="0EB8FC02">
        <w:trPr>
          <w:trHeight w:val="276"/>
          <w:jc w:val="center"/>
        </w:trPr>
        <w:tc>
          <w:tcPr>
            <w:tcW w:w="3541" w:type="dxa"/>
            <w:shd w:val="clear" w:color="auto" w:fill="FFC000"/>
            <w:vAlign w:val="center"/>
          </w:tcPr>
          <w:p w14:paraId="5733606C" w14:textId="77777777" w:rsidR="00F954FF" w:rsidRPr="00226F9D" w:rsidRDefault="00F954FF" w:rsidP="004A0952">
            <w:pPr>
              <w:spacing w:after="0" w:line="240" w:lineRule="auto"/>
              <w:rPr>
                <w:rFonts w:ascii="Times New Roman" w:eastAsia="Calibri" w:hAnsi="Times New Roman" w:cs="Times New Roman"/>
                <w:b/>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Кратак опис показатеља и методологије израчунавања</w:t>
            </w:r>
          </w:p>
          <w:p w14:paraId="6906F224"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kern w:val="0"/>
                <w:sz w:val="20"/>
                <w:szCs w:val="20"/>
                <w:lang w:val="sr-Cyrl-RS" w:eastAsia="en-GB"/>
                <w14:ligatures w14:val="none"/>
              </w:rPr>
              <w:t>(формуле/једначине)</w:t>
            </w:r>
          </w:p>
        </w:tc>
        <w:tc>
          <w:tcPr>
            <w:tcW w:w="11021" w:type="dxa"/>
            <w:gridSpan w:val="11"/>
            <w:shd w:val="clear" w:color="auto" w:fill="FFFFFF" w:themeFill="background1"/>
            <w:vAlign w:val="center"/>
          </w:tcPr>
          <w:p w14:paraId="06DE2CE6" w14:textId="12FCA10B" w:rsidR="00493502" w:rsidRPr="00226F9D" w:rsidRDefault="00F954FF" w:rsidP="006B59F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 xml:space="preserve">Овај показатељ мери </w:t>
            </w:r>
            <w:r w:rsidR="00493502" w:rsidRPr="00226F9D">
              <w:rPr>
                <w:rFonts w:ascii="Times New Roman" w:eastAsia="Yu Mincho" w:hAnsi="Times New Roman" w:cs="Times New Roman"/>
                <w:color w:val="000000"/>
                <w:kern w:val="0"/>
                <w:sz w:val="20"/>
                <w:szCs w:val="20"/>
                <w:lang w:val="sr-Cyrl-RS" w:eastAsia="en-GB"/>
                <w14:ligatures w14:val="none"/>
              </w:rPr>
              <w:t>у ком степену су</w:t>
            </w:r>
            <w:r w:rsidRPr="00226F9D">
              <w:rPr>
                <w:rFonts w:ascii="Times New Roman" w:eastAsia="Yu Mincho" w:hAnsi="Times New Roman" w:cs="Times New Roman"/>
                <w:color w:val="000000"/>
                <w:kern w:val="0"/>
                <w:sz w:val="20"/>
                <w:szCs w:val="20"/>
                <w:lang w:val="sr-Cyrl-RS" w:eastAsia="en-GB"/>
                <w14:ligatures w14:val="none"/>
              </w:rPr>
              <w:t xml:space="preserve"> општинск</w:t>
            </w:r>
            <w:r w:rsidR="00493502" w:rsidRPr="00226F9D">
              <w:rPr>
                <w:rFonts w:ascii="Times New Roman" w:eastAsia="Yu Mincho" w:hAnsi="Times New Roman" w:cs="Times New Roman"/>
                <w:color w:val="000000"/>
                <w:kern w:val="0"/>
                <w:sz w:val="20"/>
                <w:szCs w:val="20"/>
                <w:lang w:val="sr-Cyrl-RS" w:eastAsia="en-GB"/>
                <w14:ligatures w14:val="none"/>
              </w:rPr>
              <w:t>е</w:t>
            </w:r>
            <w:r w:rsidRPr="00226F9D">
              <w:rPr>
                <w:rFonts w:ascii="Times New Roman" w:eastAsia="Yu Mincho" w:hAnsi="Times New Roman" w:cs="Times New Roman"/>
                <w:color w:val="000000"/>
                <w:kern w:val="0"/>
                <w:sz w:val="20"/>
                <w:szCs w:val="20"/>
                <w:lang w:val="sr-Cyrl-RS" w:eastAsia="en-GB"/>
                <w14:ligatures w14:val="none"/>
              </w:rPr>
              <w:t>, градск</w:t>
            </w:r>
            <w:r w:rsidR="00493502" w:rsidRPr="00226F9D">
              <w:rPr>
                <w:rFonts w:ascii="Times New Roman" w:eastAsia="Yu Mincho" w:hAnsi="Times New Roman" w:cs="Times New Roman"/>
                <w:color w:val="000000"/>
                <w:kern w:val="0"/>
                <w:sz w:val="20"/>
                <w:szCs w:val="20"/>
                <w:lang w:val="sr-Cyrl-RS" w:eastAsia="en-GB"/>
                <w14:ligatures w14:val="none"/>
              </w:rPr>
              <w:t>е</w:t>
            </w:r>
            <w:r w:rsidRPr="00226F9D">
              <w:rPr>
                <w:rFonts w:ascii="Times New Roman" w:eastAsia="Yu Mincho" w:hAnsi="Times New Roman" w:cs="Times New Roman"/>
                <w:color w:val="000000"/>
                <w:kern w:val="0"/>
                <w:sz w:val="20"/>
                <w:szCs w:val="20"/>
                <w:lang w:val="sr-Cyrl-RS" w:eastAsia="en-GB"/>
                <w14:ligatures w14:val="none"/>
              </w:rPr>
              <w:t xml:space="preserve"> и управ</w:t>
            </w:r>
            <w:r w:rsidR="00493502" w:rsidRPr="00226F9D">
              <w:rPr>
                <w:rFonts w:ascii="Times New Roman" w:eastAsia="Yu Mincho" w:hAnsi="Times New Roman" w:cs="Times New Roman"/>
                <w:color w:val="000000"/>
                <w:kern w:val="0"/>
                <w:sz w:val="20"/>
                <w:szCs w:val="20"/>
                <w:lang w:val="sr-Cyrl-RS" w:eastAsia="en-GB"/>
                <w14:ligatures w14:val="none"/>
              </w:rPr>
              <w:t>е</w:t>
            </w:r>
            <w:r w:rsidRPr="00226F9D">
              <w:rPr>
                <w:rFonts w:ascii="Times New Roman" w:eastAsia="Yu Mincho" w:hAnsi="Times New Roman" w:cs="Times New Roman"/>
                <w:color w:val="000000"/>
                <w:kern w:val="0"/>
                <w:sz w:val="20"/>
                <w:szCs w:val="20"/>
                <w:lang w:val="sr-Cyrl-RS" w:eastAsia="en-GB"/>
                <w14:ligatures w14:val="none"/>
              </w:rPr>
              <w:t xml:space="preserve"> градских општина обучен</w:t>
            </w:r>
            <w:r w:rsidR="00493502" w:rsidRPr="00226F9D">
              <w:rPr>
                <w:rFonts w:ascii="Times New Roman" w:eastAsia="Yu Mincho" w:hAnsi="Times New Roman" w:cs="Times New Roman"/>
                <w:color w:val="000000"/>
                <w:kern w:val="0"/>
                <w:sz w:val="20"/>
                <w:szCs w:val="20"/>
                <w:lang w:val="sr-Cyrl-RS" w:eastAsia="en-GB"/>
                <w14:ligatures w14:val="none"/>
              </w:rPr>
              <w:t>е</w:t>
            </w:r>
            <w:r w:rsidRPr="00226F9D">
              <w:rPr>
                <w:rFonts w:ascii="Times New Roman" w:eastAsia="Yu Mincho" w:hAnsi="Times New Roman" w:cs="Times New Roman"/>
                <w:color w:val="000000"/>
                <w:kern w:val="0"/>
                <w:sz w:val="20"/>
                <w:szCs w:val="20"/>
                <w:lang w:val="sr-Cyrl-RS" w:eastAsia="en-GB"/>
                <w14:ligatures w14:val="none"/>
              </w:rPr>
              <w:t xml:space="preserve"> за примену нових правних и процесних решења у области управљања људским ресурсима. </w:t>
            </w:r>
            <w:r w:rsidR="00347E1C" w:rsidRPr="00226F9D">
              <w:rPr>
                <w:rFonts w:ascii="Times New Roman" w:eastAsia="Yu Mincho" w:hAnsi="Times New Roman" w:cs="Times New Roman"/>
                <w:color w:val="000000"/>
                <w:kern w:val="0"/>
                <w:sz w:val="20"/>
                <w:szCs w:val="20"/>
                <w:lang w:val="sr-Cyrl-RS" w:eastAsia="en-GB"/>
                <w14:ligatures w14:val="none"/>
              </w:rPr>
              <w:t xml:space="preserve">Показатељ </w:t>
            </w:r>
            <w:r w:rsidR="007C7B80" w:rsidRPr="00226F9D">
              <w:rPr>
                <w:rFonts w:ascii="Times New Roman" w:eastAsia="Yu Mincho" w:hAnsi="Times New Roman" w:cs="Times New Roman"/>
                <w:color w:val="000000"/>
                <w:kern w:val="0"/>
                <w:sz w:val="20"/>
                <w:szCs w:val="20"/>
                <w:lang w:val="sr-Cyrl-RS" w:eastAsia="en-GB"/>
                <w14:ligatures w14:val="none"/>
              </w:rPr>
              <w:t>прати обученост локалних службеника у следећим областима: 1)</w:t>
            </w:r>
            <w:r w:rsidR="00347E1C" w:rsidRPr="00226F9D">
              <w:rPr>
                <w:rFonts w:ascii="Times New Roman" w:eastAsia="Yu Mincho" w:hAnsi="Times New Roman" w:cs="Times New Roman"/>
                <w:color w:val="000000"/>
                <w:kern w:val="0"/>
                <w:sz w:val="20"/>
                <w:szCs w:val="20"/>
                <w:lang w:val="sr-Cyrl-RS" w:eastAsia="en-GB"/>
                <w14:ligatures w14:val="none"/>
              </w:rPr>
              <w:t xml:space="preserve"> вредновањ</w:t>
            </w:r>
            <w:r w:rsidR="007C7B80" w:rsidRPr="00226F9D">
              <w:rPr>
                <w:rFonts w:ascii="Times New Roman" w:eastAsia="Yu Mincho" w:hAnsi="Times New Roman" w:cs="Times New Roman"/>
                <w:color w:val="000000"/>
                <w:kern w:val="0"/>
                <w:sz w:val="20"/>
                <w:szCs w:val="20"/>
                <w:lang w:val="sr-Cyrl-RS" w:eastAsia="en-GB"/>
                <w14:ligatures w14:val="none"/>
              </w:rPr>
              <w:t>е</w:t>
            </w:r>
            <w:r w:rsidR="00347E1C" w:rsidRPr="00226F9D">
              <w:rPr>
                <w:rFonts w:ascii="Times New Roman" w:eastAsia="Yu Mincho" w:hAnsi="Times New Roman" w:cs="Times New Roman"/>
                <w:color w:val="000000"/>
                <w:kern w:val="0"/>
                <w:sz w:val="20"/>
                <w:szCs w:val="20"/>
                <w:lang w:val="sr-Cyrl-RS" w:eastAsia="en-GB"/>
                <w14:ligatures w14:val="none"/>
              </w:rPr>
              <w:t xml:space="preserve"> радн</w:t>
            </w:r>
            <w:r w:rsidR="00493502" w:rsidRPr="00226F9D">
              <w:rPr>
                <w:rFonts w:ascii="Times New Roman" w:eastAsia="Yu Mincho" w:hAnsi="Times New Roman" w:cs="Times New Roman"/>
                <w:color w:val="000000"/>
                <w:kern w:val="0"/>
                <w:sz w:val="20"/>
                <w:szCs w:val="20"/>
                <w:lang w:val="sr-Cyrl-RS" w:eastAsia="en-GB"/>
                <w14:ligatures w14:val="none"/>
              </w:rPr>
              <w:t>е</w:t>
            </w:r>
            <w:r w:rsidR="00347E1C" w:rsidRPr="00226F9D">
              <w:rPr>
                <w:rFonts w:ascii="Times New Roman" w:eastAsia="Yu Mincho" w:hAnsi="Times New Roman" w:cs="Times New Roman"/>
                <w:color w:val="000000"/>
                <w:kern w:val="0"/>
                <w:sz w:val="20"/>
                <w:szCs w:val="20"/>
                <w:lang w:val="sr-Cyrl-RS" w:eastAsia="en-GB"/>
                <w14:ligatures w14:val="none"/>
              </w:rPr>
              <w:t xml:space="preserve"> успешности службени</w:t>
            </w:r>
            <w:r w:rsidR="008154EF" w:rsidRPr="00226F9D">
              <w:rPr>
                <w:rFonts w:ascii="Times New Roman" w:eastAsia="Yu Mincho" w:hAnsi="Times New Roman" w:cs="Times New Roman"/>
                <w:color w:val="000000"/>
                <w:kern w:val="0"/>
                <w:sz w:val="20"/>
                <w:szCs w:val="20"/>
                <w:lang w:val="sr-Cyrl-RS" w:eastAsia="en-GB"/>
                <w14:ligatures w14:val="none"/>
              </w:rPr>
              <w:t>ка</w:t>
            </w:r>
            <w:r w:rsidR="00493502" w:rsidRPr="00226F9D">
              <w:rPr>
                <w:rFonts w:ascii="Times New Roman" w:eastAsia="Yu Mincho" w:hAnsi="Times New Roman" w:cs="Times New Roman"/>
                <w:color w:val="000000"/>
                <w:kern w:val="0"/>
                <w:sz w:val="20"/>
                <w:szCs w:val="20"/>
                <w:lang w:val="sr-Cyrl-RS" w:eastAsia="en-GB"/>
                <w14:ligatures w14:val="none"/>
              </w:rPr>
              <w:t xml:space="preserve"> засновано на комп</w:t>
            </w:r>
            <w:r w:rsidR="00845783" w:rsidRPr="00226F9D">
              <w:rPr>
                <w:rFonts w:ascii="Times New Roman" w:eastAsia="Yu Mincho" w:hAnsi="Times New Roman" w:cs="Times New Roman"/>
                <w:color w:val="000000"/>
                <w:kern w:val="0"/>
                <w:sz w:val="20"/>
                <w:szCs w:val="20"/>
                <w:lang w:val="sr-Cyrl-RS" w:eastAsia="en-GB"/>
                <w14:ligatures w14:val="none"/>
              </w:rPr>
              <w:t>е</w:t>
            </w:r>
            <w:r w:rsidR="00493502" w:rsidRPr="00226F9D">
              <w:rPr>
                <w:rFonts w:ascii="Times New Roman" w:eastAsia="Yu Mincho" w:hAnsi="Times New Roman" w:cs="Times New Roman"/>
                <w:color w:val="000000"/>
                <w:kern w:val="0"/>
                <w:sz w:val="20"/>
                <w:szCs w:val="20"/>
                <w:lang w:val="sr-Cyrl-RS" w:eastAsia="en-GB"/>
                <w14:ligatures w14:val="none"/>
              </w:rPr>
              <w:t>тенцијама</w:t>
            </w:r>
            <w:r w:rsidR="007C7B80" w:rsidRPr="00226F9D">
              <w:rPr>
                <w:rFonts w:ascii="Times New Roman" w:eastAsia="Yu Mincho" w:hAnsi="Times New Roman" w:cs="Times New Roman"/>
                <w:color w:val="000000"/>
                <w:kern w:val="0"/>
                <w:sz w:val="20"/>
                <w:szCs w:val="20"/>
                <w:lang w:val="sr-Cyrl-RS" w:eastAsia="en-GB"/>
                <w14:ligatures w14:val="none"/>
              </w:rPr>
              <w:t>;</w:t>
            </w:r>
            <w:r w:rsidR="00493502" w:rsidRPr="00226F9D">
              <w:rPr>
                <w:rFonts w:ascii="Times New Roman" w:eastAsia="Yu Mincho" w:hAnsi="Times New Roman" w:cs="Times New Roman"/>
                <w:color w:val="000000"/>
                <w:kern w:val="0"/>
                <w:sz w:val="20"/>
                <w:szCs w:val="20"/>
                <w:lang w:val="sr-Cyrl-RS" w:eastAsia="en-GB"/>
                <w14:ligatures w14:val="none"/>
              </w:rPr>
              <w:t xml:space="preserve"> </w:t>
            </w:r>
            <w:r w:rsidR="007C7B80" w:rsidRPr="00226F9D">
              <w:rPr>
                <w:rFonts w:ascii="Times New Roman" w:eastAsia="Yu Mincho" w:hAnsi="Times New Roman" w:cs="Times New Roman"/>
                <w:color w:val="000000"/>
                <w:kern w:val="0"/>
                <w:sz w:val="20"/>
                <w:szCs w:val="20"/>
                <w:lang w:val="sr-Cyrl-RS" w:eastAsia="en-GB"/>
                <w14:ligatures w14:val="none"/>
              </w:rPr>
              <w:t>2)</w:t>
            </w:r>
            <w:r w:rsidR="00493502" w:rsidRPr="00226F9D">
              <w:rPr>
                <w:rFonts w:ascii="Times New Roman" w:eastAsia="Yu Mincho" w:hAnsi="Times New Roman" w:cs="Times New Roman"/>
                <w:color w:val="000000"/>
                <w:kern w:val="0"/>
                <w:sz w:val="20"/>
                <w:szCs w:val="20"/>
                <w:lang w:val="sr-Cyrl-RS" w:eastAsia="en-GB"/>
                <w14:ligatures w14:val="none"/>
              </w:rPr>
              <w:t xml:space="preserve"> стратешко и оперативно кадровско планирање</w:t>
            </w:r>
            <w:r w:rsidR="007C7B80" w:rsidRPr="00226F9D">
              <w:rPr>
                <w:rFonts w:ascii="Times New Roman" w:eastAsia="Yu Mincho" w:hAnsi="Times New Roman" w:cs="Times New Roman"/>
                <w:color w:val="000000"/>
                <w:kern w:val="0"/>
                <w:sz w:val="20"/>
                <w:szCs w:val="20"/>
                <w:lang w:val="sr-Cyrl-RS" w:eastAsia="en-GB"/>
                <w14:ligatures w14:val="none"/>
              </w:rPr>
              <w:t>; 3)</w:t>
            </w:r>
            <w:r w:rsidR="00493502" w:rsidRPr="00226F9D">
              <w:rPr>
                <w:rFonts w:ascii="Times New Roman" w:eastAsia="Yu Mincho" w:hAnsi="Times New Roman" w:cs="Times New Roman"/>
                <w:color w:val="000000"/>
                <w:kern w:val="0"/>
                <w:sz w:val="20"/>
                <w:szCs w:val="20"/>
                <w:lang w:val="sr-Cyrl-RS" w:eastAsia="en-GB"/>
                <w14:ligatures w14:val="none"/>
              </w:rPr>
              <w:t xml:space="preserve">  </w:t>
            </w:r>
            <w:r w:rsidR="00493502" w:rsidRPr="00226F9D">
              <w:rPr>
                <w:rFonts w:ascii="Times New Roman" w:eastAsia="Calibri" w:hAnsi="Times New Roman" w:cs="Times New Roman"/>
                <w:color w:val="000000"/>
                <w:kern w:val="0"/>
                <w:sz w:val="20"/>
                <w:szCs w:val="20"/>
                <w:lang w:val="sr-Cyrl-RS" w:eastAsia="en-GB"/>
                <w14:ligatures w14:val="none"/>
              </w:rPr>
              <w:t>увођење у посао и интеграциј</w:t>
            </w:r>
            <w:r w:rsidR="007C7B80" w:rsidRPr="00226F9D">
              <w:rPr>
                <w:rFonts w:ascii="Times New Roman" w:eastAsia="Calibri" w:hAnsi="Times New Roman" w:cs="Times New Roman"/>
                <w:color w:val="000000"/>
                <w:kern w:val="0"/>
                <w:sz w:val="20"/>
                <w:szCs w:val="20"/>
                <w:lang w:val="sr-Cyrl-RS" w:eastAsia="en-GB"/>
                <w14:ligatures w14:val="none"/>
              </w:rPr>
              <w:t>а</w:t>
            </w:r>
            <w:r w:rsidR="00493502" w:rsidRPr="00226F9D">
              <w:rPr>
                <w:rFonts w:ascii="Times New Roman" w:eastAsia="Calibri" w:hAnsi="Times New Roman" w:cs="Times New Roman"/>
                <w:color w:val="000000"/>
                <w:kern w:val="0"/>
                <w:sz w:val="20"/>
                <w:szCs w:val="20"/>
                <w:lang w:val="sr-Cyrl-RS" w:eastAsia="en-GB"/>
                <w14:ligatures w14:val="none"/>
              </w:rPr>
              <w:t xml:space="preserve"> новозапослених</w:t>
            </w:r>
            <w:r w:rsidR="007C7B80" w:rsidRPr="00226F9D">
              <w:rPr>
                <w:rFonts w:ascii="Times New Roman" w:eastAsia="Calibri" w:hAnsi="Times New Roman" w:cs="Times New Roman"/>
                <w:color w:val="000000"/>
                <w:kern w:val="0"/>
                <w:sz w:val="20"/>
                <w:szCs w:val="20"/>
                <w:lang w:val="sr-Cyrl-RS" w:eastAsia="en-GB"/>
                <w14:ligatures w14:val="none"/>
              </w:rPr>
              <w:t>; 4)</w:t>
            </w:r>
            <w:r w:rsidR="00493502" w:rsidRPr="00226F9D">
              <w:rPr>
                <w:rFonts w:ascii="Times New Roman" w:eastAsia="Calibri" w:hAnsi="Times New Roman" w:cs="Times New Roman"/>
                <w:color w:val="000000"/>
                <w:kern w:val="0"/>
                <w:sz w:val="20"/>
                <w:szCs w:val="20"/>
                <w:lang w:val="sr-Cyrl-RS" w:eastAsia="en-GB"/>
                <w14:ligatures w14:val="none"/>
              </w:rPr>
              <w:t xml:space="preserve"> примен</w:t>
            </w:r>
            <w:r w:rsidR="007C7B80" w:rsidRPr="00226F9D">
              <w:rPr>
                <w:rFonts w:ascii="Times New Roman" w:eastAsia="Calibri" w:hAnsi="Times New Roman" w:cs="Times New Roman"/>
                <w:color w:val="000000"/>
                <w:kern w:val="0"/>
                <w:sz w:val="20"/>
                <w:szCs w:val="20"/>
                <w:lang w:val="sr-Cyrl-RS" w:eastAsia="en-GB"/>
                <w14:ligatures w14:val="none"/>
              </w:rPr>
              <w:t>а</w:t>
            </w:r>
            <w:r w:rsidR="00493502" w:rsidRPr="00226F9D">
              <w:rPr>
                <w:rFonts w:ascii="Times New Roman" w:eastAsia="Calibri" w:hAnsi="Times New Roman" w:cs="Times New Roman"/>
                <w:color w:val="000000"/>
                <w:kern w:val="0"/>
                <w:sz w:val="20"/>
                <w:szCs w:val="20"/>
                <w:lang w:val="sr-Cyrl-RS" w:eastAsia="en-GB"/>
                <w14:ligatures w14:val="none"/>
              </w:rPr>
              <w:t xml:space="preserve"> нових прописа о платама службеника и намештеника у ЈЛС и </w:t>
            </w:r>
            <w:r w:rsidR="007C7B80" w:rsidRPr="00226F9D">
              <w:rPr>
                <w:rFonts w:ascii="Times New Roman" w:eastAsia="Calibri" w:hAnsi="Times New Roman" w:cs="Times New Roman"/>
                <w:color w:val="000000"/>
                <w:kern w:val="0"/>
                <w:sz w:val="20"/>
                <w:szCs w:val="20"/>
                <w:lang w:val="sr-Cyrl-RS" w:eastAsia="en-GB"/>
                <w14:ligatures w14:val="none"/>
              </w:rPr>
              <w:t xml:space="preserve">5) </w:t>
            </w:r>
            <w:r w:rsidR="00493502" w:rsidRPr="00226F9D">
              <w:rPr>
                <w:rFonts w:ascii="Times New Roman" w:eastAsia="Calibri" w:hAnsi="Times New Roman" w:cs="Times New Roman"/>
                <w:color w:val="000000"/>
                <w:kern w:val="0"/>
                <w:sz w:val="20"/>
                <w:szCs w:val="20"/>
                <w:lang w:val="sr-Cyrl-RS" w:eastAsia="en-GB"/>
                <w14:ligatures w14:val="none"/>
              </w:rPr>
              <w:t>стручно усавршавање службеника у ЈЛС.</w:t>
            </w:r>
          </w:p>
          <w:p w14:paraId="159285F1" w14:textId="76C16B60" w:rsidR="00F954FF" w:rsidRPr="00226F9D" w:rsidRDefault="00F954FF" w:rsidP="006B59F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Yu Mincho" w:hAnsi="Times New Roman" w:cs="Times New Roman"/>
                <w:color w:val="000000"/>
                <w:kern w:val="0"/>
                <w:sz w:val="20"/>
                <w:szCs w:val="20"/>
                <w:lang w:val="sr-Cyrl-RS" w:eastAsia="en-GB"/>
                <w14:ligatures w14:val="none"/>
              </w:rPr>
              <w:t>Вредност показатеља се израчунава тако што се одређује резултат у складу са дефинисаном скалом од 1 до 5:</w:t>
            </w:r>
          </w:p>
          <w:p w14:paraId="3129361C" w14:textId="5A7F4401" w:rsidR="00F954FF" w:rsidRPr="00226F9D" w:rsidRDefault="00F954FF"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 xml:space="preserve">Више од </w:t>
            </w:r>
            <w:r w:rsidR="009D32B1" w:rsidRPr="00226F9D">
              <w:rPr>
                <w:rFonts w:ascii="Times New Roman" w:eastAsia="Calibri" w:hAnsi="Times New Roman" w:cs="Times New Roman"/>
                <w:color w:val="000000"/>
                <w:kern w:val="0"/>
                <w:sz w:val="20"/>
                <w:szCs w:val="20"/>
                <w:lang w:val="sr-Cyrl-RS" w:eastAsia="en-GB"/>
                <w14:ligatures w14:val="none"/>
              </w:rPr>
              <w:t>6</w:t>
            </w:r>
            <w:r w:rsidRPr="00226F9D">
              <w:rPr>
                <w:rFonts w:ascii="Times New Roman" w:eastAsia="Calibri" w:hAnsi="Times New Roman" w:cs="Times New Roman"/>
                <w:color w:val="000000"/>
                <w:kern w:val="0"/>
                <w:sz w:val="20"/>
                <w:szCs w:val="20"/>
                <w:lang w:val="sr-Cyrl-RS" w:eastAsia="en-GB"/>
                <w14:ligatures w14:val="none"/>
              </w:rPr>
              <w:t>0% управа ЛС су обучене за примену вредновања радне успешности службеника у ЈЛС засновано на компетенцијама</w:t>
            </w:r>
          </w:p>
          <w:p w14:paraId="150D958F" w14:textId="1C2D3DB8" w:rsidR="00F954FF" w:rsidRPr="00226F9D" w:rsidRDefault="00F954FF" w:rsidP="00090884">
            <w:pPr>
              <w:spacing w:after="0" w:line="240" w:lineRule="auto"/>
              <w:jc w:val="both"/>
              <w:rPr>
                <w:rFonts w:ascii="Times New Roman" w:eastAsia="Calibri"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 xml:space="preserve">Више од </w:t>
            </w:r>
            <w:r w:rsidR="009D32B1" w:rsidRPr="00226F9D">
              <w:rPr>
                <w:rFonts w:ascii="Times New Roman" w:eastAsia="Calibri" w:hAnsi="Times New Roman" w:cs="Times New Roman"/>
                <w:color w:val="000000"/>
                <w:kern w:val="0"/>
                <w:sz w:val="20"/>
                <w:szCs w:val="20"/>
                <w:lang w:val="sr-Cyrl-RS" w:eastAsia="en-GB"/>
                <w14:ligatures w14:val="none"/>
              </w:rPr>
              <w:t>6</w:t>
            </w:r>
            <w:r w:rsidR="005466D5" w:rsidRPr="00226F9D">
              <w:rPr>
                <w:rFonts w:ascii="Times New Roman" w:eastAsia="Calibri" w:hAnsi="Times New Roman" w:cs="Times New Roman"/>
                <w:color w:val="000000"/>
                <w:kern w:val="0"/>
                <w:sz w:val="20"/>
                <w:szCs w:val="20"/>
                <w:lang w:val="sr-Cyrl-RS" w:eastAsia="en-GB"/>
                <w14:ligatures w14:val="none"/>
              </w:rPr>
              <w:t xml:space="preserve">0% управа ЛС </w:t>
            </w:r>
            <w:r w:rsidRPr="00226F9D">
              <w:rPr>
                <w:rFonts w:ascii="Times New Roman" w:eastAsia="Calibri" w:hAnsi="Times New Roman" w:cs="Times New Roman"/>
                <w:color w:val="000000"/>
                <w:kern w:val="0"/>
                <w:sz w:val="20"/>
                <w:szCs w:val="20"/>
                <w:lang w:val="sr-Cyrl-RS" w:eastAsia="en-GB"/>
                <w14:ligatures w14:val="none"/>
              </w:rPr>
              <w:t>су обучене за примену вредновања радне успешности службеника у ЈЛС засновано на компетенцијама и за стратешко и оперативно кадровско планирање</w:t>
            </w:r>
          </w:p>
          <w:p w14:paraId="452F4A11" w14:textId="7F444513" w:rsidR="00F954FF" w:rsidRPr="00226F9D" w:rsidRDefault="00F954FF"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 xml:space="preserve">Више од </w:t>
            </w:r>
            <w:r w:rsidR="009D32B1" w:rsidRPr="00226F9D">
              <w:rPr>
                <w:rFonts w:ascii="Times New Roman" w:eastAsia="Calibri" w:hAnsi="Times New Roman" w:cs="Times New Roman"/>
                <w:color w:val="000000"/>
                <w:kern w:val="0"/>
                <w:sz w:val="20"/>
                <w:szCs w:val="20"/>
                <w:lang w:val="sr-Cyrl-RS" w:eastAsia="en-GB"/>
                <w14:ligatures w14:val="none"/>
              </w:rPr>
              <w:t>6</w:t>
            </w:r>
            <w:r w:rsidR="005466D5" w:rsidRPr="00226F9D">
              <w:rPr>
                <w:rFonts w:ascii="Times New Roman" w:eastAsia="Calibri" w:hAnsi="Times New Roman" w:cs="Times New Roman"/>
                <w:color w:val="000000"/>
                <w:kern w:val="0"/>
                <w:sz w:val="20"/>
                <w:szCs w:val="20"/>
                <w:lang w:val="sr-Cyrl-RS" w:eastAsia="en-GB"/>
                <w14:ligatures w14:val="none"/>
              </w:rPr>
              <w:t xml:space="preserve">0% управа ЛС </w:t>
            </w:r>
            <w:r w:rsidRPr="00226F9D">
              <w:rPr>
                <w:rFonts w:ascii="Times New Roman" w:eastAsia="Calibri" w:hAnsi="Times New Roman" w:cs="Times New Roman"/>
                <w:color w:val="000000"/>
                <w:kern w:val="0"/>
                <w:sz w:val="20"/>
                <w:szCs w:val="20"/>
                <w:lang w:val="sr-Cyrl-RS" w:eastAsia="en-GB"/>
                <w14:ligatures w14:val="none"/>
              </w:rPr>
              <w:t>су обучене за примену вредновања радне успешности службеника у ЈЛС засновано на компетенцијама, за стратешко и оперативно кадровско планирање и увођење у посао и интеграцију новозапосл</w:t>
            </w:r>
            <w:r w:rsidR="00A4618B" w:rsidRPr="00226F9D">
              <w:rPr>
                <w:rFonts w:ascii="Times New Roman" w:eastAsia="Calibri" w:hAnsi="Times New Roman" w:cs="Times New Roman"/>
                <w:color w:val="000000"/>
                <w:kern w:val="0"/>
                <w:sz w:val="20"/>
                <w:szCs w:val="20"/>
                <w:lang w:val="sr-Cyrl-RS" w:eastAsia="en-GB"/>
                <w14:ligatures w14:val="none"/>
              </w:rPr>
              <w:t>е</w:t>
            </w:r>
            <w:r w:rsidRPr="00226F9D">
              <w:rPr>
                <w:rFonts w:ascii="Times New Roman" w:eastAsia="Calibri" w:hAnsi="Times New Roman" w:cs="Times New Roman"/>
                <w:color w:val="000000"/>
                <w:kern w:val="0"/>
                <w:sz w:val="20"/>
                <w:szCs w:val="20"/>
                <w:lang w:val="sr-Cyrl-RS" w:eastAsia="en-GB"/>
                <w14:ligatures w14:val="none"/>
              </w:rPr>
              <w:t>них</w:t>
            </w:r>
          </w:p>
          <w:p w14:paraId="42395414" w14:textId="165AB92A" w:rsidR="00F954FF" w:rsidRPr="00226F9D" w:rsidRDefault="00F954FF"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 xml:space="preserve">Више од </w:t>
            </w:r>
            <w:r w:rsidR="009D32B1" w:rsidRPr="00226F9D">
              <w:rPr>
                <w:rFonts w:ascii="Times New Roman" w:eastAsia="Calibri" w:hAnsi="Times New Roman" w:cs="Times New Roman"/>
                <w:color w:val="000000"/>
                <w:kern w:val="0"/>
                <w:sz w:val="20"/>
                <w:szCs w:val="20"/>
                <w:lang w:val="sr-Cyrl-RS" w:eastAsia="en-GB"/>
                <w14:ligatures w14:val="none"/>
              </w:rPr>
              <w:t>6</w:t>
            </w:r>
            <w:r w:rsidR="005466D5" w:rsidRPr="00226F9D">
              <w:rPr>
                <w:rFonts w:ascii="Times New Roman" w:eastAsia="Calibri" w:hAnsi="Times New Roman" w:cs="Times New Roman"/>
                <w:color w:val="000000"/>
                <w:kern w:val="0"/>
                <w:sz w:val="20"/>
                <w:szCs w:val="20"/>
                <w:lang w:val="sr-Cyrl-RS" w:eastAsia="en-GB"/>
                <w14:ligatures w14:val="none"/>
              </w:rPr>
              <w:t xml:space="preserve">0% управа ЛС </w:t>
            </w:r>
            <w:r w:rsidRPr="00226F9D">
              <w:rPr>
                <w:rFonts w:ascii="Times New Roman" w:eastAsia="Calibri" w:hAnsi="Times New Roman" w:cs="Times New Roman"/>
                <w:color w:val="000000"/>
                <w:kern w:val="0"/>
                <w:sz w:val="20"/>
                <w:szCs w:val="20"/>
                <w:lang w:val="sr-Cyrl-RS" w:eastAsia="en-GB"/>
                <w14:ligatures w14:val="none"/>
              </w:rPr>
              <w:t>су обучене за примену вредновања радне успешности службеника у ЈЛС засновано на компетенцијама, за стратешко и оперативно кадровско планирање, увођење у посао и интеграцију новозапосл</w:t>
            </w:r>
            <w:r w:rsidR="00FB26C3" w:rsidRPr="00226F9D">
              <w:rPr>
                <w:rFonts w:ascii="Times New Roman" w:eastAsia="Calibri" w:hAnsi="Times New Roman" w:cs="Times New Roman"/>
                <w:color w:val="000000"/>
                <w:kern w:val="0"/>
                <w:sz w:val="20"/>
                <w:szCs w:val="20"/>
                <w:lang w:val="sr-Cyrl-RS" w:eastAsia="en-GB"/>
                <w14:ligatures w14:val="none"/>
              </w:rPr>
              <w:t>е</w:t>
            </w:r>
            <w:r w:rsidRPr="00226F9D">
              <w:rPr>
                <w:rFonts w:ascii="Times New Roman" w:eastAsia="Calibri" w:hAnsi="Times New Roman" w:cs="Times New Roman"/>
                <w:color w:val="000000"/>
                <w:kern w:val="0"/>
                <w:sz w:val="20"/>
                <w:szCs w:val="20"/>
                <w:lang w:val="sr-Cyrl-RS" w:eastAsia="en-GB"/>
                <w14:ligatures w14:val="none"/>
              </w:rPr>
              <w:t>них и примену нових прописа о платама службеника и намештеника у ЈЛС,</w:t>
            </w:r>
          </w:p>
          <w:p w14:paraId="2C5B5E4E" w14:textId="541D27BD" w:rsidR="00F954FF" w:rsidRPr="00226F9D" w:rsidRDefault="00F954FF" w:rsidP="00090884">
            <w:pPr>
              <w:spacing w:after="0" w:line="240" w:lineRule="auto"/>
              <w:jc w:val="both"/>
              <w:rPr>
                <w:rFonts w:ascii="Times New Roman" w:eastAsia="Yu Mincho" w:hAnsi="Times New Roman" w:cs="Times New Roman"/>
                <w:color w:val="000000"/>
                <w:kern w:val="0"/>
                <w:sz w:val="20"/>
                <w:szCs w:val="20"/>
                <w:lang w:val="sr-Cyrl-RS" w:eastAsia="en-GB"/>
                <w14:ligatures w14:val="none"/>
              </w:rPr>
            </w:pPr>
            <w:r w:rsidRPr="00226F9D">
              <w:rPr>
                <w:rFonts w:ascii="Times New Roman" w:eastAsia="Calibri" w:hAnsi="Times New Roman" w:cs="Times New Roman"/>
                <w:color w:val="000000"/>
                <w:kern w:val="0"/>
                <w:sz w:val="20"/>
                <w:szCs w:val="20"/>
                <w:lang w:val="sr-Cyrl-RS" w:eastAsia="en-GB"/>
                <w14:ligatures w14:val="none"/>
              </w:rPr>
              <w:t xml:space="preserve">Више од </w:t>
            </w:r>
            <w:r w:rsidR="009D32B1" w:rsidRPr="00226F9D">
              <w:rPr>
                <w:rFonts w:ascii="Times New Roman" w:eastAsia="Calibri" w:hAnsi="Times New Roman" w:cs="Times New Roman"/>
                <w:color w:val="000000"/>
                <w:kern w:val="0"/>
                <w:sz w:val="20"/>
                <w:szCs w:val="20"/>
                <w:lang w:val="sr-Cyrl-RS" w:eastAsia="en-GB"/>
                <w14:ligatures w14:val="none"/>
              </w:rPr>
              <w:t>6</w:t>
            </w:r>
            <w:r w:rsidRPr="00226F9D">
              <w:rPr>
                <w:rFonts w:ascii="Times New Roman" w:eastAsia="Calibri" w:hAnsi="Times New Roman" w:cs="Times New Roman"/>
                <w:color w:val="000000"/>
                <w:kern w:val="0"/>
                <w:sz w:val="20"/>
                <w:szCs w:val="20"/>
                <w:lang w:val="sr-Cyrl-RS" w:eastAsia="en-GB"/>
                <w14:ligatures w14:val="none"/>
              </w:rPr>
              <w:t>0% управа ЈЛС су обучене за примену вредновања радне успешности службеника у ЈЛС засновано на компетенцијама, за стратешко и оперативно кадровско планирање, увођење у посао и интеграцију новозапосл</w:t>
            </w:r>
            <w:r w:rsidR="00FB26C3" w:rsidRPr="00226F9D">
              <w:rPr>
                <w:rFonts w:ascii="Times New Roman" w:eastAsia="Calibri" w:hAnsi="Times New Roman" w:cs="Times New Roman"/>
                <w:color w:val="000000"/>
                <w:kern w:val="0"/>
                <w:sz w:val="20"/>
                <w:szCs w:val="20"/>
                <w:lang w:val="sr-Cyrl-RS" w:eastAsia="en-GB"/>
                <w14:ligatures w14:val="none"/>
              </w:rPr>
              <w:t>е</w:t>
            </w:r>
            <w:r w:rsidRPr="00226F9D">
              <w:rPr>
                <w:rFonts w:ascii="Times New Roman" w:eastAsia="Calibri" w:hAnsi="Times New Roman" w:cs="Times New Roman"/>
                <w:color w:val="000000"/>
                <w:kern w:val="0"/>
                <w:sz w:val="20"/>
                <w:szCs w:val="20"/>
                <w:lang w:val="sr-Cyrl-RS" w:eastAsia="en-GB"/>
                <w14:ligatures w14:val="none"/>
              </w:rPr>
              <w:t>них, примену нових прописа о платама службеника и намештеника у ЈЛС и стручно усавршавање службеника у ЈЛС.</w:t>
            </w:r>
          </w:p>
        </w:tc>
      </w:tr>
      <w:tr w:rsidR="007A7449" w:rsidRPr="00226F9D" w14:paraId="300F2981" w14:textId="77777777" w:rsidTr="0EB8FC02">
        <w:trPr>
          <w:trHeight w:val="267"/>
          <w:jc w:val="center"/>
        </w:trPr>
        <w:tc>
          <w:tcPr>
            <w:tcW w:w="3541" w:type="dxa"/>
            <w:vMerge w:val="restart"/>
            <w:shd w:val="clear" w:color="auto" w:fill="FFC000"/>
            <w:vAlign w:val="center"/>
          </w:tcPr>
          <w:p w14:paraId="7FD93452" w14:textId="77777777" w:rsidR="00F954FF" w:rsidRPr="00226F9D" w:rsidRDefault="00F954FF" w:rsidP="004A0952">
            <w:pPr>
              <w:spacing w:after="0" w:line="240" w:lineRule="auto"/>
              <w:rPr>
                <w:rFonts w:ascii="Times New Roman" w:eastAsia="Yu Mincho" w:hAnsi="Times New Roman" w:cs="Times New Roman"/>
                <w:b/>
                <w:bCs/>
                <w:kern w:val="0"/>
                <w:sz w:val="20"/>
                <w:szCs w:val="20"/>
                <w:lang w:val="sr-Cyrl-RS" w:eastAsia="en-GB"/>
                <w14:ligatures w14:val="none"/>
              </w:rPr>
            </w:pPr>
            <w:r w:rsidRPr="00226F9D">
              <w:rPr>
                <w:rFonts w:ascii="Times New Roman" w:eastAsia="Yu Mincho" w:hAnsi="Times New Roman" w:cs="Times New Roman"/>
                <w:b/>
                <w:bCs/>
                <w:kern w:val="0"/>
                <w:sz w:val="20"/>
                <w:szCs w:val="20"/>
                <w:lang w:val="sr-Cyrl-RS" w:eastAsia="en-GB"/>
                <w14:ligatures w14:val="none"/>
              </w:rPr>
              <w:t>Подаци о полазној вредности и години кад је измерена, као и о тренду у прошлости</w:t>
            </w:r>
          </w:p>
        </w:tc>
        <w:tc>
          <w:tcPr>
            <w:tcW w:w="8504" w:type="dxa"/>
            <w:gridSpan w:val="9"/>
            <w:tcBorders>
              <w:bottom w:val="single" w:sz="4" w:space="0" w:color="auto"/>
            </w:tcBorders>
            <w:shd w:val="clear" w:color="auto" w:fill="FFFFFF" w:themeFill="background1"/>
            <w:vAlign w:val="center"/>
          </w:tcPr>
          <w:p w14:paraId="4AB9285F" w14:textId="77777777" w:rsidR="00F954FF" w:rsidRPr="00226F9D" w:rsidRDefault="00F954FF"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Тренд у прошлости</w:t>
            </w:r>
          </w:p>
        </w:tc>
        <w:tc>
          <w:tcPr>
            <w:tcW w:w="2517" w:type="dxa"/>
            <w:gridSpan w:val="2"/>
            <w:shd w:val="clear" w:color="auto" w:fill="FFFFFF" w:themeFill="background1"/>
            <w:vAlign w:val="center"/>
          </w:tcPr>
          <w:p w14:paraId="3C4EA4A5" w14:textId="77777777" w:rsidR="00F954FF" w:rsidRPr="00226F9D" w:rsidRDefault="00F954FF"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Полазна вредност</w:t>
            </w:r>
          </w:p>
        </w:tc>
      </w:tr>
      <w:tr w:rsidR="0036769C" w:rsidRPr="00226F9D" w14:paraId="4765AE54" w14:textId="77777777" w:rsidTr="0EB8FC02">
        <w:trPr>
          <w:trHeight w:val="137"/>
          <w:jc w:val="center"/>
        </w:trPr>
        <w:tc>
          <w:tcPr>
            <w:tcW w:w="3541" w:type="dxa"/>
            <w:vMerge/>
            <w:vAlign w:val="center"/>
          </w:tcPr>
          <w:p w14:paraId="50B8125A"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p>
        </w:tc>
        <w:tc>
          <w:tcPr>
            <w:tcW w:w="234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4F464"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eastAsia="en-GB"/>
                <w14:ligatures w14:val="none"/>
              </w:rPr>
            </w:pPr>
            <w:r w:rsidRPr="00226F9D">
              <w:rPr>
                <w:rFonts w:ascii="Times New Roman" w:eastAsia="Yu Mincho" w:hAnsi="Times New Roman" w:cs="Times New Roman"/>
                <w:kern w:val="0"/>
                <w:sz w:val="20"/>
                <w:szCs w:val="20"/>
                <w:lang w:eastAsia="en-GB"/>
                <w14:ligatures w14:val="none"/>
              </w:rPr>
              <w:t>2022</w:t>
            </w:r>
          </w:p>
        </w:tc>
        <w:tc>
          <w:tcPr>
            <w:tcW w:w="346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0772C"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23</w:t>
            </w:r>
            <w:r w:rsidRPr="00226F9D">
              <w:rPr>
                <w:rFonts w:ascii="Times New Roman" w:eastAsia="Yu Mincho" w:hAnsi="Times New Roman" w:cs="Times New Roman"/>
                <w:kern w:val="0"/>
                <w:sz w:val="20"/>
                <w:szCs w:val="20"/>
                <w:lang w:val="sr-Cyrl-RS" w:eastAsia="en-GB"/>
                <w14:ligatures w14:val="none"/>
              </w:rPr>
              <w:t>.</w:t>
            </w:r>
          </w:p>
        </w:tc>
        <w:tc>
          <w:tcPr>
            <w:tcW w:w="269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89A78"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24</w:t>
            </w:r>
            <w:r w:rsidRPr="00226F9D">
              <w:rPr>
                <w:rFonts w:ascii="Times New Roman" w:eastAsia="Yu Mincho" w:hAnsi="Times New Roman" w:cs="Times New Roman"/>
                <w:kern w:val="0"/>
                <w:sz w:val="20"/>
                <w:szCs w:val="20"/>
                <w:lang w:val="sr-Cyrl-RS" w:eastAsia="en-GB"/>
                <w14:ligatures w14:val="none"/>
              </w:rPr>
              <w:t>.</w:t>
            </w:r>
          </w:p>
        </w:tc>
        <w:tc>
          <w:tcPr>
            <w:tcW w:w="2517" w:type="dxa"/>
            <w:gridSpan w:val="2"/>
            <w:tcBorders>
              <w:left w:val="single" w:sz="4" w:space="0" w:color="auto"/>
            </w:tcBorders>
            <w:shd w:val="clear" w:color="auto" w:fill="FFFFFF" w:themeFill="background1"/>
            <w:vAlign w:val="center"/>
          </w:tcPr>
          <w:p w14:paraId="4FBAAC02"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eastAsia="en-GB"/>
                <w14:ligatures w14:val="none"/>
              </w:rPr>
              <w:t>5</w:t>
            </w:r>
            <w:r w:rsidRPr="00226F9D">
              <w:rPr>
                <w:rFonts w:ascii="Times New Roman" w:eastAsia="Yu Mincho" w:hAnsi="Times New Roman" w:cs="Times New Roman"/>
                <w:kern w:val="0"/>
                <w:sz w:val="20"/>
                <w:szCs w:val="20"/>
                <w:lang w:val="sr-Cyrl-RS" w:eastAsia="en-GB"/>
                <w14:ligatures w14:val="none"/>
              </w:rPr>
              <w:t>.</w:t>
            </w:r>
          </w:p>
        </w:tc>
      </w:tr>
      <w:tr w:rsidR="0036769C" w:rsidRPr="00226F9D" w14:paraId="35E490A8" w14:textId="77777777" w:rsidTr="0EB8FC02">
        <w:trPr>
          <w:trHeight w:val="326"/>
          <w:jc w:val="center"/>
        </w:trPr>
        <w:tc>
          <w:tcPr>
            <w:tcW w:w="3541" w:type="dxa"/>
            <w:vMerge/>
            <w:vAlign w:val="center"/>
          </w:tcPr>
          <w:p w14:paraId="22DDB20C"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p>
        </w:tc>
        <w:tc>
          <w:tcPr>
            <w:tcW w:w="2343" w:type="dxa"/>
            <w:gridSpan w:val="2"/>
            <w:tcBorders>
              <w:top w:val="single" w:sz="4" w:space="0" w:color="auto"/>
            </w:tcBorders>
            <w:shd w:val="clear" w:color="auto" w:fill="FFFFFF" w:themeFill="background1"/>
            <w:vAlign w:val="center"/>
          </w:tcPr>
          <w:p w14:paraId="2E042E8F" w14:textId="77777777" w:rsidR="00F954FF" w:rsidRPr="00226F9D" w:rsidRDefault="00F954FF"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0</w:t>
            </w:r>
          </w:p>
        </w:tc>
        <w:tc>
          <w:tcPr>
            <w:tcW w:w="3467" w:type="dxa"/>
            <w:gridSpan w:val="4"/>
            <w:tcBorders>
              <w:top w:val="single" w:sz="4" w:space="0" w:color="auto"/>
            </w:tcBorders>
            <w:shd w:val="clear" w:color="auto" w:fill="FFFFFF" w:themeFill="background1"/>
            <w:vAlign w:val="center"/>
          </w:tcPr>
          <w:p w14:paraId="717AE044" w14:textId="77777777" w:rsidR="00F954FF" w:rsidRPr="00226F9D" w:rsidRDefault="00F954FF"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0</w:t>
            </w:r>
          </w:p>
        </w:tc>
        <w:tc>
          <w:tcPr>
            <w:tcW w:w="2694" w:type="dxa"/>
            <w:gridSpan w:val="3"/>
            <w:tcBorders>
              <w:top w:val="single" w:sz="4" w:space="0" w:color="auto"/>
            </w:tcBorders>
            <w:shd w:val="clear" w:color="auto" w:fill="FFFFFF" w:themeFill="background1"/>
            <w:vAlign w:val="center"/>
          </w:tcPr>
          <w:p w14:paraId="11FA7303" w14:textId="77777777" w:rsidR="00F954FF" w:rsidRPr="00226F9D" w:rsidRDefault="00F954FF"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0</w:t>
            </w:r>
          </w:p>
        </w:tc>
        <w:tc>
          <w:tcPr>
            <w:tcW w:w="2517" w:type="dxa"/>
            <w:gridSpan w:val="2"/>
            <w:shd w:val="clear" w:color="auto" w:fill="FFFFFF" w:themeFill="background1"/>
            <w:vAlign w:val="center"/>
          </w:tcPr>
          <w:p w14:paraId="501AF98E" w14:textId="77777777" w:rsidR="00F954FF" w:rsidRPr="00226F9D" w:rsidRDefault="00F954FF"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0</w:t>
            </w:r>
          </w:p>
        </w:tc>
      </w:tr>
      <w:tr w:rsidR="00EB054F" w:rsidRPr="00226F9D" w14:paraId="67E52444" w14:textId="77777777" w:rsidTr="0EB8FC02">
        <w:trPr>
          <w:trHeight w:val="276"/>
          <w:jc w:val="center"/>
        </w:trPr>
        <w:tc>
          <w:tcPr>
            <w:tcW w:w="3541" w:type="dxa"/>
            <w:vMerge w:val="restart"/>
            <w:shd w:val="clear" w:color="auto" w:fill="FFC000"/>
            <w:vAlign w:val="center"/>
          </w:tcPr>
          <w:p w14:paraId="1C8E4F3B"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Подаци о циљним вредностима</w:t>
            </w:r>
          </w:p>
        </w:tc>
        <w:tc>
          <w:tcPr>
            <w:tcW w:w="2343" w:type="dxa"/>
            <w:gridSpan w:val="2"/>
            <w:shd w:val="clear" w:color="auto" w:fill="FFFFFF" w:themeFill="background1"/>
            <w:vAlign w:val="center"/>
          </w:tcPr>
          <w:p w14:paraId="1A8247E1"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eastAsia="en-GB"/>
                <w14:ligatures w14:val="none"/>
              </w:rPr>
            </w:pPr>
            <w:r w:rsidRPr="00226F9D">
              <w:rPr>
                <w:rFonts w:ascii="Times New Roman" w:eastAsia="Yu Mincho" w:hAnsi="Times New Roman" w:cs="Times New Roman"/>
                <w:kern w:val="0"/>
                <w:sz w:val="20"/>
                <w:szCs w:val="20"/>
                <w:lang w:eastAsia="en-GB"/>
                <w14:ligatures w14:val="none"/>
              </w:rPr>
              <w:t>2026</w:t>
            </w:r>
          </w:p>
        </w:tc>
        <w:tc>
          <w:tcPr>
            <w:tcW w:w="3467" w:type="dxa"/>
            <w:gridSpan w:val="4"/>
            <w:shd w:val="clear" w:color="auto" w:fill="FFFFFF" w:themeFill="background1"/>
            <w:vAlign w:val="center"/>
          </w:tcPr>
          <w:p w14:paraId="130C341E"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eastAsia="en-GB"/>
                <w14:ligatures w14:val="none"/>
              </w:rPr>
              <w:t>2027</w:t>
            </w:r>
            <w:r w:rsidRPr="00226F9D">
              <w:rPr>
                <w:rFonts w:ascii="Times New Roman" w:eastAsia="Yu Mincho" w:hAnsi="Times New Roman" w:cs="Times New Roman"/>
                <w:kern w:val="0"/>
                <w:sz w:val="20"/>
                <w:szCs w:val="20"/>
                <w:lang w:val="sr-Cyrl-RS" w:eastAsia="en-GB"/>
                <w14:ligatures w14:val="none"/>
              </w:rPr>
              <w:t>.</w:t>
            </w:r>
          </w:p>
        </w:tc>
        <w:tc>
          <w:tcPr>
            <w:tcW w:w="1214" w:type="dxa"/>
            <w:gridSpan w:val="2"/>
            <w:shd w:val="clear" w:color="auto" w:fill="FFFFFF" w:themeFill="background1"/>
            <w:vAlign w:val="center"/>
          </w:tcPr>
          <w:p w14:paraId="56383146"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202</w:t>
            </w:r>
            <w:r w:rsidRPr="00226F9D">
              <w:rPr>
                <w:rFonts w:ascii="Times New Roman" w:eastAsia="Yu Mincho" w:hAnsi="Times New Roman" w:cs="Times New Roman"/>
                <w:kern w:val="0"/>
                <w:sz w:val="20"/>
                <w:szCs w:val="20"/>
                <w:lang w:eastAsia="en-GB"/>
                <w14:ligatures w14:val="none"/>
              </w:rPr>
              <w:t>8</w:t>
            </w:r>
            <w:r w:rsidRPr="00226F9D">
              <w:rPr>
                <w:rFonts w:ascii="Times New Roman" w:eastAsia="Yu Mincho" w:hAnsi="Times New Roman" w:cs="Times New Roman"/>
                <w:kern w:val="0"/>
                <w:sz w:val="20"/>
                <w:szCs w:val="20"/>
                <w:lang w:val="sr-Cyrl-RS" w:eastAsia="en-GB"/>
                <w14:ligatures w14:val="none"/>
              </w:rPr>
              <w:t>.</w:t>
            </w:r>
          </w:p>
        </w:tc>
        <w:tc>
          <w:tcPr>
            <w:tcW w:w="1480" w:type="dxa"/>
            <w:shd w:val="clear" w:color="auto" w:fill="FFFFFF" w:themeFill="background1"/>
            <w:vAlign w:val="center"/>
          </w:tcPr>
          <w:p w14:paraId="44C7241E"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20</w:t>
            </w:r>
            <w:r w:rsidRPr="00226F9D">
              <w:rPr>
                <w:rFonts w:ascii="Times New Roman" w:eastAsia="Yu Mincho" w:hAnsi="Times New Roman" w:cs="Times New Roman"/>
                <w:kern w:val="0"/>
                <w:sz w:val="20"/>
                <w:szCs w:val="20"/>
                <w:lang w:eastAsia="en-GB"/>
                <w14:ligatures w14:val="none"/>
              </w:rPr>
              <w:t>29</w:t>
            </w:r>
            <w:r w:rsidRPr="00226F9D">
              <w:rPr>
                <w:rFonts w:ascii="Times New Roman" w:eastAsia="Yu Mincho" w:hAnsi="Times New Roman" w:cs="Times New Roman"/>
                <w:kern w:val="0"/>
                <w:sz w:val="20"/>
                <w:szCs w:val="20"/>
                <w:lang w:val="sr-Cyrl-RS" w:eastAsia="en-GB"/>
                <w14:ligatures w14:val="none"/>
              </w:rPr>
              <w:t>.</w:t>
            </w:r>
          </w:p>
        </w:tc>
        <w:tc>
          <w:tcPr>
            <w:tcW w:w="2517" w:type="dxa"/>
            <w:gridSpan w:val="2"/>
            <w:shd w:val="clear" w:color="auto" w:fill="FFFFFF" w:themeFill="background1"/>
            <w:vAlign w:val="center"/>
          </w:tcPr>
          <w:p w14:paraId="26C17D00" w14:textId="70F4B301" w:rsidR="00F954FF" w:rsidRPr="00226F9D" w:rsidRDefault="00F954FF" w:rsidP="00090884">
            <w:pPr>
              <w:spacing w:after="0" w:line="240" w:lineRule="auto"/>
              <w:jc w:val="both"/>
              <w:rPr>
                <w:rFonts w:ascii="Times New Roman" w:eastAsia="Yu Mincho" w:hAnsi="Times New Roman" w:cs="Times New Roman"/>
                <w:kern w:val="0"/>
                <w:sz w:val="20"/>
                <w:szCs w:val="20"/>
                <w:lang w:eastAsia="en-GB"/>
                <w14:ligatures w14:val="none"/>
              </w:rPr>
            </w:pPr>
            <w:r w:rsidRPr="00226F9D">
              <w:rPr>
                <w:rFonts w:ascii="Times New Roman" w:eastAsia="Yu Mincho" w:hAnsi="Times New Roman" w:cs="Times New Roman"/>
                <w:kern w:val="0"/>
                <w:sz w:val="20"/>
                <w:szCs w:val="20"/>
                <w:lang w:eastAsia="en-GB"/>
                <w14:ligatures w14:val="none"/>
              </w:rPr>
              <w:t>2030</w:t>
            </w:r>
            <w:r w:rsidR="005765C1" w:rsidRPr="00226F9D">
              <w:rPr>
                <w:rFonts w:ascii="Times New Roman" w:eastAsia="Yu Mincho" w:hAnsi="Times New Roman" w:cs="Times New Roman"/>
                <w:kern w:val="0"/>
                <w:sz w:val="20"/>
                <w:szCs w:val="20"/>
                <w:lang w:eastAsia="en-GB"/>
                <w14:ligatures w14:val="none"/>
              </w:rPr>
              <w:t>.</w:t>
            </w:r>
          </w:p>
        </w:tc>
      </w:tr>
      <w:tr w:rsidR="00EB054F" w:rsidRPr="00226F9D" w14:paraId="58E3696A" w14:textId="77777777" w:rsidTr="0EB8FC02">
        <w:trPr>
          <w:trHeight w:val="161"/>
          <w:jc w:val="center"/>
        </w:trPr>
        <w:tc>
          <w:tcPr>
            <w:tcW w:w="3541" w:type="dxa"/>
            <w:vMerge/>
            <w:vAlign w:val="center"/>
          </w:tcPr>
          <w:p w14:paraId="5CAD388A"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p>
        </w:tc>
        <w:tc>
          <w:tcPr>
            <w:tcW w:w="2343" w:type="dxa"/>
            <w:gridSpan w:val="2"/>
            <w:shd w:val="clear" w:color="auto" w:fill="FFFFFF" w:themeFill="background1"/>
            <w:vAlign w:val="center"/>
          </w:tcPr>
          <w:p w14:paraId="7C5EFF4A" w14:textId="77777777" w:rsidR="00F954FF" w:rsidRPr="00226F9D" w:rsidRDefault="00F954FF"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1</w:t>
            </w:r>
          </w:p>
        </w:tc>
        <w:tc>
          <w:tcPr>
            <w:tcW w:w="3467" w:type="dxa"/>
            <w:gridSpan w:val="4"/>
            <w:shd w:val="clear" w:color="auto" w:fill="FFFFFF" w:themeFill="background1"/>
            <w:vAlign w:val="center"/>
          </w:tcPr>
          <w:p w14:paraId="6374AF12" w14:textId="6F3E5D42" w:rsidR="00F954FF" w:rsidRPr="00226F9D" w:rsidRDefault="005765C1" w:rsidP="00090884">
            <w:pPr>
              <w:spacing w:after="0" w:line="240" w:lineRule="auto"/>
              <w:jc w:val="both"/>
              <w:rPr>
                <w:rFonts w:ascii="Times New Roman" w:eastAsia="Calibri" w:hAnsi="Times New Roman" w:cs="Times New Roman"/>
                <w:kern w:val="0"/>
                <w:sz w:val="20"/>
                <w:szCs w:val="20"/>
                <w:lang w:val="sr-Latn-RS" w:eastAsia="en-GB"/>
                <w14:ligatures w14:val="none"/>
              </w:rPr>
            </w:pPr>
            <w:r w:rsidRPr="00226F9D">
              <w:rPr>
                <w:rFonts w:ascii="Times New Roman" w:eastAsia="Calibri" w:hAnsi="Times New Roman" w:cs="Times New Roman"/>
                <w:iCs/>
                <w:kern w:val="0"/>
                <w:sz w:val="20"/>
                <w:szCs w:val="20"/>
                <w:lang w:val="sr-Latn-RS" w:eastAsia="en-GB"/>
                <w14:ligatures w14:val="none"/>
              </w:rPr>
              <w:t>2</w:t>
            </w:r>
          </w:p>
        </w:tc>
        <w:tc>
          <w:tcPr>
            <w:tcW w:w="1214" w:type="dxa"/>
            <w:gridSpan w:val="2"/>
            <w:shd w:val="clear" w:color="auto" w:fill="FFFFFF" w:themeFill="background1"/>
            <w:vAlign w:val="center"/>
          </w:tcPr>
          <w:p w14:paraId="0E6D22AE" w14:textId="1D723452" w:rsidR="00F954FF" w:rsidRPr="00226F9D" w:rsidRDefault="005765C1" w:rsidP="00090884">
            <w:pPr>
              <w:spacing w:after="0" w:line="240" w:lineRule="auto"/>
              <w:jc w:val="both"/>
              <w:rPr>
                <w:rFonts w:ascii="Times New Roman" w:eastAsia="Calibri" w:hAnsi="Times New Roman" w:cs="Times New Roman"/>
                <w:kern w:val="0"/>
                <w:sz w:val="20"/>
                <w:szCs w:val="20"/>
                <w:lang w:val="sr-Latn-RS" w:eastAsia="en-GB"/>
                <w14:ligatures w14:val="none"/>
              </w:rPr>
            </w:pPr>
            <w:r w:rsidRPr="00226F9D">
              <w:rPr>
                <w:rFonts w:ascii="Times New Roman" w:eastAsia="Calibri" w:hAnsi="Times New Roman" w:cs="Times New Roman"/>
                <w:iCs/>
                <w:kern w:val="0"/>
                <w:sz w:val="20"/>
                <w:szCs w:val="20"/>
                <w:lang w:val="sr-Latn-RS" w:eastAsia="en-GB"/>
                <w14:ligatures w14:val="none"/>
              </w:rPr>
              <w:t>3</w:t>
            </w:r>
          </w:p>
        </w:tc>
        <w:tc>
          <w:tcPr>
            <w:tcW w:w="1480" w:type="dxa"/>
            <w:shd w:val="clear" w:color="auto" w:fill="FFFFFF" w:themeFill="background1"/>
            <w:vAlign w:val="center"/>
          </w:tcPr>
          <w:p w14:paraId="0BD81839" w14:textId="65A7C9C7" w:rsidR="00F954FF" w:rsidRPr="00226F9D" w:rsidRDefault="005765C1" w:rsidP="00090884">
            <w:pPr>
              <w:spacing w:after="0" w:line="240" w:lineRule="auto"/>
              <w:jc w:val="both"/>
              <w:rPr>
                <w:rFonts w:ascii="Times New Roman" w:eastAsia="Calibri" w:hAnsi="Times New Roman" w:cs="Times New Roman"/>
                <w:kern w:val="0"/>
                <w:sz w:val="20"/>
                <w:szCs w:val="20"/>
                <w:lang w:val="sr-Latn-RS" w:eastAsia="en-GB"/>
                <w14:ligatures w14:val="none"/>
              </w:rPr>
            </w:pPr>
            <w:r w:rsidRPr="00226F9D">
              <w:rPr>
                <w:rFonts w:ascii="Times New Roman" w:eastAsia="Calibri" w:hAnsi="Times New Roman" w:cs="Times New Roman"/>
                <w:iCs/>
                <w:kern w:val="0"/>
                <w:sz w:val="20"/>
                <w:szCs w:val="20"/>
                <w:lang w:val="sr-Latn-RS" w:eastAsia="en-GB"/>
                <w14:ligatures w14:val="none"/>
              </w:rPr>
              <w:t>4</w:t>
            </w:r>
          </w:p>
        </w:tc>
        <w:tc>
          <w:tcPr>
            <w:tcW w:w="2517" w:type="dxa"/>
            <w:gridSpan w:val="2"/>
            <w:shd w:val="clear" w:color="auto" w:fill="FFFFFF" w:themeFill="background1"/>
            <w:vAlign w:val="center"/>
          </w:tcPr>
          <w:p w14:paraId="7C260038" w14:textId="77777777" w:rsidR="00F954FF" w:rsidRPr="00226F9D" w:rsidRDefault="00F954FF" w:rsidP="00090884">
            <w:pPr>
              <w:spacing w:after="0" w:line="240" w:lineRule="auto"/>
              <w:jc w:val="both"/>
              <w:rPr>
                <w:rFonts w:ascii="Times New Roman" w:eastAsia="Calibri" w:hAnsi="Times New Roman" w:cs="Times New Roman"/>
                <w:iCs/>
                <w:kern w:val="0"/>
                <w:sz w:val="20"/>
                <w:szCs w:val="20"/>
                <w:lang w:val="sr-Cyrl-RS" w:eastAsia="en-GB"/>
                <w14:ligatures w14:val="none"/>
              </w:rPr>
            </w:pPr>
            <w:r w:rsidRPr="00226F9D">
              <w:rPr>
                <w:rFonts w:ascii="Times New Roman" w:eastAsia="Calibri" w:hAnsi="Times New Roman" w:cs="Times New Roman"/>
                <w:iCs/>
                <w:kern w:val="0"/>
                <w:sz w:val="20"/>
                <w:szCs w:val="20"/>
                <w:lang w:val="sr-Cyrl-RS" w:eastAsia="en-GB"/>
                <w14:ligatures w14:val="none"/>
              </w:rPr>
              <w:t>5</w:t>
            </w:r>
          </w:p>
        </w:tc>
      </w:tr>
      <w:tr w:rsidR="00F954FF" w:rsidRPr="00226F9D" w14:paraId="7EEFEF83" w14:textId="77777777" w:rsidTr="0EB8FC02">
        <w:trPr>
          <w:trHeight w:val="161"/>
          <w:jc w:val="center"/>
        </w:trPr>
        <w:tc>
          <w:tcPr>
            <w:tcW w:w="3541" w:type="dxa"/>
            <w:shd w:val="clear" w:color="auto" w:fill="FFC000"/>
            <w:vAlign w:val="center"/>
          </w:tcPr>
          <w:p w14:paraId="274FF820" w14:textId="77777777" w:rsidR="00F954FF" w:rsidRPr="00226F9D" w:rsidRDefault="00F954FF" w:rsidP="004A0952">
            <w:pPr>
              <w:spacing w:after="0" w:line="240" w:lineRule="auto"/>
              <w:rPr>
                <w:rFonts w:ascii="Times New Roman" w:eastAsia="Calibri" w:hAnsi="Times New Roman" w:cs="Times New Roman"/>
                <w:b/>
                <w:bCs/>
                <w:kern w:val="0"/>
                <w:sz w:val="20"/>
                <w:szCs w:val="20"/>
                <w:lang w:val="sr-Cyrl-RS" w:eastAsia="en-GB"/>
                <w14:ligatures w14:val="none"/>
              </w:rPr>
            </w:pPr>
            <w:r w:rsidRPr="00226F9D">
              <w:rPr>
                <w:rFonts w:ascii="Times New Roman" w:eastAsia="Calibri" w:hAnsi="Times New Roman" w:cs="Times New Roman"/>
                <w:b/>
                <w:bCs/>
                <w:kern w:val="0"/>
                <w:sz w:val="20"/>
                <w:szCs w:val="20"/>
                <w:lang w:val="sr-Cyrl-RS" w:eastAsia="en-GB"/>
                <w14:ligatures w14:val="none"/>
              </w:rPr>
              <w:t>Процена успешности</w:t>
            </w:r>
          </w:p>
        </w:tc>
        <w:tc>
          <w:tcPr>
            <w:tcW w:w="11021" w:type="dxa"/>
            <w:gridSpan w:val="11"/>
            <w:shd w:val="clear" w:color="auto" w:fill="FFFFFF" w:themeFill="background1"/>
            <w:vAlign w:val="center"/>
          </w:tcPr>
          <w:p w14:paraId="41EEBDB0" w14:textId="77777777" w:rsidR="00F954FF" w:rsidRPr="00226F9D" w:rsidRDefault="00F954FF" w:rsidP="0009088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Прихватљиво је одступање од једне оцене на планираној скали.</w:t>
            </w:r>
          </w:p>
        </w:tc>
      </w:tr>
    </w:tbl>
    <w:p w14:paraId="0A92D194" w14:textId="32E43E7D" w:rsidR="00001C5C" w:rsidRPr="00226F9D" w:rsidRDefault="004D388A" w:rsidP="008E4D40">
      <w:pPr>
        <w:pStyle w:val="Heading2"/>
        <w:rPr>
          <w:rFonts w:ascii="Times New Roman" w:eastAsia="Yu Gothic Light" w:hAnsi="Times New Roman" w:cs="Times New Roman"/>
          <w:sz w:val="28"/>
          <w:szCs w:val="28"/>
          <w:lang w:val="sr-Cyrl-RS" w:eastAsia="en-GB"/>
        </w:rPr>
      </w:pPr>
      <w:bookmarkStart w:id="66" w:name="_Toc222753938"/>
      <w:r w:rsidRPr="00226F9D">
        <w:rPr>
          <w:rFonts w:ascii="Times New Roman" w:eastAsia="Yu Gothic Light" w:hAnsi="Times New Roman" w:cs="Times New Roman"/>
          <w:sz w:val="28"/>
          <w:szCs w:val="28"/>
          <w:lang w:val="sr-Cyrl-RS" w:eastAsia="en-GB"/>
        </w:rPr>
        <w:lastRenderedPageBreak/>
        <w:t>Посебни циљ 4: Унапређење квалитета и доступности услуга локалних органа управе, комуналних услуга и услуга јавних установа</w:t>
      </w:r>
      <w:bookmarkEnd w:id="66"/>
    </w:p>
    <w:p w14:paraId="3D7EC999" w14:textId="77777777" w:rsidR="00001C5C" w:rsidRPr="00226F9D" w:rsidRDefault="00001C5C" w:rsidP="00090884">
      <w:pPr>
        <w:spacing w:after="0" w:line="240" w:lineRule="auto"/>
        <w:jc w:val="both"/>
        <w:rPr>
          <w:rFonts w:ascii="Times New Roman" w:eastAsia="Times New Roman" w:hAnsi="Times New Roman" w:cs="Times New Roman"/>
          <w:kern w:val="0"/>
          <w:lang w:val="sr-Cyrl-RS" w:eastAsia="en-GB"/>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2450"/>
        <w:gridCol w:w="2502"/>
        <w:gridCol w:w="1907"/>
        <w:gridCol w:w="2213"/>
        <w:gridCol w:w="2054"/>
      </w:tblGrid>
      <w:tr w:rsidR="00001C5C" w:rsidRPr="00226F9D" w14:paraId="4E963834" w14:textId="77777777" w:rsidTr="00445F8F">
        <w:trPr>
          <w:trHeight w:val="427"/>
          <w:jc w:val="center"/>
        </w:trPr>
        <w:tc>
          <w:tcPr>
            <w:tcW w:w="3311" w:type="dxa"/>
            <w:shd w:val="clear" w:color="auto" w:fill="D9D9D9" w:themeFill="background1" w:themeFillShade="D9"/>
            <w:vAlign w:val="center"/>
          </w:tcPr>
          <w:p w14:paraId="1DDC9C56"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показатеља</w:t>
            </w:r>
          </w:p>
        </w:tc>
        <w:tc>
          <w:tcPr>
            <w:tcW w:w="10718" w:type="dxa"/>
            <w:gridSpan w:val="5"/>
            <w:shd w:val="clear" w:color="auto" w:fill="D9D9D9" w:themeFill="background1" w:themeFillShade="D9"/>
            <w:vAlign w:val="center"/>
          </w:tcPr>
          <w:p w14:paraId="75A1786F" w14:textId="07770688" w:rsidR="00001C5C" w:rsidRPr="00445F8F"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445F8F">
              <w:rPr>
                <w:rFonts w:ascii="Times New Roman" w:eastAsia="Times New Roman" w:hAnsi="Times New Roman" w:cs="Times New Roman"/>
                <w:b/>
                <w:bCs/>
                <w:color w:val="000000"/>
                <w:kern w:val="0"/>
                <w:sz w:val="20"/>
                <w:szCs w:val="20"/>
                <w:lang w:val="sr-Cyrl-RS" w:eastAsia="en-GB"/>
                <w14:ligatures w14:val="none"/>
              </w:rPr>
              <w:t>Ниво функција за које су ЈЛС преузеле одговорност</w:t>
            </w:r>
          </w:p>
        </w:tc>
      </w:tr>
      <w:tr w:rsidR="00001C5C" w:rsidRPr="00226F9D" w14:paraId="67DD2219" w14:textId="77777777" w:rsidTr="004A0952">
        <w:trPr>
          <w:trHeight w:val="251"/>
          <w:jc w:val="center"/>
        </w:trPr>
        <w:tc>
          <w:tcPr>
            <w:tcW w:w="3311" w:type="dxa"/>
            <w:shd w:val="clear" w:color="auto" w:fill="FFC000"/>
          </w:tcPr>
          <w:p w14:paraId="73F702B9"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Одговарајући општи, посебни циљ или мера</w:t>
            </w:r>
          </w:p>
        </w:tc>
        <w:tc>
          <w:tcPr>
            <w:tcW w:w="10718" w:type="dxa"/>
            <w:gridSpan w:val="5"/>
            <w:shd w:val="clear" w:color="auto" w:fill="FFFFFF"/>
          </w:tcPr>
          <w:p w14:paraId="66305942"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Унапређење квалитета и доступности услуга локалних органа управе, комуналних услуга и услуга јавних установа</w:t>
            </w:r>
          </w:p>
        </w:tc>
      </w:tr>
      <w:tr w:rsidR="00741988" w:rsidRPr="00226F9D" w14:paraId="012E619B" w14:textId="77777777" w:rsidTr="004A0952">
        <w:trPr>
          <w:jc w:val="center"/>
        </w:trPr>
        <w:tc>
          <w:tcPr>
            <w:tcW w:w="3311" w:type="dxa"/>
            <w:shd w:val="clear" w:color="auto" w:fill="FFC000"/>
          </w:tcPr>
          <w:p w14:paraId="29721338"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Тип и ниво показатеља</w:t>
            </w:r>
          </w:p>
        </w:tc>
        <w:tc>
          <w:tcPr>
            <w:tcW w:w="6607" w:type="dxa"/>
            <w:gridSpan w:val="3"/>
            <w:shd w:val="clear" w:color="auto" w:fill="FFFFFF"/>
          </w:tcPr>
          <w:p w14:paraId="185801AB" w14:textId="77777777" w:rsidR="00001C5C" w:rsidRPr="00226F9D" w:rsidRDefault="00001C5C" w:rsidP="00090884">
            <w:pPr>
              <w:spacing w:after="0" w:line="240" w:lineRule="auto"/>
              <w:jc w:val="both"/>
              <w:rPr>
                <w:rFonts w:ascii="Times New Roman" w:eastAsia="Times New Roman" w:hAnsi="Times New Roman" w:cs="Times New Roman"/>
                <w:kern w:val="24"/>
                <w:sz w:val="20"/>
                <w:szCs w:val="20"/>
                <w:lang w:val="sr-Cyrl-RS" w:eastAsia="en-GB"/>
                <w14:ligatures w14:val="none"/>
              </w:rPr>
            </w:pPr>
            <w:r w:rsidRPr="00226F9D">
              <w:rPr>
                <w:rFonts w:ascii="Times New Roman" w:eastAsia="Times New Roman" w:hAnsi="Times New Roman" w:cs="Times New Roman"/>
                <w:kern w:val="24"/>
                <w:sz w:val="20"/>
                <w:szCs w:val="20"/>
                <w:lang w:val="sr-Cyrl-RS" w:eastAsia="en-GB"/>
                <w14:ligatures w14:val="none"/>
              </w:rPr>
              <w:t>Квалитативни</w:t>
            </w:r>
          </w:p>
        </w:tc>
        <w:tc>
          <w:tcPr>
            <w:tcW w:w="4111" w:type="dxa"/>
            <w:gridSpan w:val="2"/>
            <w:shd w:val="clear" w:color="auto" w:fill="FFFFFF"/>
          </w:tcPr>
          <w:p w14:paraId="0344CB0D" w14:textId="77777777" w:rsidR="00001C5C" w:rsidRPr="00226F9D" w:rsidRDefault="00001C5C" w:rsidP="006B59F4">
            <w:pPr>
              <w:spacing w:after="0" w:line="240" w:lineRule="auto"/>
              <w:jc w:val="both"/>
              <w:rPr>
                <w:rFonts w:ascii="Times New Roman" w:eastAsia="Times New Roman" w:hAnsi="Times New Roman" w:cs="Times New Roman"/>
                <w:bCs/>
                <w:kern w:val="24"/>
                <w:sz w:val="20"/>
                <w:szCs w:val="20"/>
                <w:lang w:val="sr-Cyrl-RS" w:eastAsia="en-GB"/>
                <w14:ligatures w14:val="none"/>
              </w:rPr>
            </w:pPr>
            <w:r w:rsidRPr="00226F9D">
              <w:rPr>
                <w:rFonts w:ascii="Times New Roman" w:eastAsia="Times New Roman" w:hAnsi="Times New Roman" w:cs="Times New Roman"/>
                <w:bCs/>
                <w:color w:val="000000"/>
                <w:kern w:val="24"/>
                <w:sz w:val="20"/>
                <w:szCs w:val="20"/>
                <w:lang w:val="sr-Cyrl-RS" w:eastAsia="en-GB"/>
                <w14:ligatures w14:val="none"/>
              </w:rPr>
              <w:t>Показатељ на нивоу посебног циља</w:t>
            </w:r>
          </w:p>
        </w:tc>
      </w:tr>
      <w:tr w:rsidR="00741988" w:rsidRPr="00226F9D" w14:paraId="417B301F" w14:textId="77777777" w:rsidTr="004A0952">
        <w:trPr>
          <w:trHeight w:val="373"/>
          <w:jc w:val="center"/>
        </w:trPr>
        <w:tc>
          <w:tcPr>
            <w:tcW w:w="3311" w:type="dxa"/>
            <w:shd w:val="clear" w:color="auto" w:fill="FFC000"/>
          </w:tcPr>
          <w:p w14:paraId="6B632D68" w14:textId="77777777" w:rsidR="00001C5C" w:rsidRPr="00226F9D" w:rsidRDefault="00001C5C" w:rsidP="004A0952">
            <w:pPr>
              <w:spacing w:after="0" w:line="240" w:lineRule="auto"/>
              <w:rPr>
                <w:rFonts w:ascii="Times New Roman" w:eastAsia="Times New Roman" w:hAnsi="Times New Roman" w:cs="Times New Roman"/>
                <w:b/>
                <w:color w:val="000000"/>
                <w:kern w:val="24"/>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Јединица мере и природа</w:t>
            </w:r>
          </w:p>
        </w:tc>
        <w:tc>
          <w:tcPr>
            <w:tcW w:w="6607" w:type="dxa"/>
            <w:gridSpan w:val="3"/>
            <w:shd w:val="clear" w:color="auto" w:fill="FFFFFF"/>
          </w:tcPr>
          <w:p w14:paraId="56D1E529" w14:textId="77777777" w:rsidR="00001C5C" w:rsidRPr="00226F9D" w:rsidRDefault="00001C5C" w:rsidP="00090884">
            <w:pPr>
              <w:spacing w:after="0" w:line="240" w:lineRule="auto"/>
              <w:jc w:val="both"/>
              <w:rPr>
                <w:rFonts w:ascii="Times New Roman" w:eastAsia="Times New Roman" w:hAnsi="Times New Roman" w:cs="Times New Roman"/>
                <w:color w:val="000000"/>
                <w:kern w:val="24"/>
                <w:sz w:val="20"/>
                <w:szCs w:val="20"/>
                <w:lang w:val="sr-Cyrl-RS" w:eastAsia="en-GB"/>
                <w14:ligatures w14:val="none"/>
              </w:rPr>
            </w:pPr>
            <w:r w:rsidRPr="00226F9D">
              <w:rPr>
                <w:rFonts w:ascii="Times New Roman" w:eastAsia="Times New Roman" w:hAnsi="Times New Roman" w:cs="Times New Roman"/>
                <w:color w:val="000000"/>
                <w:kern w:val="24"/>
                <w:sz w:val="20"/>
                <w:szCs w:val="20"/>
                <w:lang w:val="sr-Cyrl-RS" w:eastAsia="en-GB"/>
                <w14:ligatures w14:val="none"/>
              </w:rPr>
              <w:t>Бодови</w:t>
            </w:r>
          </w:p>
        </w:tc>
        <w:tc>
          <w:tcPr>
            <w:tcW w:w="4111" w:type="dxa"/>
            <w:gridSpan w:val="2"/>
            <w:shd w:val="clear" w:color="auto" w:fill="FFFFFF"/>
          </w:tcPr>
          <w:p w14:paraId="4D5142C4" w14:textId="77777777" w:rsidR="00001C5C" w:rsidRPr="00226F9D" w:rsidRDefault="00001C5C" w:rsidP="006B59F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tr w:rsidR="00001C5C" w:rsidRPr="00226F9D" w14:paraId="72E69AE8" w14:textId="77777777" w:rsidTr="004A0952">
        <w:trPr>
          <w:jc w:val="center"/>
        </w:trPr>
        <w:tc>
          <w:tcPr>
            <w:tcW w:w="3311" w:type="dxa"/>
            <w:shd w:val="clear" w:color="auto" w:fill="FFC000"/>
          </w:tcPr>
          <w:p w14:paraId="2DF1E3B7"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Извор података за праћење показатеља учинка</w:t>
            </w:r>
          </w:p>
        </w:tc>
        <w:tc>
          <w:tcPr>
            <w:tcW w:w="10718" w:type="dxa"/>
            <w:gridSpan w:val="5"/>
            <w:shd w:val="clear" w:color="auto" w:fill="FFFFFF"/>
          </w:tcPr>
          <w:p w14:paraId="33B99DC7" w14:textId="77777777" w:rsidR="00001C5C" w:rsidRPr="00226F9D" w:rsidRDefault="00001C5C"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Анализа правног оквира који уређује расподелу надлежности јавне управе у конкретним областима које прати показатељ</w:t>
            </w:r>
          </w:p>
        </w:tc>
      </w:tr>
      <w:tr w:rsidR="00001C5C" w:rsidRPr="00226F9D" w14:paraId="16E86A76" w14:textId="77777777" w:rsidTr="004A0952">
        <w:trPr>
          <w:jc w:val="center"/>
        </w:trPr>
        <w:tc>
          <w:tcPr>
            <w:tcW w:w="3311" w:type="dxa"/>
            <w:shd w:val="clear" w:color="auto" w:fill="FFC000"/>
          </w:tcPr>
          <w:p w14:paraId="13D1984A"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носиоца прикупљања података</w:t>
            </w:r>
          </w:p>
        </w:tc>
        <w:tc>
          <w:tcPr>
            <w:tcW w:w="10718" w:type="dxa"/>
            <w:gridSpan w:val="5"/>
            <w:shd w:val="clear" w:color="auto" w:fill="FFFFFF"/>
          </w:tcPr>
          <w:p w14:paraId="6ACC18D6" w14:textId="793E200B"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МДУЛС</w:t>
            </w:r>
            <w:r w:rsidR="003C5991" w:rsidRPr="00226F9D">
              <w:rPr>
                <w:rFonts w:ascii="Times New Roman" w:eastAsia="Calibri" w:hAnsi="Times New Roman" w:cs="Times New Roman"/>
                <w:kern w:val="0"/>
                <w:sz w:val="20"/>
                <w:szCs w:val="20"/>
                <w:lang w:val="sr-Cyrl-RS" w:eastAsia="en-GB"/>
                <w14:ligatures w14:val="none"/>
              </w:rPr>
              <w:t xml:space="preserve">, Душанка Јовановић, </w:t>
            </w:r>
            <w:hyperlink r:id="rId56" w:history="1">
              <w:r w:rsidR="00635EBB" w:rsidRPr="00226F9D">
                <w:rPr>
                  <w:rStyle w:val="Hyperlink"/>
                  <w:rFonts w:ascii="Times New Roman" w:eastAsia="Calibri" w:hAnsi="Times New Roman" w:cs="Times New Roman"/>
                  <w:kern w:val="0"/>
                  <w:sz w:val="20"/>
                  <w:szCs w:val="20"/>
                  <w:lang w:val="sr-Cyrl-RS" w:eastAsia="en-GB"/>
                  <w14:ligatures w14:val="none"/>
                </w:rPr>
                <w:t>dusanka.jovanovic@mduls.gov.rs</w:t>
              </w:r>
            </w:hyperlink>
            <w:r w:rsidR="00635EBB" w:rsidRPr="00226F9D">
              <w:rPr>
                <w:rFonts w:ascii="Times New Roman" w:eastAsia="Calibri" w:hAnsi="Times New Roman" w:cs="Times New Roman"/>
                <w:kern w:val="0"/>
                <w:sz w:val="20"/>
                <w:szCs w:val="20"/>
                <w:lang w:val="sr-Cyrl-RS" w:eastAsia="en-GB"/>
                <w14:ligatures w14:val="none"/>
              </w:rPr>
              <w:t xml:space="preserve"> </w:t>
            </w:r>
            <w:r w:rsidR="003C5991" w:rsidRPr="00226F9D">
              <w:rPr>
                <w:rFonts w:ascii="Times New Roman" w:eastAsia="Times New Roman" w:hAnsi="Times New Roman" w:cs="Times New Roman"/>
                <w:kern w:val="0"/>
                <w:sz w:val="20"/>
                <w:szCs w:val="20"/>
                <w:lang w:val="sr-Cyrl-RS" w:eastAsia="en-GB"/>
                <w14:ligatures w14:val="none"/>
              </w:rPr>
              <w:t xml:space="preserve">  </w:t>
            </w:r>
          </w:p>
          <w:p w14:paraId="32E1AE4C" w14:textId="5FBCF563"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СКГО</w:t>
            </w:r>
            <w:r w:rsidR="003C5991" w:rsidRPr="00226F9D">
              <w:rPr>
                <w:rFonts w:ascii="Times New Roman" w:eastAsia="Yu Mincho" w:hAnsi="Times New Roman" w:cs="Times New Roman"/>
                <w:kern w:val="0"/>
                <w:sz w:val="20"/>
                <w:szCs w:val="20"/>
                <w:lang w:val="sr-Cyrl-RS" w:eastAsia="en-GB"/>
                <w14:ligatures w14:val="none"/>
              </w:rPr>
              <w:t xml:space="preserve">, </w:t>
            </w:r>
            <w:r w:rsidRPr="00226F9D">
              <w:rPr>
                <w:rFonts w:ascii="Times New Roman" w:eastAsia="Yu Mincho" w:hAnsi="Times New Roman" w:cs="Times New Roman"/>
                <w:kern w:val="0"/>
                <w:sz w:val="20"/>
                <w:szCs w:val="20"/>
                <w:lang w:val="sr-Cyrl-RS" w:eastAsia="en-GB"/>
                <w14:ligatures w14:val="none"/>
              </w:rPr>
              <w:t>Милена Радомирови</w:t>
            </w:r>
            <w:r w:rsidR="00737979" w:rsidRPr="00226F9D">
              <w:rPr>
                <w:rFonts w:ascii="Times New Roman" w:eastAsia="Yu Mincho" w:hAnsi="Times New Roman" w:cs="Times New Roman"/>
                <w:kern w:val="0"/>
                <w:sz w:val="20"/>
                <w:szCs w:val="20"/>
                <w:lang w:val="sr-Cyrl-RS" w:eastAsia="en-GB"/>
                <w14:ligatures w14:val="none"/>
              </w:rPr>
              <w:t xml:space="preserve">ћ, </w:t>
            </w:r>
            <w:hyperlink r:id="rId57" w:history="1">
              <w:r w:rsidR="00737979" w:rsidRPr="00226F9D">
                <w:rPr>
                  <w:rStyle w:val="Hyperlink"/>
                  <w:rFonts w:ascii="Times New Roman" w:eastAsia="Yu Mincho" w:hAnsi="Times New Roman" w:cs="Times New Roman"/>
                  <w:kern w:val="0"/>
                  <w:sz w:val="20"/>
                  <w:szCs w:val="20"/>
                  <w:lang w:val="sr-Cyrl-RS" w:eastAsia="en-GB"/>
                  <w14:ligatures w14:val="none"/>
                </w:rPr>
                <w:t>m</w:t>
              </w:r>
              <w:r w:rsidR="00737979" w:rsidRPr="00226F9D">
                <w:rPr>
                  <w:rStyle w:val="Hyperlink"/>
                  <w:rFonts w:ascii="Times New Roman" w:eastAsia="Yu Mincho" w:hAnsi="Times New Roman" w:cs="Times New Roman"/>
                  <w:kern w:val="0"/>
                  <w:sz w:val="20"/>
                  <w:szCs w:val="20"/>
                  <w:lang w:eastAsia="en-GB"/>
                  <w14:ligatures w14:val="none"/>
                </w:rPr>
                <w:t>ilena</w:t>
              </w:r>
              <w:r w:rsidR="00737979" w:rsidRPr="00226F9D">
                <w:rPr>
                  <w:rStyle w:val="Hyperlink"/>
                  <w:rFonts w:ascii="Times New Roman" w:eastAsia="Yu Mincho" w:hAnsi="Times New Roman" w:cs="Times New Roman"/>
                  <w:kern w:val="0"/>
                  <w:sz w:val="20"/>
                  <w:szCs w:val="20"/>
                  <w:lang w:val="sr-Cyrl-RS" w:eastAsia="en-GB"/>
                  <w14:ligatures w14:val="none"/>
                </w:rPr>
                <w:t>.</w:t>
              </w:r>
              <w:r w:rsidR="00737979" w:rsidRPr="00226F9D">
                <w:rPr>
                  <w:rStyle w:val="Hyperlink"/>
                  <w:rFonts w:ascii="Times New Roman" w:eastAsia="Yu Mincho" w:hAnsi="Times New Roman" w:cs="Times New Roman"/>
                  <w:kern w:val="0"/>
                  <w:sz w:val="20"/>
                  <w:szCs w:val="20"/>
                  <w:lang w:eastAsia="en-GB"/>
                  <w14:ligatures w14:val="none"/>
                </w:rPr>
                <w:t>radomirovic</w:t>
              </w:r>
              <w:r w:rsidR="00737979" w:rsidRPr="00226F9D">
                <w:rPr>
                  <w:rStyle w:val="Hyperlink"/>
                  <w:rFonts w:ascii="Times New Roman" w:eastAsia="Yu Mincho" w:hAnsi="Times New Roman" w:cs="Times New Roman"/>
                  <w:kern w:val="0"/>
                  <w:sz w:val="20"/>
                  <w:szCs w:val="20"/>
                  <w:lang w:val="sr-Cyrl-RS" w:eastAsia="en-GB"/>
                  <w14:ligatures w14:val="none"/>
                </w:rPr>
                <w:t>@</w:t>
              </w:r>
              <w:r w:rsidR="00737979" w:rsidRPr="00226F9D">
                <w:rPr>
                  <w:rStyle w:val="Hyperlink"/>
                  <w:rFonts w:ascii="Times New Roman" w:eastAsia="Yu Mincho" w:hAnsi="Times New Roman" w:cs="Times New Roman"/>
                  <w:kern w:val="0"/>
                  <w:sz w:val="20"/>
                  <w:szCs w:val="20"/>
                  <w:lang w:eastAsia="en-GB"/>
                  <w14:ligatures w14:val="none"/>
                </w:rPr>
                <w:t>skgo</w:t>
              </w:r>
              <w:r w:rsidR="00737979" w:rsidRPr="00226F9D">
                <w:rPr>
                  <w:rStyle w:val="Hyperlink"/>
                  <w:rFonts w:ascii="Times New Roman" w:eastAsia="Yu Mincho" w:hAnsi="Times New Roman" w:cs="Times New Roman"/>
                  <w:kern w:val="0"/>
                  <w:sz w:val="20"/>
                  <w:szCs w:val="20"/>
                  <w:lang w:val="sr-Cyrl-RS" w:eastAsia="en-GB"/>
                  <w14:ligatures w14:val="none"/>
                </w:rPr>
                <w:t>.</w:t>
              </w:r>
              <w:r w:rsidR="00737979" w:rsidRPr="00226F9D">
                <w:rPr>
                  <w:rStyle w:val="Hyperlink"/>
                  <w:rFonts w:ascii="Times New Roman" w:eastAsia="Yu Mincho" w:hAnsi="Times New Roman" w:cs="Times New Roman"/>
                  <w:kern w:val="0"/>
                  <w:sz w:val="20"/>
                  <w:szCs w:val="20"/>
                  <w:lang w:eastAsia="en-GB"/>
                  <w14:ligatures w14:val="none"/>
                </w:rPr>
                <w:t>org</w:t>
              </w:r>
            </w:hyperlink>
          </w:p>
        </w:tc>
      </w:tr>
      <w:tr w:rsidR="00001C5C" w:rsidRPr="00226F9D" w14:paraId="62ECBC96" w14:textId="77777777" w:rsidTr="004A0952">
        <w:trPr>
          <w:jc w:val="center"/>
        </w:trPr>
        <w:tc>
          <w:tcPr>
            <w:tcW w:w="3311" w:type="dxa"/>
            <w:shd w:val="clear" w:color="auto" w:fill="FFC000"/>
          </w:tcPr>
          <w:p w14:paraId="6D48E3F7"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Учесталост прикупљања података</w:t>
            </w:r>
          </w:p>
        </w:tc>
        <w:tc>
          <w:tcPr>
            <w:tcW w:w="10718" w:type="dxa"/>
            <w:gridSpan w:val="5"/>
            <w:shd w:val="clear" w:color="auto" w:fill="FFFFFF"/>
          </w:tcPr>
          <w:p w14:paraId="205E764A" w14:textId="534CC94E"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Подаци се прикупљају до 3</w:t>
            </w:r>
            <w:r w:rsidR="008B45D1" w:rsidRPr="00226F9D">
              <w:rPr>
                <w:rFonts w:ascii="Times New Roman" w:eastAsia="Times New Roman" w:hAnsi="Times New Roman" w:cs="Times New Roman"/>
                <w:color w:val="000000"/>
                <w:kern w:val="0"/>
                <w:sz w:val="20"/>
                <w:szCs w:val="20"/>
                <w:lang w:val="sr-Cyrl-RS" w:eastAsia="en-GB"/>
                <w14:ligatures w14:val="none"/>
              </w:rPr>
              <w:t>1</w:t>
            </w:r>
            <w:r w:rsidRPr="00226F9D">
              <w:rPr>
                <w:rFonts w:ascii="Times New Roman" w:eastAsia="Times New Roman" w:hAnsi="Times New Roman" w:cs="Times New Roman"/>
                <w:color w:val="000000"/>
                <w:kern w:val="0"/>
                <w:sz w:val="20"/>
                <w:szCs w:val="20"/>
                <w:lang w:val="sr-Cyrl-RS" w:eastAsia="en-GB"/>
                <w14:ligatures w14:val="none"/>
              </w:rPr>
              <w:t>. марта текуће године за претходну.</w:t>
            </w:r>
          </w:p>
        </w:tc>
      </w:tr>
      <w:tr w:rsidR="00001C5C" w:rsidRPr="00226F9D" w14:paraId="11F5B6DE" w14:textId="77777777" w:rsidTr="004A0952">
        <w:trPr>
          <w:trHeight w:val="57"/>
          <w:jc w:val="center"/>
        </w:trPr>
        <w:tc>
          <w:tcPr>
            <w:tcW w:w="3311" w:type="dxa"/>
            <w:shd w:val="clear" w:color="auto" w:fill="FFC000"/>
          </w:tcPr>
          <w:p w14:paraId="2F0BC02D" w14:textId="77777777" w:rsidR="00001C5C" w:rsidRPr="00226F9D" w:rsidRDefault="00001C5C"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Кратак опис показатеља и методологије израчунавања</w:t>
            </w:r>
          </w:p>
          <w:p w14:paraId="70D85796" w14:textId="77777777" w:rsidR="00001C5C" w:rsidRPr="00226F9D" w:rsidRDefault="00001C5C"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(формуле/једначине)</w:t>
            </w:r>
          </w:p>
        </w:tc>
        <w:tc>
          <w:tcPr>
            <w:tcW w:w="10718" w:type="dxa"/>
            <w:gridSpan w:val="5"/>
            <w:shd w:val="clear" w:color="auto" w:fill="FFFFFF"/>
          </w:tcPr>
          <w:p w14:paraId="65A3CC24" w14:textId="77777777" w:rsidR="00C16D65" w:rsidRPr="00226F9D" w:rsidRDefault="00C16D65" w:rsidP="006B59F4">
            <w:pPr>
              <w:spacing w:after="0" w:line="240" w:lineRule="auto"/>
              <w:jc w:val="both"/>
              <w:rPr>
                <w:rFonts w:ascii="Times New Roman" w:eastAsia="Yu Mincho" w:hAnsi="Times New Roman" w:cs="Times New Roman"/>
                <w:kern w:val="0"/>
                <w:sz w:val="20"/>
                <w:szCs w:val="20"/>
                <w:lang w:val="sr-Cyrl-RS" w:eastAsia="en-GB"/>
                <w14:ligatures w14:val="none"/>
              </w:rPr>
            </w:pPr>
          </w:p>
          <w:p w14:paraId="36A4FC25" w14:textId="16B62B32" w:rsidR="00001C5C" w:rsidRPr="00226F9D" w:rsidRDefault="00001C5C" w:rsidP="006B59F4">
            <w:pPr>
              <w:spacing w:after="0" w:line="240" w:lineRule="auto"/>
              <w:jc w:val="both"/>
              <w:rPr>
                <w:rFonts w:ascii="Times New Roman" w:eastAsia="Yu Mincho" w:hAnsi="Times New Roman" w:cs="Times New Roman"/>
                <w:kern w:val="0"/>
                <w:sz w:val="20"/>
                <w:szCs w:val="20"/>
                <w:lang w:val="sr-Latn-RS" w:eastAsia="en-GB"/>
                <w14:ligatures w14:val="none"/>
              </w:rPr>
            </w:pPr>
            <w:r w:rsidRPr="00226F9D">
              <w:rPr>
                <w:rFonts w:ascii="Times New Roman" w:eastAsia="Yu Mincho" w:hAnsi="Times New Roman" w:cs="Times New Roman"/>
                <w:kern w:val="0"/>
                <w:sz w:val="20"/>
                <w:szCs w:val="20"/>
                <w:lang w:val="sr-Cyrl-RS" w:eastAsia="en-GB"/>
                <w14:ligatures w14:val="none"/>
              </w:rPr>
              <w:t>Показатељ прати надлежности локалних власти у Републици Србији и процењује да ли локалне самоуправе имају ефективну дискрециону политику у оквиру својих надлежности и да ли имају пуну одговорност да самостално доносе коначне одлуке у одабраним областима јавне политике. Основ за успостављање овог показатеља јесте методологија СИГМА која је кориш</w:t>
            </w:r>
            <w:r w:rsidR="003C5991" w:rsidRPr="00226F9D">
              <w:rPr>
                <w:rFonts w:ascii="Times New Roman" w:eastAsia="Yu Mincho" w:hAnsi="Times New Roman" w:cs="Times New Roman"/>
                <w:kern w:val="0"/>
                <w:sz w:val="20"/>
                <w:szCs w:val="20"/>
                <w:lang w:val="sr-Cyrl-RS" w:eastAsia="en-GB"/>
                <w14:ligatures w14:val="none"/>
              </w:rPr>
              <w:t>ћ</w:t>
            </w:r>
            <w:r w:rsidRPr="00226F9D">
              <w:rPr>
                <w:rFonts w:ascii="Times New Roman" w:eastAsia="Yu Mincho" w:hAnsi="Times New Roman" w:cs="Times New Roman"/>
                <w:kern w:val="0"/>
                <w:sz w:val="20"/>
                <w:szCs w:val="20"/>
                <w:lang w:val="sr-Cyrl-RS" w:eastAsia="en-GB"/>
                <w14:ligatures w14:val="none"/>
              </w:rPr>
              <w:t xml:space="preserve">ена у извештају овог програма о вишестепеном систему управљања у региону </w:t>
            </w:r>
            <w:r w:rsidR="00C967FF" w:rsidRPr="00226F9D">
              <w:rPr>
                <w:rFonts w:ascii="Times New Roman" w:eastAsia="Yu Mincho" w:hAnsi="Times New Roman" w:cs="Times New Roman"/>
                <w:kern w:val="0"/>
                <w:sz w:val="20"/>
                <w:szCs w:val="20"/>
                <w:lang w:val="sr-Cyrl-RS" w:eastAsia="en-GB"/>
                <w14:ligatures w14:val="none"/>
              </w:rPr>
              <w:t>западног</w:t>
            </w:r>
            <w:r w:rsidRPr="00226F9D">
              <w:rPr>
                <w:rFonts w:ascii="Times New Roman" w:eastAsia="Yu Mincho" w:hAnsi="Times New Roman" w:cs="Times New Roman"/>
                <w:kern w:val="0"/>
                <w:sz w:val="20"/>
                <w:szCs w:val="20"/>
                <w:lang w:val="sr-Cyrl-RS" w:eastAsia="en-GB"/>
                <w14:ligatures w14:val="none"/>
              </w:rPr>
              <w:t xml:space="preserve"> Балкана из 2025. године</w:t>
            </w:r>
            <w:r w:rsidR="00947AF2" w:rsidRPr="00226F9D">
              <w:rPr>
                <w:rFonts w:ascii="Times New Roman" w:eastAsia="Yu Mincho" w:hAnsi="Times New Roman" w:cs="Times New Roman"/>
                <w:kern w:val="0"/>
                <w:sz w:val="20"/>
                <w:szCs w:val="20"/>
                <w:lang w:val="sr-Latn-RS" w:eastAsia="en-GB"/>
                <w14:ligatures w14:val="none"/>
              </w:rPr>
              <w:t xml:space="preserve"> (</w:t>
            </w:r>
            <w:r w:rsidR="00947AF2" w:rsidRPr="00226F9D">
              <w:rPr>
                <w:rFonts w:ascii="Times New Roman" w:eastAsia="Yu Mincho" w:hAnsi="Times New Roman" w:cs="Times New Roman"/>
                <w:kern w:val="0"/>
                <w:sz w:val="20"/>
                <w:szCs w:val="20"/>
                <w:lang w:val="sr-Cyrl-RS" w:eastAsia="en-GB"/>
                <w14:ligatures w14:val="none"/>
              </w:rPr>
              <w:t xml:space="preserve">Секција 4. Надлежности и одговорности </w:t>
            </w:r>
            <w:r w:rsidR="00755809" w:rsidRPr="00226F9D">
              <w:rPr>
                <w:rFonts w:ascii="Times New Roman" w:eastAsia="Yu Mincho" w:hAnsi="Times New Roman" w:cs="Times New Roman"/>
                <w:kern w:val="0"/>
                <w:sz w:val="20"/>
                <w:szCs w:val="20"/>
                <w:lang w:val="sr-Cyrl-RS" w:eastAsia="en-GB"/>
                <w14:ligatures w14:val="none"/>
              </w:rPr>
              <w:t>локалне самоуправе)</w:t>
            </w:r>
            <w:r w:rsidR="001C6203" w:rsidRPr="00226F9D">
              <w:rPr>
                <w:rFonts w:ascii="Times New Roman" w:eastAsia="Yu Mincho" w:hAnsi="Times New Roman" w:cs="Times New Roman"/>
                <w:kern w:val="0"/>
                <w:sz w:val="20"/>
                <w:szCs w:val="20"/>
                <w:lang w:val="sr-Cyrl-RS" w:eastAsia="en-GB"/>
                <w14:ligatures w14:val="none"/>
              </w:rPr>
              <w:t xml:space="preserve"> и на основу кога је изведена полазна вредност за 2025.годину</w:t>
            </w:r>
            <w:r w:rsidRPr="00226F9D">
              <w:rPr>
                <w:rFonts w:ascii="Times New Roman" w:eastAsia="Yu Mincho" w:hAnsi="Times New Roman" w:cs="Times New Roman"/>
                <w:kern w:val="0"/>
                <w:sz w:val="20"/>
                <w:szCs w:val="20"/>
                <w:lang w:val="sr-Cyrl-RS" w:eastAsia="en-GB"/>
                <w14:ligatures w14:val="none"/>
              </w:rPr>
              <w:t xml:space="preserve">. Видети више на </w:t>
            </w:r>
            <w:hyperlink r:id="rId58" w:history="1">
              <w:r w:rsidR="00DA0DF1" w:rsidRPr="00226F9D">
                <w:rPr>
                  <w:rStyle w:val="Hyperlink"/>
                  <w:rFonts w:ascii="Times New Roman" w:eastAsia="Yu Mincho" w:hAnsi="Times New Roman" w:cs="Times New Roman"/>
                  <w:kern w:val="0"/>
                  <w:sz w:val="20"/>
                  <w:szCs w:val="20"/>
                  <w:lang w:val="sr-Cyrl-RS" w:eastAsia="en-GB"/>
                  <w14:ligatures w14:val="none"/>
                </w:rPr>
                <w:t>https://www.sigmaweb.org/en/publications/implementation-and-challenges-of-multi-level-governance-in-the-western-balkans_32891a8f-en.html</w:t>
              </w:r>
            </w:hyperlink>
            <w:r w:rsidR="00DA0DF1" w:rsidRPr="00226F9D">
              <w:rPr>
                <w:rFonts w:ascii="Times New Roman" w:eastAsia="Yu Mincho" w:hAnsi="Times New Roman" w:cs="Times New Roman"/>
                <w:kern w:val="0"/>
                <w:sz w:val="20"/>
                <w:szCs w:val="20"/>
                <w:lang w:val="sr-Latn-RS" w:eastAsia="en-GB"/>
                <w14:ligatures w14:val="none"/>
              </w:rPr>
              <w:t xml:space="preserve"> .</w:t>
            </w:r>
          </w:p>
          <w:p w14:paraId="7269EB95" w14:textId="70303EE2"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Показатељ прати колико је широк обим надлежности локалних власти у 15 различитих области јавних услуга: 1) Полиција, ватрогасци и цивилна заштита; 2) Јавни превоз; 3) Загађење ваздуха, заштита земљишта и подземних вода, заштита климе; 4) Управљање отпадом; 5) Водовод и канализација; 6) Социјално становање; 7) Грађевинске дозволе и зонирање; 8) Урбанистичко планирање и развој насеља; 9) Примарна здравствена заштита и болнице; 10) Културне и рекреативне активности; 11) Предшколско образовање; 12) Основно образовање; 13) Средње образовање; 14) Социјална заштита</w:t>
            </w:r>
            <w:r w:rsidRPr="00226F9D">
              <w:rPr>
                <w:rFonts w:ascii="Times New Roman" w:eastAsia="Yu Mincho" w:hAnsi="Times New Roman" w:cs="Times New Roman"/>
                <w:kern w:val="0"/>
                <w:sz w:val="20"/>
                <w:szCs w:val="20"/>
                <w:lang w:val="sr-Cyrl-RS" w:eastAsia="en-GB"/>
                <w14:ligatures w14:val="none"/>
              </w:rPr>
              <w:br/>
              <w:t xml:space="preserve">и 15) Социјална помоћ. </w:t>
            </w:r>
          </w:p>
          <w:p w14:paraId="3895AF8C" w14:textId="77777777"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Број бодова се додељује применом следеће методологије: 0 бодова – ЈЛС немају надлежност у конкретној области; 0.25 бодова – ЈЛС имају делимичну надлежност у конкретној области; 0.5 бодова – ЈЛС и виши нивои јавне управе имају подједнак ниво надлежности у конкретној области; 0.75 бодова – ЈЛС имају претежну надлежност у конкретној области; и 1 бод – ЈЛС имају потпуну надлежност у конкретној области. Свака област политике може добити максимално 1 бод</w:t>
            </w:r>
            <w:r w:rsidRPr="00226F9D">
              <w:rPr>
                <w:rFonts w:ascii="Times New Roman" w:eastAsia="Yu Mincho" w:hAnsi="Times New Roman" w:cs="Times New Roman"/>
                <w:kern w:val="0"/>
                <w:sz w:val="20"/>
                <w:szCs w:val="20"/>
                <w:lang w:val="sr-Latn-RS" w:eastAsia="en-GB"/>
                <w14:ligatures w14:val="none"/>
              </w:rPr>
              <w:t xml:space="preserve"> </w:t>
            </w:r>
            <w:r w:rsidRPr="00226F9D">
              <w:rPr>
                <w:rFonts w:ascii="Times New Roman" w:eastAsia="Yu Mincho" w:hAnsi="Times New Roman" w:cs="Times New Roman"/>
                <w:kern w:val="0"/>
                <w:sz w:val="20"/>
                <w:szCs w:val="20"/>
                <w:lang w:val="sr-Cyrl-RS" w:eastAsia="en-GB"/>
                <w14:ligatures w14:val="none"/>
              </w:rPr>
              <w:t>односно укупно 15 бодова.</w:t>
            </w:r>
            <w:r w:rsidRPr="00226F9D">
              <w:rPr>
                <w:rFonts w:ascii="Times New Roman" w:eastAsia="Yu Mincho" w:hAnsi="Times New Roman" w:cs="Times New Roman"/>
                <w:kern w:val="0"/>
                <w:sz w:val="20"/>
                <w:szCs w:val="20"/>
                <w:lang w:val="sr-Latn-RS" w:eastAsia="en-GB"/>
                <w14:ligatures w14:val="none"/>
              </w:rPr>
              <w:t xml:space="preserve"> </w:t>
            </w:r>
            <w:r w:rsidRPr="00226F9D">
              <w:rPr>
                <w:rFonts w:ascii="Times New Roman" w:eastAsia="Yu Mincho" w:hAnsi="Times New Roman" w:cs="Times New Roman"/>
                <w:kern w:val="0"/>
                <w:sz w:val="20"/>
                <w:szCs w:val="20"/>
                <w:lang w:val="sr-Cyrl-RS" w:eastAsia="en-GB"/>
                <w14:ligatures w14:val="none"/>
              </w:rPr>
              <w:t xml:space="preserve">Виши ниво добијених бодова показује шири обим области услуга које пружају локалне самоуправе и виши ниво ефективне дискреционе политике и крајње одговорности за конкретну област коју локалне самоуправе имају. </w:t>
            </w:r>
          </w:p>
          <w:p w14:paraId="647FB2A8" w14:textId="06B98067"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p>
        </w:tc>
      </w:tr>
      <w:tr w:rsidR="00741988" w:rsidRPr="00226F9D" w14:paraId="29B6BB47" w14:textId="77777777" w:rsidTr="004A0952">
        <w:trPr>
          <w:trHeight w:val="265"/>
          <w:jc w:val="center"/>
        </w:trPr>
        <w:tc>
          <w:tcPr>
            <w:tcW w:w="3311" w:type="dxa"/>
            <w:vMerge w:val="restart"/>
            <w:shd w:val="clear" w:color="auto" w:fill="FFC000"/>
          </w:tcPr>
          <w:p w14:paraId="1A752257"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полазној вредности и години кад је измерена, као и о тренду у прошлости</w:t>
            </w:r>
          </w:p>
        </w:tc>
        <w:tc>
          <w:tcPr>
            <w:tcW w:w="8739" w:type="dxa"/>
            <w:gridSpan w:val="4"/>
            <w:tcBorders>
              <w:bottom w:val="single" w:sz="4" w:space="0" w:color="auto"/>
            </w:tcBorders>
            <w:shd w:val="clear" w:color="auto" w:fill="FFFFFF"/>
          </w:tcPr>
          <w:p w14:paraId="1AB32638"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Тренд у прошлости</w:t>
            </w:r>
          </w:p>
        </w:tc>
        <w:tc>
          <w:tcPr>
            <w:tcW w:w="1979" w:type="dxa"/>
            <w:shd w:val="clear" w:color="auto" w:fill="FFFFFF"/>
          </w:tcPr>
          <w:p w14:paraId="65CDF82D"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Полазна вредност</w:t>
            </w:r>
          </w:p>
        </w:tc>
      </w:tr>
      <w:tr w:rsidR="008E6BC2" w:rsidRPr="00226F9D" w14:paraId="1EC053CC" w14:textId="77777777" w:rsidTr="004A0952">
        <w:trPr>
          <w:trHeight w:val="137"/>
          <w:jc w:val="center"/>
        </w:trPr>
        <w:tc>
          <w:tcPr>
            <w:tcW w:w="3311" w:type="dxa"/>
            <w:vMerge/>
          </w:tcPr>
          <w:p w14:paraId="623B5FF8" w14:textId="77777777" w:rsidR="00001C5C" w:rsidRPr="00226F9D" w:rsidRDefault="00001C5C"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360" w:type="dxa"/>
            <w:tcBorders>
              <w:top w:val="single" w:sz="4" w:space="0" w:color="auto"/>
              <w:left w:val="single" w:sz="4" w:space="0" w:color="auto"/>
              <w:bottom w:val="single" w:sz="4" w:space="0" w:color="auto"/>
              <w:right w:val="single" w:sz="4" w:space="0" w:color="auto"/>
            </w:tcBorders>
            <w:shd w:val="clear" w:color="auto" w:fill="FFFFFF"/>
          </w:tcPr>
          <w:p w14:paraId="1ADD8A62"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2022.</w:t>
            </w:r>
          </w:p>
        </w:tc>
        <w:tc>
          <w:tcPr>
            <w:tcW w:w="4247" w:type="dxa"/>
            <w:gridSpan w:val="2"/>
            <w:tcBorders>
              <w:top w:val="single" w:sz="4" w:space="0" w:color="auto"/>
              <w:left w:val="single" w:sz="4" w:space="0" w:color="auto"/>
              <w:bottom w:val="single" w:sz="4" w:space="0" w:color="auto"/>
              <w:right w:val="single" w:sz="4" w:space="0" w:color="auto"/>
            </w:tcBorders>
            <w:shd w:val="clear" w:color="auto" w:fill="FFFFFF"/>
          </w:tcPr>
          <w:p w14:paraId="40128A8C"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2023.</w:t>
            </w:r>
          </w:p>
        </w:tc>
        <w:tc>
          <w:tcPr>
            <w:tcW w:w="2132" w:type="dxa"/>
            <w:tcBorders>
              <w:top w:val="single" w:sz="4" w:space="0" w:color="auto"/>
              <w:left w:val="single" w:sz="4" w:space="0" w:color="auto"/>
              <w:bottom w:val="single" w:sz="4" w:space="0" w:color="auto"/>
              <w:right w:val="single" w:sz="4" w:space="0" w:color="auto"/>
            </w:tcBorders>
            <w:shd w:val="clear" w:color="auto" w:fill="FFFFFF"/>
          </w:tcPr>
          <w:p w14:paraId="2259F880"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2024.</w:t>
            </w:r>
          </w:p>
        </w:tc>
        <w:tc>
          <w:tcPr>
            <w:tcW w:w="1979" w:type="dxa"/>
            <w:tcBorders>
              <w:left w:val="single" w:sz="4" w:space="0" w:color="auto"/>
            </w:tcBorders>
            <w:shd w:val="clear" w:color="auto" w:fill="FFFFFF"/>
          </w:tcPr>
          <w:p w14:paraId="709EFF98" w14:textId="77777777" w:rsidR="00001C5C" w:rsidRPr="00226F9D" w:rsidRDefault="00001C5C"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2025.</w:t>
            </w:r>
          </w:p>
        </w:tc>
      </w:tr>
      <w:tr w:rsidR="008E6BC2" w:rsidRPr="00226F9D" w14:paraId="61632B17" w14:textId="77777777" w:rsidTr="004A0952">
        <w:trPr>
          <w:trHeight w:val="323"/>
          <w:jc w:val="center"/>
        </w:trPr>
        <w:tc>
          <w:tcPr>
            <w:tcW w:w="3311" w:type="dxa"/>
            <w:vMerge/>
          </w:tcPr>
          <w:p w14:paraId="535B6A09" w14:textId="77777777" w:rsidR="00001C5C" w:rsidRPr="00226F9D" w:rsidRDefault="00001C5C"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p>
        </w:tc>
        <w:tc>
          <w:tcPr>
            <w:tcW w:w="2360" w:type="dxa"/>
            <w:tcBorders>
              <w:top w:val="single" w:sz="4" w:space="0" w:color="auto"/>
            </w:tcBorders>
            <w:shd w:val="clear" w:color="auto" w:fill="FFFFFF"/>
          </w:tcPr>
          <w:p w14:paraId="74FFCC8F"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tc>
        <w:tc>
          <w:tcPr>
            <w:tcW w:w="4247" w:type="dxa"/>
            <w:gridSpan w:val="2"/>
            <w:tcBorders>
              <w:top w:val="single" w:sz="4" w:space="0" w:color="auto"/>
            </w:tcBorders>
            <w:shd w:val="clear" w:color="auto" w:fill="FFFFFF"/>
          </w:tcPr>
          <w:p w14:paraId="14577C5E"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tc>
        <w:tc>
          <w:tcPr>
            <w:tcW w:w="2132" w:type="dxa"/>
            <w:tcBorders>
              <w:top w:val="single" w:sz="4" w:space="0" w:color="auto"/>
            </w:tcBorders>
            <w:shd w:val="clear" w:color="auto" w:fill="FFFFFF"/>
          </w:tcPr>
          <w:p w14:paraId="7B4AE3B5"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p>
        </w:tc>
        <w:tc>
          <w:tcPr>
            <w:tcW w:w="1979" w:type="dxa"/>
            <w:shd w:val="clear" w:color="auto" w:fill="FFFFFF"/>
          </w:tcPr>
          <w:p w14:paraId="030E947D" w14:textId="1D1BDB98"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7.5</w:t>
            </w:r>
          </w:p>
        </w:tc>
      </w:tr>
      <w:tr w:rsidR="00741988" w:rsidRPr="00226F9D" w14:paraId="71183715" w14:textId="77777777" w:rsidTr="004A0952">
        <w:trPr>
          <w:trHeight w:val="274"/>
          <w:jc w:val="center"/>
        </w:trPr>
        <w:tc>
          <w:tcPr>
            <w:tcW w:w="3311" w:type="dxa"/>
            <w:vMerge w:val="restart"/>
            <w:shd w:val="clear" w:color="auto" w:fill="FFC000"/>
          </w:tcPr>
          <w:p w14:paraId="34790D97" w14:textId="77777777" w:rsidR="00001C5C" w:rsidRPr="00226F9D" w:rsidRDefault="00001C5C"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lastRenderedPageBreak/>
              <w:t>Подаци о циљним вредностима</w:t>
            </w:r>
          </w:p>
        </w:tc>
        <w:tc>
          <w:tcPr>
            <w:tcW w:w="2360" w:type="dxa"/>
            <w:shd w:val="clear" w:color="auto" w:fill="FFFFFF"/>
          </w:tcPr>
          <w:p w14:paraId="230B2A7B"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2026.</w:t>
            </w:r>
          </w:p>
        </w:tc>
        <w:tc>
          <w:tcPr>
            <w:tcW w:w="2410" w:type="dxa"/>
            <w:shd w:val="clear" w:color="auto" w:fill="FFFFFF"/>
          </w:tcPr>
          <w:p w14:paraId="7E69753D"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2027.</w:t>
            </w:r>
          </w:p>
        </w:tc>
        <w:tc>
          <w:tcPr>
            <w:tcW w:w="1837" w:type="dxa"/>
            <w:shd w:val="clear" w:color="auto" w:fill="FFFFFF"/>
          </w:tcPr>
          <w:p w14:paraId="2EC3AD15"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2028.</w:t>
            </w:r>
          </w:p>
        </w:tc>
        <w:tc>
          <w:tcPr>
            <w:tcW w:w="2132" w:type="dxa"/>
            <w:shd w:val="clear" w:color="auto" w:fill="FFFFFF"/>
          </w:tcPr>
          <w:p w14:paraId="23D3C54A"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2029.</w:t>
            </w:r>
          </w:p>
        </w:tc>
        <w:tc>
          <w:tcPr>
            <w:tcW w:w="1979" w:type="dxa"/>
            <w:shd w:val="clear" w:color="auto" w:fill="FFFFFF"/>
          </w:tcPr>
          <w:p w14:paraId="0E446660"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2030.</w:t>
            </w:r>
          </w:p>
        </w:tc>
      </w:tr>
      <w:tr w:rsidR="00741988" w:rsidRPr="00226F9D" w14:paraId="7871CD90" w14:textId="77777777" w:rsidTr="004A0952">
        <w:trPr>
          <w:trHeight w:val="160"/>
          <w:jc w:val="center"/>
        </w:trPr>
        <w:tc>
          <w:tcPr>
            <w:tcW w:w="3311" w:type="dxa"/>
            <w:vMerge/>
          </w:tcPr>
          <w:p w14:paraId="49060209" w14:textId="77777777" w:rsidR="00001C5C" w:rsidRPr="00226F9D" w:rsidRDefault="00001C5C"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p>
        </w:tc>
        <w:tc>
          <w:tcPr>
            <w:tcW w:w="2360" w:type="dxa"/>
            <w:shd w:val="clear" w:color="auto" w:fill="FFFFFF"/>
          </w:tcPr>
          <w:p w14:paraId="0688F235"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7.5</w:t>
            </w:r>
          </w:p>
        </w:tc>
        <w:tc>
          <w:tcPr>
            <w:tcW w:w="2410" w:type="dxa"/>
            <w:shd w:val="clear" w:color="auto" w:fill="FFFFFF"/>
          </w:tcPr>
          <w:p w14:paraId="4EC0940D"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7.5</w:t>
            </w:r>
          </w:p>
        </w:tc>
        <w:tc>
          <w:tcPr>
            <w:tcW w:w="1837" w:type="dxa"/>
            <w:shd w:val="clear" w:color="auto" w:fill="FFFFFF"/>
          </w:tcPr>
          <w:p w14:paraId="4CFC846C"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7.75</w:t>
            </w:r>
          </w:p>
        </w:tc>
        <w:tc>
          <w:tcPr>
            <w:tcW w:w="2132" w:type="dxa"/>
            <w:shd w:val="clear" w:color="auto" w:fill="FFFFFF"/>
          </w:tcPr>
          <w:p w14:paraId="0E710AF0"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8</w:t>
            </w:r>
          </w:p>
        </w:tc>
        <w:tc>
          <w:tcPr>
            <w:tcW w:w="1979" w:type="dxa"/>
            <w:shd w:val="clear" w:color="auto" w:fill="FFFFFF"/>
          </w:tcPr>
          <w:p w14:paraId="21BD5BA7" w14:textId="77777777" w:rsidR="00001C5C" w:rsidRPr="00226F9D" w:rsidRDefault="00001C5C"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8.5</w:t>
            </w:r>
          </w:p>
        </w:tc>
      </w:tr>
      <w:tr w:rsidR="00001C5C" w:rsidRPr="00226F9D" w14:paraId="5DA36D28" w14:textId="77777777" w:rsidTr="004F09AB">
        <w:trPr>
          <w:trHeight w:val="334"/>
          <w:jc w:val="center"/>
        </w:trPr>
        <w:tc>
          <w:tcPr>
            <w:tcW w:w="3311" w:type="dxa"/>
            <w:shd w:val="clear" w:color="auto" w:fill="FFC000"/>
          </w:tcPr>
          <w:p w14:paraId="40E7FA7C" w14:textId="77777777" w:rsidR="00001C5C" w:rsidRPr="00226F9D" w:rsidRDefault="00001C5C"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Процена успешности</w:t>
            </w:r>
          </w:p>
        </w:tc>
        <w:tc>
          <w:tcPr>
            <w:tcW w:w="10718" w:type="dxa"/>
            <w:gridSpan w:val="5"/>
            <w:shd w:val="clear" w:color="auto" w:fill="FFFFFF"/>
          </w:tcPr>
          <w:p w14:paraId="1E81338D" w14:textId="77777777" w:rsidR="00001C5C" w:rsidRPr="00226F9D" w:rsidRDefault="00001C5C"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Прихватљиво је одступање у вредности од 0.25 бодова</w:t>
            </w:r>
          </w:p>
        </w:tc>
      </w:tr>
    </w:tbl>
    <w:p w14:paraId="6BF489F9" w14:textId="77777777" w:rsidR="00DA1044" w:rsidRPr="00226F9D" w:rsidRDefault="00DA1044" w:rsidP="00090884">
      <w:pPr>
        <w:spacing w:after="0" w:line="240" w:lineRule="auto"/>
        <w:jc w:val="both"/>
        <w:rPr>
          <w:rFonts w:ascii="Times New Roman" w:hAnsi="Times New Roman" w:cs="Times New Roman"/>
          <w:sz w:val="22"/>
          <w:szCs w:val="22"/>
          <w:lang w:val="sr-Latn-RS"/>
        </w:rPr>
      </w:pPr>
    </w:p>
    <w:p w14:paraId="604D6AF8" w14:textId="77777777" w:rsidR="004A0952" w:rsidRPr="00226F9D" w:rsidRDefault="004A0952" w:rsidP="00090884">
      <w:pPr>
        <w:spacing w:after="0" w:line="240" w:lineRule="auto"/>
        <w:jc w:val="both"/>
        <w:rPr>
          <w:rFonts w:ascii="Times New Roman" w:hAnsi="Times New Roman" w:cs="Times New Roman"/>
          <w:sz w:val="22"/>
          <w:szCs w:val="22"/>
          <w:lang w:val="sr-Latn-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6"/>
        <w:gridCol w:w="2450"/>
        <w:gridCol w:w="2189"/>
        <w:gridCol w:w="2220"/>
        <w:gridCol w:w="2213"/>
        <w:gridCol w:w="2054"/>
      </w:tblGrid>
      <w:tr w:rsidR="00823C7D" w:rsidRPr="00226F9D" w14:paraId="175CD0D7" w14:textId="77777777" w:rsidTr="00445F8F">
        <w:trPr>
          <w:trHeight w:val="385"/>
          <w:jc w:val="center"/>
        </w:trPr>
        <w:tc>
          <w:tcPr>
            <w:tcW w:w="3436" w:type="dxa"/>
            <w:shd w:val="clear" w:color="auto" w:fill="D9D9D9" w:themeFill="background1" w:themeFillShade="D9"/>
            <w:vAlign w:val="center"/>
          </w:tcPr>
          <w:p w14:paraId="42798B41" w14:textId="77777777" w:rsidR="00823C7D" w:rsidRPr="00226F9D" w:rsidRDefault="00823C7D"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показатеља</w:t>
            </w:r>
          </w:p>
        </w:tc>
        <w:tc>
          <w:tcPr>
            <w:tcW w:w="11126" w:type="dxa"/>
            <w:gridSpan w:val="5"/>
            <w:shd w:val="clear" w:color="auto" w:fill="D9D9D9" w:themeFill="background1" w:themeFillShade="D9"/>
            <w:vAlign w:val="center"/>
          </w:tcPr>
          <w:p w14:paraId="6CA52A83" w14:textId="6A3AD5C0" w:rsidR="00823C7D" w:rsidRPr="00226F9D" w:rsidRDefault="00D06A80" w:rsidP="004A0952">
            <w:pPr>
              <w:spacing w:after="0" w:line="240" w:lineRule="auto"/>
              <w:rPr>
                <w:rFonts w:ascii="Times New Roman" w:eastAsia="Times New Roman" w:hAnsi="Times New Roman" w:cs="Times New Roman"/>
                <w:b/>
                <w:kern w:val="0"/>
                <w:sz w:val="20"/>
                <w:szCs w:val="20"/>
                <w:lang w:val="sr-Latn-RS" w:eastAsia="en-GB"/>
                <w14:ligatures w14:val="none"/>
              </w:rPr>
            </w:pPr>
            <w:r w:rsidRPr="00226F9D">
              <w:rPr>
                <w:rFonts w:ascii="Times New Roman" w:eastAsia="Times New Roman" w:hAnsi="Times New Roman" w:cs="Times New Roman"/>
                <w:b/>
                <w:bCs/>
                <w:kern w:val="0"/>
                <w:sz w:val="20"/>
                <w:szCs w:val="20"/>
                <w:lang w:val="sr-Cyrl-RS" w:eastAsia="en-GB"/>
                <w14:ligatures w14:val="none"/>
              </w:rPr>
              <w:t>Удео ЈЛС које су успоставиле међуопштинску сарадњу у укупном броју ЈЛС</w:t>
            </w:r>
          </w:p>
        </w:tc>
      </w:tr>
      <w:tr w:rsidR="00823C7D" w:rsidRPr="00226F9D" w14:paraId="3B66D70C" w14:textId="77777777" w:rsidTr="00DC6D28">
        <w:trPr>
          <w:trHeight w:val="251"/>
          <w:jc w:val="center"/>
        </w:trPr>
        <w:tc>
          <w:tcPr>
            <w:tcW w:w="3436" w:type="dxa"/>
            <w:shd w:val="clear" w:color="auto" w:fill="FFC000"/>
          </w:tcPr>
          <w:p w14:paraId="5EC47549" w14:textId="77777777" w:rsidR="00823C7D" w:rsidRPr="00226F9D" w:rsidRDefault="00823C7D"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Одговарајући општи, посебни циљ или мера</w:t>
            </w:r>
          </w:p>
        </w:tc>
        <w:tc>
          <w:tcPr>
            <w:tcW w:w="11126" w:type="dxa"/>
            <w:gridSpan w:val="5"/>
            <w:shd w:val="clear" w:color="auto" w:fill="FFFFFF" w:themeFill="background1"/>
          </w:tcPr>
          <w:p w14:paraId="31D45FAA" w14:textId="77777777" w:rsidR="00823C7D" w:rsidRPr="00226F9D" w:rsidRDefault="00823C7D"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Унапређење квалитета и доступности услуга локалних органа управе, комуналних услуга и услуга јавних установа</w:t>
            </w:r>
          </w:p>
        </w:tc>
      </w:tr>
      <w:tr w:rsidR="00741988" w:rsidRPr="00226F9D" w14:paraId="1F08FCB2" w14:textId="77777777" w:rsidTr="00DC6D28">
        <w:trPr>
          <w:jc w:val="center"/>
        </w:trPr>
        <w:tc>
          <w:tcPr>
            <w:tcW w:w="3436" w:type="dxa"/>
            <w:shd w:val="clear" w:color="auto" w:fill="FFC000"/>
          </w:tcPr>
          <w:p w14:paraId="7354BC7A" w14:textId="77777777" w:rsidR="00823C7D" w:rsidRPr="00226F9D" w:rsidRDefault="00823C7D"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Тип и ниво показатеља</w:t>
            </w:r>
          </w:p>
        </w:tc>
        <w:tc>
          <w:tcPr>
            <w:tcW w:w="6859" w:type="dxa"/>
            <w:gridSpan w:val="3"/>
            <w:shd w:val="clear" w:color="auto" w:fill="FFFFFF" w:themeFill="background1"/>
          </w:tcPr>
          <w:p w14:paraId="14CF7B5A" w14:textId="3E1D4729" w:rsidR="00823C7D" w:rsidRPr="00226F9D" w:rsidRDefault="00823C7D" w:rsidP="00090884">
            <w:pPr>
              <w:spacing w:after="0" w:line="240" w:lineRule="auto"/>
              <w:jc w:val="both"/>
              <w:rPr>
                <w:rFonts w:ascii="Times New Roman" w:eastAsia="Times New Roman" w:hAnsi="Times New Roman" w:cs="Times New Roman"/>
                <w:kern w:val="24"/>
                <w:sz w:val="20"/>
                <w:szCs w:val="20"/>
                <w:lang w:val="sr-Latn-RS" w:eastAsia="en-GB"/>
                <w14:ligatures w14:val="none"/>
              </w:rPr>
            </w:pPr>
            <w:r w:rsidRPr="00226F9D">
              <w:rPr>
                <w:rFonts w:ascii="Times New Roman" w:eastAsia="Times New Roman" w:hAnsi="Times New Roman" w:cs="Times New Roman"/>
                <w:kern w:val="24"/>
                <w:sz w:val="20"/>
                <w:szCs w:val="20"/>
                <w:lang w:val="sr-Cyrl-RS" w:eastAsia="en-GB"/>
                <w14:ligatures w14:val="none"/>
              </w:rPr>
              <w:t>Ква</w:t>
            </w:r>
            <w:r w:rsidR="00D06A80" w:rsidRPr="00226F9D">
              <w:rPr>
                <w:rFonts w:ascii="Times New Roman" w:eastAsia="Times New Roman" w:hAnsi="Times New Roman" w:cs="Times New Roman"/>
                <w:kern w:val="24"/>
                <w:sz w:val="20"/>
                <w:szCs w:val="20"/>
                <w:lang w:val="sr-Cyrl-RS" w:eastAsia="en-GB"/>
                <w14:ligatures w14:val="none"/>
              </w:rPr>
              <w:t>нтитативни</w:t>
            </w:r>
          </w:p>
        </w:tc>
        <w:tc>
          <w:tcPr>
            <w:tcW w:w="4267" w:type="dxa"/>
            <w:gridSpan w:val="2"/>
            <w:shd w:val="clear" w:color="auto" w:fill="FFFFFF" w:themeFill="background1"/>
          </w:tcPr>
          <w:p w14:paraId="76BBD5E0" w14:textId="77777777" w:rsidR="00823C7D" w:rsidRPr="00226F9D" w:rsidRDefault="00823C7D" w:rsidP="006B59F4">
            <w:pPr>
              <w:spacing w:after="0" w:line="240" w:lineRule="auto"/>
              <w:jc w:val="both"/>
              <w:rPr>
                <w:rFonts w:ascii="Times New Roman" w:eastAsia="Times New Roman" w:hAnsi="Times New Roman" w:cs="Times New Roman"/>
                <w:bCs/>
                <w:kern w:val="24"/>
                <w:sz w:val="20"/>
                <w:szCs w:val="20"/>
                <w:lang w:val="sr-Cyrl-RS" w:eastAsia="en-GB"/>
                <w14:ligatures w14:val="none"/>
              </w:rPr>
            </w:pPr>
            <w:r w:rsidRPr="00226F9D">
              <w:rPr>
                <w:rFonts w:ascii="Times New Roman" w:eastAsia="Times New Roman" w:hAnsi="Times New Roman" w:cs="Times New Roman"/>
                <w:bCs/>
                <w:color w:val="000000"/>
                <w:kern w:val="24"/>
                <w:sz w:val="20"/>
                <w:szCs w:val="20"/>
                <w:lang w:val="sr-Cyrl-RS" w:eastAsia="en-GB"/>
                <w14:ligatures w14:val="none"/>
              </w:rPr>
              <w:t>Показатељ на нивоу посебног циља</w:t>
            </w:r>
          </w:p>
        </w:tc>
      </w:tr>
      <w:tr w:rsidR="007A7449" w:rsidRPr="00226F9D" w14:paraId="122618C0" w14:textId="77777777" w:rsidTr="00DC6D28">
        <w:trPr>
          <w:trHeight w:val="373"/>
          <w:jc w:val="center"/>
        </w:trPr>
        <w:tc>
          <w:tcPr>
            <w:tcW w:w="3436" w:type="dxa"/>
            <w:shd w:val="clear" w:color="auto" w:fill="FFC000"/>
          </w:tcPr>
          <w:p w14:paraId="36D2F821" w14:textId="77777777" w:rsidR="00823C7D" w:rsidRPr="00226F9D" w:rsidRDefault="00823C7D" w:rsidP="004A0952">
            <w:pPr>
              <w:spacing w:after="0" w:line="240" w:lineRule="auto"/>
              <w:rPr>
                <w:rFonts w:ascii="Times New Roman" w:eastAsia="Times New Roman" w:hAnsi="Times New Roman" w:cs="Times New Roman"/>
                <w:b/>
                <w:color w:val="000000"/>
                <w:kern w:val="24"/>
                <w:sz w:val="20"/>
                <w:szCs w:val="20"/>
                <w:lang w:val="sr-Cyrl-RS" w:eastAsia="en-GB"/>
                <w14:ligatures w14:val="none"/>
              </w:rPr>
            </w:pPr>
            <w:r w:rsidRPr="00226F9D">
              <w:rPr>
                <w:rFonts w:ascii="Times New Roman" w:eastAsia="Times New Roman" w:hAnsi="Times New Roman" w:cs="Times New Roman"/>
                <w:b/>
                <w:color w:val="000000"/>
                <w:kern w:val="24"/>
                <w:sz w:val="20"/>
                <w:szCs w:val="20"/>
                <w:lang w:val="sr-Cyrl-RS" w:eastAsia="en-GB"/>
                <w14:ligatures w14:val="none"/>
              </w:rPr>
              <w:t>Јединица мере и природа</w:t>
            </w:r>
          </w:p>
        </w:tc>
        <w:tc>
          <w:tcPr>
            <w:tcW w:w="6859" w:type="dxa"/>
            <w:gridSpan w:val="3"/>
            <w:shd w:val="clear" w:color="auto" w:fill="FFFFFF" w:themeFill="background1"/>
          </w:tcPr>
          <w:p w14:paraId="5685DE0F" w14:textId="3045E1AB" w:rsidR="00823C7D" w:rsidRPr="00226F9D" w:rsidRDefault="00F9143D" w:rsidP="00090884">
            <w:pPr>
              <w:spacing w:after="0" w:line="240" w:lineRule="auto"/>
              <w:jc w:val="both"/>
              <w:rPr>
                <w:rFonts w:ascii="Times New Roman" w:eastAsia="Times New Roman" w:hAnsi="Times New Roman" w:cs="Times New Roman"/>
                <w:color w:val="000000"/>
                <w:kern w:val="24"/>
                <w:sz w:val="20"/>
                <w:szCs w:val="20"/>
                <w:lang w:val="sr-Cyrl-RS" w:eastAsia="en-GB"/>
                <w14:ligatures w14:val="none"/>
              </w:rPr>
            </w:pPr>
            <w:r w:rsidRPr="00226F9D">
              <w:rPr>
                <w:rFonts w:ascii="Times New Roman" w:eastAsia="Times New Roman" w:hAnsi="Times New Roman" w:cs="Times New Roman"/>
                <w:color w:val="000000"/>
                <w:kern w:val="24"/>
                <w:sz w:val="20"/>
                <w:szCs w:val="20"/>
                <w:lang w:val="sr-Cyrl-RS" w:eastAsia="en-GB"/>
                <w14:ligatures w14:val="none"/>
              </w:rPr>
              <w:t>Проценат</w:t>
            </w:r>
          </w:p>
        </w:tc>
        <w:tc>
          <w:tcPr>
            <w:tcW w:w="4267" w:type="dxa"/>
            <w:gridSpan w:val="2"/>
            <w:shd w:val="clear" w:color="auto" w:fill="FFFFFF" w:themeFill="background1"/>
          </w:tcPr>
          <w:p w14:paraId="68A4B7A5" w14:textId="77777777" w:rsidR="00823C7D" w:rsidRPr="00226F9D" w:rsidRDefault="00823C7D" w:rsidP="006B59F4">
            <w:pPr>
              <w:spacing w:after="0" w:line="240" w:lineRule="auto"/>
              <w:jc w:val="both"/>
              <w:rPr>
                <w:rFonts w:ascii="Times New Roman" w:eastAsia="Arial" w:hAnsi="Times New Roman" w:cs="Times New Roman"/>
                <w:color w:val="000000"/>
                <w:spacing w:val="-1"/>
                <w:kern w:val="24"/>
                <w:sz w:val="20"/>
                <w:szCs w:val="20"/>
                <w:lang w:val="sr-Cyrl-RS" w:eastAsia="en-GB"/>
                <w14:ligatures w14:val="none"/>
              </w:rPr>
            </w:pPr>
            <w:r w:rsidRPr="00226F9D">
              <w:rPr>
                <w:rFonts w:ascii="Times New Roman" w:eastAsia="Arial" w:hAnsi="Times New Roman" w:cs="Times New Roman"/>
                <w:color w:val="000000"/>
                <w:spacing w:val="-1"/>
                <w:kern w:val="24"/>
                <w:sz w:val="20"/>
                <w:szCs w:val="20"/>
                <w:lang w:val="sr-Cyrl-RS" w:eastAsia="en-GB"/>
                <w14:ligatures w14:val="none"/>
              </w:rPr>
              <w:t>Пожељна је већа вредност</w:t>
            </w:r>
          </w:p>
        </w:tc>
      </w:tr>
      <w:tr w:rsidR="00823C7D" w:rsidRPr="00226F9D" w14:paraId="31F5707A" w14:textId="77777777" w:rsidTr="00DC6D28">
        <w:trPr>
          <w:jc w:val="center"/>
        </w:trPr>
        <w:tc>
          <w:tcPr>
            <w:tcW w:w="3436" w:type="dxa"/>
            <w:shd w:val="clear" w:color="auto" w:fill="FFC000"/>
          </w:tcPr>
          <w:p w14:paraId="5A902F20" w14:textId="77777777" w:rsidR="00823C7D" w:rsidRPr="00226F9D" w:rsidRDefault="00823C7D"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Извор података за праћење показатеља учинка</w:t>
            </w:r>
          </w:p>
        </w:tc>
        <w:tc>
          <w:tcPr>
            <w:tcW w:w="11126" w:type="dxa"/>
            <w:gridSpan w:val="5"/>
            <w:shd w:val="clear" w:color="auto" w:fill="FFFFFF" w:themeFill="background1"/>
          </w:tcPr>
          <w:p w14:paraId="686CD35C" w14:textId="0B922371" w:rsidR="00823C7D" w:rsidRPr="00226F9D" w:rsidRDefault="00F9143D" w:rsidP="006B59F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Извештај МДУЛС</w:t>
            </w:r>
          </w:p>
        </w:tc>
      </w:tr>
      <w:tr w:rsidR="00823C7D" w:rsidRPr="00226F9D" w14:paraId="00C3F297" w14:textId="77777777" w:rsidTr="00DC6D28">
        <w:trPr>
          <w:jc w:val="center"/>
        </w:trPr>
        <w:tc>
          <w:tcPr>
            <w:tcW w:w="3436" w:type="dxa"/>
            <w:shd w:val="clear" w:color="auto" w:fill="FFC000"/>
          </w:tcPr>
          <w:p w14:paraId="2FE8BC0F" w14:textId="77777777" w:rsidR="00823C7D" w:rsidRPr="00226F9D" w:rsidRDefault="00823C7D"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Назив носиоца прикупљања података</w:t>
            </w:r>
          </w:p>
        </w:tc>
        <w:tc>
          <w:tcPr>
            <w:tcW w:w="11126" w:type="dxa"/>
            <w:gridSpan w:val="5"/>
            <w:shd w:val="clear" w:color="auto" w:fill="FFFFFF" w:themeFill="background1"/>
          </w:tcPr>
          <w:p w14:paraId="5D3CCE51" w14:textId="187F5A92" w:rsidR="00823C7D" w:rsidRPr="00226F9D" w:rsidRDefault="00823C7D"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Yu Mincho" w:hAnsi="Times New Roman" w:cs="Times New Roman"/>
                <w:kern w:val="0"/>
                <w:sz w:val="20"/>
                <w:szCs w:val="20"/>
                <w:lang w:val="sr-Cyrl-RS" w:eastAsia="en-GB"/>
                <w14:ligatures w14:val="none"/>
              </w:rPr>
              <w:t xml:space="preserve">МДУЛС </w:t>
            </w:r>
            <w:r w:rsidR="003C5991" w:rsidRPr="00226F9D">
              <w:rPr>
                <w:rFonts w:ascii="Times New Roman" w:eastAsia="Calibri" w:hAnsi="Times New Roman" w:cs="Times New Roman"/>
                <w:kern w:val="0"/>
                <w:sz w:val="20"/>
                <w:szCs w:val="20"/>
                <w:lang w:val="sr-Cyrl-RS" w:eastAsia="en-GB"/>
                <w14:ligatures w14:val="none"/>
              </w:rPr>
              <w:t xml:space="preserve">, Душанка Јовановић, </w:t>
            </w:r>
            <w:hyperlink r:id="rId59" w:history="1">
              <w:r w:rsidR="00917B4B" w:rsidRPr="00226F9D">
                <w:rPr>
                  <w:rStyle w:val="Hyperlink"/>
                  <w:rFonts w:ascii="Times New Roman" w:eastAsia="Calibri" w:hAnsi="Times New Roman" w:cs="Times New Roman"/>
                  <w:kern w:val="0"/>
                  <w:sz w:val="20"/>
                  <w:szCs w:val="20"/>
                  <w:lang w:val="sr-Cyrl-RS" w:eastAsia="en-GB"/>
                  <w14:ligatures w14:val="none"/>
                </w:rPr>
                <w:t>dusanka.jovanovic@mduls.gov.rs</w:t>
              </w:r>
            </w:hyperlink>
            <w:r w:rsidR="00917B4B" w:rsidRPr="00226F9D">
              <w:rPr>
                <w:rFonts w:ascii="Times New Roman" w:eastAsia="Calibri" w:hAnsi="Times New Roman" w:cs="Times New Roman"/>
                <w:kern w:val="0"/>
                <w:sz w:val="20"/>
                <w:szCs w:val="20"/>
                <w:lang w:val="sr-Cyrl-RS" w:eastAsia="en-GB"/>
                <w14:ligatures w14:val="none"/>
              </w:rPr>
              <w:t xml:space="preserve"> </w:t>
            </w:r>
            <w:r w:rsidR="003C5991" w:rsidRPr="00226F9D">
              <w:rPr>
                <w:rFonts w:ascii="Times New Roman" w:eastAsia="Times New Roman" w:hAnsi="Times New Roman" w:cs="Times New Roman"/>
                <w:kern w:val="0"/>
                <w:sz w:val="20"/>
                <w:szCs w:val="20"/>
                <w:lang w:val="sr-Cyrl-RS" w:eastAsia="en-GB"/>
                <w14:ligatures w14:val="none"/>
              </w:rPr>
              <w:t xml:space="preserve">  </w:t>
            </w:r>
          </w:p>
        </w:tc>
      </w:tr>
      <w:tr w:rsidR="00823C7D" w:rsidRPr="00226F9D" w14:paraId="0AB47C4D" w14:textId="77777777" w:rsidTr="00DC6D28">
        <w:trPr>
          <w:jc w:val="center"/>
        </w:trPr>
        <w:tc>
          <w:tcPr>
            <w:tcW w:w="3436" w:type="dxa"/>
            <w:shd w:val="clear" w:color="auto" w:fill="FFC000"/>
          </w:tcPr>
          <w:p w14:paraId="783E3350" w14:textId="77777777" w:rsidR="00823C7D" w:rsidRPr="00226F9D" w:rsidRDefault="00823C7D"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Учесталост прикупљања података</w:t>
            </w:r>
          </w:p>
        </w:tc>
        <w:tc>
          <w:tcPr>
            <w:tcW w:w="11126" w:type="dxa"/>
            <w:gridSpan w:val="5"/>
            <w:shd w:val="clear" w:color="auto" w:fill="FFFFFF" w:themeFill="background1"/>
          </w:tcPr>
          <w:p w14:paraId="05438791" w14:textId="0EEF2702" w:rsidR="00823C7D" w:rsidRPr="00226F9D" w:rsidRDefault="00DC6626" w:rsidP="006B59F4">
            <w:pPr>
              <w:spacing w:after="0" w:line="240" w:lineRule="auto"/>
              <w:jc w:val="both"/>
              <w:rPr>
                <w:rFonts w:ascii="Times New Roman" w:eastAsia="Yu Mincho" w:hAnsi="Times New Roman" w:cs="Times New Roman"/>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Подаци се прикупљају на годишњем нивоу, до 31. јануара за претходну годину.</w:t>
            </w:r>
          </w:p>
        </w:tc>
      </w:tr>
      <w:tr w:rsidR="00823C7D" w:rsidRPr="00226F9D" w14:paraId="108D138B" w14:textId="77777777" w:rsidTr="00DC6D28">
        <w:trPr>
          <w:trHeight w:val="906"/>
          <w:jc w:val="center"/>
        </w:trPr>
        <w:tc>
          <w:tcPr>
            <w:tcW w:w="3436" w:type="dxa"/>
            <w:shd w:val="clear" w:color="auto" w:fill="FFC000"/>
          </w:tcPr>
          <w:p w14:paraId="49115968" w14:textId="77777777" w:rsidR="00823C7D" w:rsidRPr="00226F9D" w:rsidRDefault="00823C7D"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Кратак опис показатеља и методологије израчунавања</w:t>
            </w:r>
          </w:p>
          <w:p w14:paraId="399FD6E7" w14:textId="77777777" w:rsidR="00823C7D" w:rsidRPr="00226F9D" w:rsidRDefault="00823C7D"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(формуле/једначине)</w:t>
            </w:r>
          </w:p>
        </w:tc>
        <w:tc>
          <w:tcPr>
            <w:tcW w:w="11126" w:type="dxa"/>
            <w:gridSpan w:val="5"/>
            <w:shd w:val="clear" w:color="auto" w:fill="FFFFFF" w:themeFill="background1"/>
          </w:tcPr>
          <w:p w14:paraId="39FE20C1" w14:textId="463AF1C1" w:rsidR="009B6338" w:rsidRPr="00226F9D" w:rsidRDefault="00F00EB9" w:rsidP="006B59F4">
            <w:pPr>
              <w:spacing w:after="0" w:line="240" w:lineRule="auto"/>
              <w:jc w:val="both"/>
              <w:rPr>
                <w:rFonts w:ascii="Times New Roman" w:eastAsia="Yu Mincho" w:hAnsi="Times New Roman" w:cs="Times New Roman"/>
                <w:kern w:val="0"/>
                <w:sz w:val="20"/>
                <w:szCs w:val="20"/>
                <w:lang w:val="sr-Latn-RS" w:eastAsia="en-GB"/>
                <w14:ligatures w14:val="none"/>
              </w:rPr>
            </w:pPr>
            <w:r w:rsidRPr="00226F9D">
              <w:rPr>
                <w:rFonts w:ascii="Times New Roman" w:eastAsia="Yu Mincho" w:hAnsi="Times New Roman" w:cs="Times New Roman"/>
                <w:kern w:val="0"/>
                <w:sz w:val="20"/>
                <w:szCs w:val="20"/>
                <w:lang w:val="sr-Cyrl-RS" w:eastAsia="en-GB"/>
                <w14:ligatures w14:val="none"/>
              </w:rPr>
              <w:t>Овај показатељ мери колико је ЈЛС успоставило неки облик међуопштинске сарадње (МОС) у обављању послова локалне самоуправе као једног од кључних механизама за унапређење доступности и ефикасног остваривања функција локалне самоуправе за грађане Републике Србије. Под облицима МОС подразумева се сарадња коју градови и општине остварују у складу са одредбама Закона о локалној самоуправи (чл. 88–89). У складу са ЗЛС, министарство надлежно за локалну самоуправу води евиденцију о закљученим споразумима о сарадњи и та евиденција чини основу за праћење овог показатеља. Вредност показатеља се израчунава тако што се број ЈЛС које имају потписан споразум о МОС подели са укупним бројем ЈЛС.</w:t>
            </w:r>
          </w:p>
          <w:p w14:paraId="20B49C15" w14:textId="1BCBF47B" w:rsidR="00F00EB9" w:rsidRPr="00226F9D" w:rsidRDefault="00352994" w:rsidP="00352994">
            <w:pPr>
              <w:spacing w:after="0" w:line="240" w:lineRule="auto"/>
              <w:jc w:val="center"/>
              <w:rPr>
                <w:rFonts w:ascii="Times New Roman" w:eastAsia="Yu Mincho" w:hAnsi="Times New Roman" w:cs="Times New Roman"/>
                <w:kern w:val="0"/>
                <w:sz w:val="20"/>
                <w:szCs w:val="20"/>
                <w:lang w:val="sr-Cyrl-RS" w:eastAsia="en-GB"/>
                <w14:ligatures w14:val="none"/>
              </w:rPr>
            </w:pPr>
            <w:r w:rsidRPr="00226F9D">
              <w:rPr>
                <w:rFonts w:ascii="Times New Roman" w:hAnsi="Times New Roman" w:cs="Times New Roman"/>
                <w:noProof/>
                <w:sz w:val="20"/>
                <w:szCs w:val="20"/>
              </w:rPr>
              <mc:AlternateContent>
                <mc:Choice Requires="wps">
                  <w:drawing>
                    <wp:anchor distT="0" distB="0" distL="114300" distR="114300" simplePos="0" relativeHeight="251658243" behindDoc="0" locked="0" layoutInCell="1" allowOverlap="1" wp14:anchorId="3D290E72" wp14:editId="297B0ABE">
                      <wp:simplePos x="0" y="0"/>
                      <wp:positionH relativeFrom="column">
                        <wp:posOffset>2525687</wp:posOffset>
                      </wp:positionH>
                      <wp:positionV relativeFrom="paragraph">
                        <wp:posOffset>172720</wp:posOffset>
                      </wp:positionV>
                      <wp:extent cx="1962150" cy="264795"/>
                      <wp:effectExtent l="0" t="0" r="0" b="8890"/>
                      <wp:wrapNone/>
                      <wp:docPr id="17" name="TextBox 2"/>
                      <wp:cNvGraphicFramePr/>
                      <a:graphic xmlns:a="http://schemas.openxmlformats.org/drawingml/2006/main">
                        <a:graphicData uri="http://schemas.microsoft.com/office/word/2010/wordprocessingShape">
                          <wps:wsp>
                            <wps:cNvSpPr txBox="1"/>
                            <wps:spPr>
                              <a:xfrm>
                                <a:off x="0" y="0"/>
                                <a:ext cx="1962150" cy="264795"/>
                              </a:xfrm>
                              <a:prstGeom prst="rect">
                                <a:avLst/>
                              </a:prstGeom>
                              <a:noFill/>
                              <a:ln>
                                <a:noFill/>
                              </a:ln>
                              <a:effectLst/>
                            </wps:spPr>
                            <wps:txbx>
                              <w:txbxContent>
                                <w:p w14:paraId="598E88FB" w14:textId="77777777" w:rsidR="00C01216" w:rsidRPr="004A3859" w:rsidRDefault="00D155C4" w:rsidP="005255DE">
                                  <w:pPr>
                                    <w:rPr>
                                      <w:color w:val="000000" w:themeColor="text1"/>
                                      <w:lang w:val="sr-Latn-RS"/>
                                    </w:rPr>
                                  </w:pPr>
                                  <m:oMath>
                                    <m:f>
                                      <m:fPr>
                                        <m:ctrlPr>
                                          <w:rPr>
                                            <w:rFonts w:ascii="Cambria Math" w:eastAsiaTheme="minorEastAsia" w:hAnsi="Cambria Math"/>
                                            <w:i/>
                                            <w:iCs/>
                                            <w:color w:val="000000" w:themeColor="text1"/>
                                            <w:sz w:val="28"/>
                                            <w:szCs w:val="28"/>
                                          </w:rPr>
                                        </m:ctrlPr>
                                      </m:fPr>
                                      <m:num>
                                        <m:r>
                                          <w:rPr>
                                            <w:rFonts w:ascii="Cambria Math" w:hAnsi="Cambria Math"/>
                                            <w:color w:val="000000" w:themeColor="text1"/>
                                            <w:sz w:val="28"/>
                                            <w:szCs w:val="28"/>
                                            <w:lang w:val="sr-Cyrl-RS"/>
                                          </w:rPr>
                                          <m:t>Број ЈЛС које имају МОС</m:t>
                                        </m:r>
                                      </m:num>
                                      <m:den>
                                        <m:r>
                                          <w:rPr>
                                            <w:rFonts w:ascii="Cambria Math" w:hAnsi="Cambria Math"/>
                                            <w:color w:val="000000" w:themeColor="text1"/>
                                            <w:sz w:val="28"/>
                                            <w:szCs w:val="28"/>
                                            <w:lang w:val="sr-Latn-RS"/>
                                          </w:rPr>
                                          <m:t xml:space="preserve">Укупан број ЈЛС </m:t>
                                        </m:r>
                                      </m:den>
                                    </m:f>
                                  </m:oMath>
                                  <w:r w:rsidR="00C01216">
                                    <w:rPr>
                                      <w:color w:val="000000" w:themeColor="text1"/>
                                      <w:lang w:val="sr-Latn-RS"/>
                                    </w:rPr>
                                    <w:t xml:space="preserve"> </w:t>
                                  </w:r>
                                  <m:oMath>
                                    <m:r>
                                      <w:rPr>
                                        <w:rFonts w:ascii="Cambria Math" w:eastAsia="Cambria Math" w:hAnsi="Cambria Math"/>
                                        <w:color w:val="000000" w:themeColor="text1"/>
                                        <w:lang w:val="sr-Latn-RS"/>
                                      </w:rPr>
                                      <m:t>×100</m:t>
                                    </m:r>
                                  </m:oMath>
                                </w:p>
                              </w:txbxContent>
                            </wps:txbx>
                            <wps:bodyPr vertOverflow="clip" horzOverflow="clip" wrap="square" lIns="0" tIns="0" rIns="0" bIns="0" rtlCol="0" anchor="t">
                              <a:spAutoFit/>
                            </wps:bodyPr>
                          </wps:wsp>
                        </a:graphicData>
                      </a:graphic>
                      <wp14:sizeRelH relativeFrom="margin">
                        <wp14:pctWidth>0</wp14:pctWidth>
                      </wp14:sizeRelH>
                      <wp14:sizeRelV relativeFrom="margin">
                        <wp14:pctHeight>0</wp14:pctHeight>
                      </wp14:sizeRelV>
                    </wp:anchor>
                  </w:drawing>
                </mc:Choice>
                <mc:Fallback>
                  <w:pict>
                    <v:shape w14:anchorId="3D290E72" id="_x0000_s1029" type="#_x0000_t202" style="position:absolute;left:0;text-align:left;margin-left:198.85pt;margin-top:13.6pt;width:154.5pt;height:20.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" filled="f" stroked="f">
                      <v:textbox style="mso-fit-shape-to-text:t" inset="0,0,0,0">
                        <w:txbxContent>
                          <w:p w14:paraId="598E88FB" w14:textId="77777777" w:rsidR="00C01216" w:rsidRPr="004A3859" w:rsidRDefault="00C01216" w:rsidP="005255DE">
                            <w:pPr>
                              <w:rPr>
                                <w:color w:val="000000" w:themeColor="text1"/>
                                <w:lang w:val="sr-Latn-RS"/>
                              </w:rPr>
                            </w:pPr>
                            <m:oMath>
                              <m:f>
                                <m:fPr>
                                  <m:ctrlPr>
                                    <w:rPr>
                                      <w:rFonts w:ascii="Cambria Math" w:eastAsiaTheme="minorEastAsia" w:hAnsi="Cambria Math"/>
                                      <w:i/>
                                      <w:iCs/>
                                      <w:color w:val="000000" w:themeColor="text1"/>
                                      <w:sz w:val="28"/>
                                      <w:szCs w:val="28"/>
                                    </w:rPr>
                                  </m:ctrlPr>
                                </m:fPr>
                                <m:num>
                                  <m:r>
                                    <w:rPr>
                                      <w:rFonts w:ascii="Cambria Math" w:hAnsi="Cambria Math"/>
                                      <w:color w:val="000000" w:themeColor="text1"/>
                                      <w:sz w:val="28"/>
                                      <w:szCs w:val="28"/>
                                      <w:lang w:val="sr-Cyrl-RS"/>
                                    </w:rPr>
                                    <m:t>Број ЈЛС које имају МОС</m:t>
                                  </m:r>
                                </m:num>
                                <m:den>
                                  <m:r>
                                    <w:rPr>
                                      <w:rFonts w:ascii="Cambria Math" w:hAnsi="Cambria Math"/>
                                      <w:color w:val="000000" w:themeColor="text1"/>
                                      <w:sz w:val="28"/>
                                      <w:szCs w:val="28"/>
                                      <w:lang w:val="sr-Latn-RS"/>
                                    </w:rPr>
                                    <m:t xml:space="preserve">Укупан број ЈЛС </m:t>
                                  </m:r>
                                </m:den>
                              </m:f>
                            </m:oMath>
                            <w:r>
                              <w:rPr>
                                <w:color w:val="000000" w:themeColor="text1"/>
                                <w:lang w:val="sr-Latn-RS"/>
                              </w:rPr>
                              <w:t xml:space="preserve"> </w:t>
                            </w:r>
                            <m:oMath>
                              <m:r>
                                <w:rPr>
                                  <w:rFonts w:ascii="Cambria Math" w:eastAsia="Cambria Math" w:hAnsi="Cambria Math"/>
                                  <w:color w:val="000000" w:themeColor="text1"/>
                                  <w:lang w:val="sr-Latn-RS"/>
                                </w:rPr>
                                <m:t>×100</m:t>
                              </m:r>
                            </m:oMath>
                          </w:p>
                        </w:txbxContent>
                      </v:textbox>
                    </v:shape>
                  </w:pict>
                </mc:Fallback>
              </mc:AlternateContent>
            </w:r>
            <w:r w:rsidR="00F00EB9" w:rsidRPr="00226F9D">
              <w:rPr>
                <w:rFonts w:ascii="Times New Roman" w:eastAsia="Yu Mincho" w:hAnsi="Times New Roman" w:cs="Times New Roman"/>
                <w:kern w:val="0"/>
                <w:sz w:val="20"/>
                <w:szCs w:val="20"/>
                <w:lang w:val="sr-Cyrl-RS" w:eastAsia="en-GB"/>
                <w14:ligatures w14:val="none"/>
              </w:rPr>
              <w:t>ФОРМУЛА/ЈЕДНАЧИНА</w:t>
            </w:r>
          </w:p>
          <w:p w14:paraId="4BD483AE" w14:textId="471F6E01" w:rsidR="00F00EB9" w:rsidRPr="00226F9D" w:rsidRDefault="00F00EB9" w:rsidP="006B59F4">
            <w:pPr>
              <w:spacing w:after="0" w:line="240" w:lineRule="auto"/>
              <w:jc w:val="both"/>
              <w:rPr>
                <w:rFonts w:ascii="Times New Roman" w:eastAsia="Yu Mincho" w:hAnsi="Times New Roman" w:cs="Times New Roman"/>
                <w:kern w:val="0"/>
                <w:sz w:val="20"/>
                <w:szCs w:val="20"/>
                <w:lang w:val="sr-Cyrl-RS" w:eastAsia="en-GB"/>
                <w14:ligatures w14:val="none"/>
              </w:rPr>
            </w:pPr>
          </w:p>
          <w:p w14:paraId="32CC90F0" w14:textId="5BEE6F6E" w:rsidR="00F00EB9" w:rsidRPr="00226F9D" w:rsidRDefault="00F00EB9" w:rsidP="006B59F4">
            <w:pPr>
              <w:spacing w:after="0" w:line="240" w:lineRule="auto"/>
              <w:jc w:val="both"/>
              <w:rPr>
                <w:rFonts w:ascii="Times New Roman" w:eastAsia="Yu Mincho" w:hAnsi="Times New Roman" w:cs="Times New Roman"/>
                <w:kern w:val="0"/>
                <w:sz w:val="20"/>
                <w:szCs w:val="20"/>
                <w:lang w:val="sr-Cyrl-RS" w:eastAsia="en-GB"/>
                <w14:ligatures w14:val="none"/>
              </w:rPr>
            </w:pPr>
          </w:p>
          <w:p w14:paraId="6FB1BC2E" w14:textId="4D735F27" w:rsidR="00823C7D" w:rsidRPr="00226F9D" w:rsidRDefault="00823C7D" w:rsidP="006B59F4">
            <w:pPr>
              <w:spacing w:after="0" w:line="240" w:lineRule="auto"/>
              <w:jc w:val="both"/>
              <w:rPr>
                <w:rFonts w:ascii="Times New Roman" w:eastAsia="Yu Mincho" w:hAnsi="Times New Roman" w:cs="Times New Roman"/>
                <w:kern w:val="0"/>
                <w:sz w:val="20"/>
                <w:szCs w:val="20"/>
                <w:lang w:val="sr-Cyrl-RS" w:eastAsia="en-GB"/>
                <w14:ligatures w14:val="none"/>
              </w:rPr>
            </w:pPr>
          </w:p>
        </w:tc>
      </w:tr>
      <w:tr w:rsidR="007A7449" w:rsidRPr="00226F9D" w14:paraId="5189EB4B" w14:textId="77777777" w:rsidTr="00DC6D28">
        <w:trPr>
          <w:trHeight w:val="265"/>
          <w:jc w:val="center"/>
        </w:trPr>
        <w:tc>
          <w:tcPr>
            <w:tcW w:w="3436" w:type="dxa"/>
            <w:vMerge w:val="restart"/>
            <w:shd w:val="clear" w:color="auto" w:fill="FFC000"/>
          </w:tcPr>
          <w:p w14:paraId="0F338574" w14:textId="77777777" w:rsidR="00823C7D" w:rsidRPr="00226F9D" w:rsidRDefault="00823C7D"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r w:rsidRPr="00226F9D">
              <w:rPr>
                <w:rFonts w:ascii="Times New Roman" w:eastAsia="Times New Roman" w:hAnsi="Times New Roman" w:cs="Times New Roman"/>
                <w:b/>
                <w:bCs/>
                <w:color w:val="000000"/>
                <w:kern w:val="0"/>
                <w:sz w:val="20"/>
                <w:szCs w:val="20"/>
                <w:lang w:val="sr-Cyrl-RS" w:eastAsia="en-GB"/>
                <w14:ligatures w14:val="none"/>
              </w:rPr>
              <w:t>Подаци о полазној вредности и години кад је измерена, као и о тренду у прошлости</w:t>
            </w:r>
          </w:p>
        </w:tc>
        <w:tc>
          <w:tcPr>
            <w:tcW w:w="9072" w:type="dxa"/>
            <w:gridSpan w:val="4"/>
            <w:tcBorders>
              <w:bottom w:val="single" w:sz="4" w:space="0" w:color="auto"/>
            </w:tcBorders>
            <w:shd w:val="clear" w:color="auto" w:fill="FFFFFF" w:themeFill="background1"/>
          </w:tcPr>
          <w:p w14:paraId="46937155" w14:textId="77777777" w:rsidR="00823C7D" w:rsidRPr="00226F9D" w:rsidRDefault="00823C7D"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Тренд у прошлости</w:t>
            </w:r>
          </w:p>
        </w:tc>
        <w:tc>
          <w:tcPr>
            <w:tcW w:w="2054" w:type="dxa"/>
            <w:shd w:val="clear" w:color="auto" w:fill="FFFFFF" w:themeFill="background1"/>
          </w:tcPr>
          <w:p w14:paraId="216F9A94" w14:textId="77777777" w:rsidR="00823C7D" w:rsidRPr="00226F9D" w:rsidRDefault="00823C7D"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Полазна вредност</w:t>
            </w:r>
          </w:p>
        </w:tc>
      </w:tr>
      <w:tr w:rsidR="00DC6D28" w:rsidRPr="00226F9D" w14:paraId="1A25FAE2" w14:textId="77777777" w:rsidTr="006501BA">
        <w:trPr>
          <w:trHeight w:val="137"/>
          <w:jc w:val="center"/>
        </w:trPr>
        <w:tc>
          <w:tcPr>
            <w:tcW w:w="3436" w:type="dxa"/>
            <w:vMerge/>
          </w:tcPr>
          <w:p w14:paraId="331479AF" w14:textId="77777777" w:rsidR="00DC6D28" w:rsidRPr="00226F9D" w:rsidRDefault="00DC6D28" w:rsidP="004A0952">
            <w:pPr>
              <w:spacing w:after="0" w:line="240" w:lineRule="auto"/>
              <w:rPr>
                <w:rFonts w:ascii="Times New Roman" w:eastAsia="Times New Roman" w:hAnsi="Times New Roman" w:cs="Times New Roman"/>
                <w:b/>
                <w:bCs/>
                <w:color w:val="000000"/>
                <w:kern w:val="0"/>
                <w:sz w:val="20"/>
                <w:szCs w:val="20"/>
                <w:lang w:val="sr-Cyrl-RS" w:eastAsia="en-GB"/>
                <w14:ligatures w14:val="none"/>
              </w:rPr>
            </w:pPr>
          </w:p>
        </w:tc>
        <w:tc>
          <w:tcPr>
            <w:tcW w:w="2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38CF575" w14:textId="7724E806" w:rsidR="00DC6D28" w:rsidRPr="00226F9D" w:rsidRDefault="00DC6D28"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2021</w:t>
            </w:r>
          </w:p>
        </w:tc>
        <w:tc>
          <w:tcPr>
            <w:tcW w:w="2189" w:type="dxa"/>
            <w:tcBorders>
              <w:top w:val="single" w:sz="4" w:space="0" w:color="auto"/>
              <w:left w:val="single" w:sz="4" w:space="0" w:color="auto"/>
              <w:bottom w:val="single" w:sz="4" w:space="0" w:color="auto"/>
              <w:right w:val="single" w:sz="4" w:space="0" w:color="auto"/>
            </w:tcBorders>
            <w:shd w:val="clear" w:color="auto" w:fill="FFFFFF" w:themeFill="background1"/>
          </w:tcPr>
          <w:p w14:paraId="3C51027C" w14:textId="77777777" w:rsidR="00DC6D28" w:rsidRPr="00226F9D" w:rsidRDefault="00DC6D28"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2022.</w:t>
            </w:r>
          </w:p>
        </w:tc>
        <w:tc>
          <w:tcPr>
            <w:tcW w:w="2220" w:type="dxa"/>
            <w:tcBorders>
              <w:top w:val="single" w:sz="4" w:space="0" w:color="auto"/>
              <w:left w:val="single" w:sz="4" w:space="0" w:color="auto"/>
              <w:bottom w:val="single" w:sz="4" w:space="0" w:color="auto"/>
              <w:right w:val="single" w:sz="4" w:space="0" w:color="auto"/>
            </w:tcBorders>
            <w:shd w:val="clear" w:color="auto" w:fill="FFFFFF" w:themeFill="background1"/>
          </w:tcPr>
          <w:p w14:paraId="41B15CE6" w14:textId="2613E8B2" w:rsidR="00DC6D28" w:rsidRPr="00226F9D" w:rsidRDefault="006501BA"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2023.</w:t>
            </w:r>
          </w:p>
        </w:tc>
        <w:tc>
          <w:tcPr>
            <w:tcW w:w="2213" w:type="dxa"/>
            <w:tcBorders>
              <w:top w:val="single" w:sz="4" w:space="0" w:color="auto"/>
              <w:left w:val="single" w:sz="4" w:space="0" w:color="auto"/>
              <w:bottom w:val="single" w:sz="4" w:space="0" w:color="auto"/>
              <w:right w:val="single" w:sz="4" w:space="0" w:color="auto"/>
            </w:tcBorders>
            <w:shd w:val="clear" w:color="auto" w:fill="FFFFFF" w:themeFill="background1"/>
          </w:tcPr>
          <w:p w14:paraId="4C45C3C3" w14:textId="4CB8A908" w:rsidR="00DC6D28" w:rsidRPr="00226F9D" w:rsidRDefault="00DA1FE1"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2024.</w:t>
            </w:r>
          </w:p>
        </w:tc>
        <w:tc>
          <w:tcPr>
            <w:tcW w:w="2054" w:type="dxa"/>
            <w:tcBorders>
              <w:left w:val="single" w:sz="4" w:space="0" w:color="auto"/>
            </w:tcBorders>
            <w:shd w:val="clear" w:color="auto" w:fill="FFFFFF" w:themeFill="background1"/>
          </w:tcPr>
          <w:p w14:paraId="2B73F25F" w14:textId="6FD2C6B2" w:rsidR="00DC6D28" w:rsidRPr="00226F9D" w:rsidRDefault="00DC6D28" w:rsidP="00090884">
            <w:pPr>
              <w:spacing w:after="0" w:line="240" w:lineRule="auto"/>
              <w:jc w:val="both"/>
              <w:rPr>
                <w:rFonts w:ascii="Times New Roman" w:eastAsia="Times New Roman" w:hAnsi="Times New Roman" w:cs="Times New Roman"/>
                <w:kern w:val="0"/>
                <w:sz w:val="20"/>
                <w:szCs w:val="20"/>
                <w:lang w:val="sr-Cyrl-RS" w:eastAsia="en-GB"/>
                <w14:ligatures w14:val="none"/>
              </w:rPr>
            </w:pPr>
            <w:r w:rsidRPr="00226F9D">
              <w:rPr>
                <w:rFonts w:ascii="Times New Roman" w:eastAsia="Times New Roman" w:hAnsi="Times New Roman" w:cs="Times New Roman"/>
                <w:kern w:val="0"/>
                <w:sz w:val="20"/>
                <w:szCs w:val="20"/>
                <w:lang w:val="sr-Cyrl-RS" w:eastAsia="en-GB"/>
                <w14:ligatures w14:val="none"/>
              </w:rPr>
              <w:t>2025.</w:t>
            </w:r>
          </w:p>
        </w:tc>
      </w:tr>
      <w:tr w:rsidR="00DC6D28" w:rsidRPr="00226F9D" w14:paraId="55EFCFA6" w14:textId="77777777" w:rsidTr="006501BA">
        <w:trPr>
          <w:trHeight w:val="323"/>
          <w:jc w:val="center"/>
        </w:trPr>
        <w:tc>
          <w:tcPr>
            <w:tcW w:w="3436" w:type="dxa"/>
            <w:vMerge/>
          </w:tcPr>
          <w:p w14:paraId="3E1677CF" w14:textId="77777777" w:rsidR="00DC6D28" w:rsidRPr="00226F9D" w:rsidRDefault="00DC6D28"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p>
        </w:tc>
        <w:tc>
          <w:tcPr>
            <w:tcW w:w="2450" w:type="dxa"/>
            <w:tcBorders>
              <w:top w:val="single" w:sz="4" w:space="0" w:color="auto"/>
            </w:tcBorders>
            <w:shd w:val="clear" w:color="auto" w:fill="FFFFFF" w:themeFill="background1"/>
          </w:tcPr>
          <w:p w14:paraId="7EFF1384" w14:textId="121659D1" w:rsidR="00DC6D28" w:rsidRPr="00226F9D" w:rsidRDefault="00DC6D28"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36%</w:t>
            </w:r>
          </w:p>
        </w:tc>
        <w:tc>
          <w:tcPr>
            <w:tcW w:w="2189" w:type="dxa"/>
            <w:tcBorders>
              <w:top w:val="single" w:sz="4" w:space="0" w:color="auto"/>
            </w:tcBorders>
            <w:shd w:val="clear" w:color="auto" w:fill="FFFFFF" w:themeFill="background1"/>
          </w:tcPr>
          <w:p w14:paraId="34E3C9F4" w14:textId="77777777" w:rsidR="00DC6D28" w:rsidRPr="00226F9D" w:rsidRDefault="00DC6D28"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44%</w:t>
            </w:r>
          </w:p>
        </w:tc>
        <w:tc>
          <w:tcPr>
            <w:tcW w:w="2220" w:type="dxa"/>
            <w:tcBorders>
              <w:top w:val="single" w:sz="4" w:space="0" w:color="auto"/>
            </w:tcBorders>
            <w:shd w:val="clear" w:color="auto" w:fill="FFFFFF" w:themeFill="background1"/>
          </w:tcPr>
          <w:p w14:paraId="1A9CAE8F" w14:textId="02B65778" w:rsidR="00DC6D28" w:rsidRPr="00226F9D" w:rsidRDefault="006501BA"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60%</w:t>
            </w:r>
          </w:p>
        </w:tc>
        <w:tc>
          <w:tcPr>
            <w:tcW w:w="2213" w:type="dxa"/>
            <w:tcBorders>
              <w:top w:val="single" w:sz="4" w:space="0" w:color="auto"/>
            </w:tcBorders>
            <w:shd w:val="clear" w:color="auto" w:fill="FFFFFF" w:themeFill="background1"/>
          </w:tcPr>
          <w:p w14:paraId="07E16451" w14:textId="4B4FAAD6" w:rsidR="00DC6D28" w:rsidRPr="00226F9D" w:rsidRDefault="00DA1FE1"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61%</w:t>
            </w:r>
          </w:p>
        </w:tc>
        <w:tc>
          <w:tcPr>
            <w:tcW w:w="2054" w:type="dxa"/>
            <w:shd w:val="clear" w:color="auto" w:fill="FFFFFF" w:themeFill="background1"/>
          </w:tcPr>
          <w:p w14:paraId="6CD22C06" w14:textId="041D9507" w:rsidR="00DC6D28" w:rsidRPr="00226F9D" w:rsidRDefault="00DC6D28"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62%</w:t>
            </w:r>
          </w:p>
        </w:tc>
      </w:tr>
      <w:tr w:rsidR="007A7449" w:rsidRPr="00226F9D" w14:paraId="7E3FDED2" w14:textId="77777777" w:rsidTr="006501BA">
        <w:trPr>
          <w:trHeight w:val="274"/>
          <w:jc w:val="center"/>
        </w:trPr>
        <w:tc>
          <w:tcPr>
            <w:tcW w:w="3436" w:type="dxa"/>
            <w:vMerge w:val="restart"/>
            <w:shd w:val="clear" w:color="auto" w:fill="FFC000"/>
          </w:tcPr>
          <w:p w14:paraId="6BFDFBAD" w14:textId="77777777" w:rsidR="00823C7D" w:rsidRPr="00226F9D" w:rsidRDefault="00823C7D"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Подаци о циљним вредностима</w:t>
            </w:r>
          </w:p>
        </w:tc>
        <w:tc>
          <w:tcPr>
            <w:tcW w:w="2450" w:type="dxa"/>
            <w:shd w:val="clear" w:color="auto" w:fill="FFFFFF" w:themeFill="background1"/>
          </w:tcPr>
          <w:p w14:paraId="09AD1D07" w14:textId="77777777" w:rsidR="00823C7D" w:rsidRPr="00226F9D" w:rsidRDefault="00823C7D"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2026.</w:t>
            </w:r>
          </w:p>
        </w:tc>
        <w:tc>
          <w:tcPr>
            <w:tcW w:w="2189" w:type="dxa"/>
            <w:shd w:val="clear" w:color="auto" w:fill="FFFFFF" w:themeFill="background1"/>
          </w:tcPr>
          <w:p w14:paraId="513F4EB6" w14:textId="77777777" w:rsidR="00823C7D" w:rsidRPr="00226F9D" w:rsidRDefault="00823C7D"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2027.</w:t>
            </w:r>
          </w:p>
        </w:tc>
        <w:tc>
          <w:tcPr>
            <w:tcW w:w="2220" w:type="dxa"/>
            <w:shd w:val="clear" w:color="auto" w:fill="FFFFFF" w:themeFill="background1"/>
          </w:tcPr>
          <w:p w14:paraId="04BB8CAA" w14:textId="77777777" w:rsidR="00823C7D" w:rsidRPr="00226F9D" w:rsidRDefault="00823C7D"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2028.</w:t>
            </w:r>
          </w:p>
        </w:tc>
        <w:tc>
          <w:tcPr>
            <w:tcW w:w="2213" w:type="dxa"/>
            <w:shd w:val="clear" w:color="auto" w:fill="FFFFFF" w:themeFill="background1"/>
          </w:tcPr>
          <w:p w14:paraId="2A10027E" w14:textId="77777777" w:rsidR="00823C7D" w:rsidRPr="00226F9D" w:rsidRDefault="00823C7D"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2029.</w:t>
            </w:r>
          </w:p>
        </w:tc>
        <w:tc>
          <w:tcPr>
            <w:tcW w:w="2054" w:type="dxa"/>
            <w:shd w:val="clear" w:color="auto" w:fill="FFFFFF" w:themeFill="background1"/>
          </w:tcPr>
          <w:p w14:paraId="433C601C" w14:textId="77777777" w:rsidR="00823C7D" w:rsidRPr="00226F9D" w:rsidRDefault="00823C7D"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2030.</w:t>
            </w:r>
          </w:p>
        </w:tc>
      </w:tr>
      <w:tr w:rsidR="007A7449" w:rsidRPr="00226F9D" w14:paraId="3D984679" w14:textId="77777777" w:rsidTr="006501BA">
        <w:trPr>
          <w:trHeight w:val="274"/>
          <w:jc w:val="center"/>
        </w:trPr>
        <w:tc>
          <w:tcPr>
            <w:tcW w:w="3436" w:type="dxa"/>
            <w:vMerge/>
            <w:shd w:val="clear" w:color="auto" w:fill="FFC000"/>
          </w:tcPr>
          <w:p w14:paraId="33398251" w14:textId="77777777" w:rsidR="00DB49D5" w:rsidRPr="00226F9D" w:rsidRDefault="00DB49D5"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p>
        </w:tc>
        <w:tc>
          <w:tcPr>
            <w:tcW w:w="2450" w:type="dxa"/>
            <w:shd w:val="clear" w:color="auto" w:fill="FFFFFF" w:themeFill="background1"/>
          </w:tcPr>
          <w:p w14:paraId="40493072" w14:textId="7DEAD27B" w:rsidR="00DB49D5" w:rsidRPr="00226F9D" w:rsidRDefault="00DB49D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w:t>
            </w:r>
            <w:r w:rsidR="008960E8" w:rsidRPr="00226F9D">
              <w:rPr>
                <w:rFonts w:ascii="Times New Roman" w:eastAsia="Times New Roman" w:hAnsi="Times New Roman" w:cs="Times New Roman"/>
                <w:color w:val="000000"/>
                <w:kern w:val="0"/>
                <w:sz w:val="20"/>
                <w:szCs w:val="20"/>
                <w:lang w:val="sr-Cyrl-RS" w:eastAsia="en-GB"/>
                <w14:ligatures w14:val="none"/>
              </w:rPr>
              <w:t>3</w:t>
            </w:r>
            <w:r w:rsidRPr="00226F9D">
              <w:rPr>
                <w:rFonts w:ascii="Times New Roman" w:eastAsia="Times New Roman" w:hAnsi="Times New Roman" w:cs="Times New Roman"/>
                <w:color w:val="000000"/>
                <w:kern w:val="0"/>
                <w:sz w:val="20"/>
                <w:szCs w:val="20"/>
                <w:lang w:val="sr-Cyrl-RS" w:eastAsia="en-GB"/>
                <w14:ligatures w14:val="none"/>
              </w:rPr>
              <w:t>%</w:t>
            </w:r>
          </w:p>
        </w:tc>
        <w:tc>
          <w:tcPr>
            <w:tcW w:w="2189" w:type="dxa"/>
            <w:shd w:val="clear" w:color="auto" w:fill="FFFFFF" w:themeFill="background1"/>
          </w:tcPr>
          <w:p w14:paraId="52D46925" w14:textId="3499A794" w:rsidR="00DB49D5" w:rsidRPr="00226F9D" w:rsidRDefault="00DB49D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w:t>
            </w:r>
            <w:r w:rsidR="008960E8" w:rsidRPr="00226F9D">
              <w:rPr>
                <w:rFonts w:ascii="Times New Roman" w:eastAsia="Times New Roman" w:hAnsi="Times New Roman" w:cs="Times New Roman"/>
                <w:color w:val="000000"/>
                <w:kern w:val="0"/>
                <w:sz w:val="20"/>
                <w:szCs w:val="20"/>
                <w:lang w:val="sr-Cyrl-RS" w:eastAsia="en-GB"/>
                <w14:ligatures w14:val="none"/>
              </w:rPr>
              <w:t>4</w:t>
            </w:r>
            <w:r w:rsidRPr="00226F9D">
              <w:rPr>
                <w:rFonts w:ascii="Times New Roman" w:eastAsia="Times New Roman" w:hAnsi="Times New Roman" w:cs="Times New Roman"/>
                <w:color w:val="000000"/>
                <w:kern w:val="0"/>
                <w:sz w:val="20"/>
                <w:szCs w:val="20"/>
                <w:lang w:val="sr-Cyrl-RS" w:eastAsia="en-GB"/>
                <w14:ligatures w14:val="none"/>
              </w:rPr>
              <w:t>%</w:t>
            </w:r>
          </w:p>
        </w:tc>
        <w:tc>
          <w:tcPr>
            <w:tcW w:w="2220" w:type="dxa"/>
            <w:shd w:val="clear" w:color="auto" w:fill="FFFFFF" w:themeFill="background1"/>
          </w:tcPr>
          <w:p w14:paraId="39D28137" w14:textId="05BEAC04" w:rsidR="00DB49D5" w:rsidRPr="00226F9D" w:rsidRDefault="00DB49D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w:t>
            </w:r>
            <w:r w:rsidR="008960E8" w:rsidRPr="00226F9D">
              <w:rPr>
                <w:rFonts w:ascii="Times New Roman" w:eastAsia="Times New Roman" w:hAnsi="Times New Roman" w:cs="Times New Roman"/>
                <w:color w:val="000000"/>
                <w:kern w:val="0"/>
                <w:sz w:val="20"/>
                <w:szCs w:val="20"/>
                <w:lang w:val="sr-Cyrl-RS" w:eastAsia="en-GB"/>
                <w14:ligatures w14:val="none"/>
              </w:rPr>
              <w:t>5</w:t>
            </w:r>
            <w:r w:rsidRPr="00226F9D">
              <w:rPr>
                <w:rFonts w:ascii="Times New Roman" w:eastAsia="Times New Roman" w:hAnsi="Times New Roman" w:cs="Times New Roman"/>
                <w:color w:val="000000"/>
                <w:kern w:val="0"/>
                <w:sz w:val="20"/>
                <w:szCs w:val="20"/>
                <w:lang w:val="sr-Cyrl-RS" w:eastAsia="en-GB"/>
                <w14:ligatures w14:val="none"/>
              </w:rPr>
              <w:t>%</w:t>
            </w:r>
          </w:p>
        </w:tc>
        <w:tc>
          <w:tcPr>
            <w:tcW w:w="2213" w:type="dxa"/>
            <w:shd w:val="clear" w:color="auto" w:fill="FFFFFF" w:themeFill="background1"/>
          </w:tcPr>
          <w:p w14:paraId="5BB3ED7A" w14:textId="7ED9C15C" w:rsidR="00DB49D5" w:rsidRPr="00226F9D" w:rsidRDefault="00DB49D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w:t>
            </w:r>
            <w:r w:rsidR="008960E8" w:rsidRPr="00226F9D">
              <w:rPr>
                <w:rFonts w:ascii="Times New Roman" w:eastAsia="Times New Roman" w:hAnsi="Times New Roman" w:cs="Times New Roman"/>
                <w:color w:val="000000"/>
                <w:kern w:val="0"/>
                <w:sz w:val="20"/>
                <w:szCs w:val="20"/>
                <w:lang w:val="sr-Cyrl-RS" w:eastAsia="en-GB"/>
                <w14:ligatures w14:val="none"/>
              </w:rPr>
              <w:t>6</w:t>
            </w:r>
            <w:r w:rsidRPr="00226F9D">
              <w:rPr>
                <w:rFonts w:ascii="Times New Roman" w:eastAsia="Times New Roman" w:hAnsi="Times New Roman" w:cs="Times New Roman"/>
                <w:color w:val="000000"/>
                <w:kern w:val="0"/>
                <w:sz w:val="20"/>
                <w:szCs w:val="20"/>
                <w:lang w:val="sr-Cyrl-RS" w:eastAsia="en-GB"/>
                <w14:ligatures w14:val="none"/>
              </w:rPr>
              <w:t>%</w:t>
            </w:r>
          </w:p>
        </w:tc>
        <w:tc>
          <w:tcPr>
            <w:tcW w:w="2054" w:type="dxa"/>
            <w:shd w:val="clear" w:color="auto" w:fill="FFFFFF" w:themeFill="background1"/>
          </w:tcPr>
          <w:p w14:paraId="20AA3AA3" w14:textId="02DBD133" w:rsidR="00DB49D5" w:rsidRPr="00226F9D" w:rsidRDefault="00DB49D5" w:rsidP="00090884">
            <w:pPr>
              <w:spacing w:after="0" w:line="240" w:lineRule="auto"/>
              <w:jc w:val="both"/>
              <w:rPr>
                <w:rFonts w:ascii="Times New Roman" w:eastAsia="Times New Roman" w:hAnsi="Times New Roman" w:cs="Times New Roman"/>
                <w:color w:val="000000"/>
                <w:kern w:val="0"/>
                <w:sz w:val="20"/>
                <w:szCs w:val="20"/>
                <w:lang w:val="sr-Cyrl-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6</w:t>
            </w:r>
            <w:r w:rsidR="008960E8" w:rsidRPr="00226F9D">
              <w:rPr>
                <w:rFonts w:ascii="Times New Roman" w:eastAsia="Times New Roman" w:hAnsi="Times New Roman" w:cs="Times New Roman"/>
                <w:color w:val="000000"/>
                <w:kern w:val="0"/>
                <w:sz w:val="20"/>
                <w:szCs w:val="20"/>
                <w:lang w:val="sr-Cyrl-RS" w:eastAsia="en-GB"/>
                <w14:ligatures w14:val="none"/>
              </w:rPr>
              <w:t>7</w:t>
            </w:r>
            <w:r w:rsidRPr="00226F9D">
              <w:rPr>
                <w:rFonts w:ascii="Times New Roman" w:eastAsia="Times New Roman" w:hAnsi="Times New Roman" w:cs="Times New Roman"/>
                <w:color w:val="000000"/>
                <w:kern w:val="0"/>
                <w:sz w:val="20"/>
                <w:szCs w:val="20"/>
                <w:lang w:val="sr-Cyrl-RS" w:eastAsia="en-GB"/>
                <w14:ligatures w14:val="none"/>
              </w:rPr>
              <w:t>%</w:t>
            </w:r>
          </w:p>
        </w:tc>
      </w:tr>
      <w:tr w:rsidR="00823C7D" w:rsidRPr="00226F9D" w14:paraId="1700F4EB" w14:textId="77777777" w:rsidTr="00DC6D28">
        <w:trPr>
          <w:trHeight w:val="50"/>
          <w:jc w:val="center"/>
        </w:trPr>
        <w:tc>
          <w:tcPr>
            <w:tcW w:w="3436" w:type="dxa"/>
            <w:shd w:val="clear" w:color="auto" w:fill="FFC000"/>
          </w:tcPr>
          <w:p w14:paraId="363074C3" w14:textId="77777777" w:rsidR="00823C7D" w:rsidRPr="00226F9D" w:rsidRDefault="00823C7D" w:rsidP="004A0952">
            <w:pPr>
              <w:spacing w:after="0" w:line="240" w:lineRule="auto"/>
              <w:rPr>
                <w:rFonts w:ascii="Times New Roman" w:eastAsia="Times New Roman" w:hAnsi="Times New Roman" w:cs="Times New Roman"/>
                <w:b/>
                <w:color w:val="000000"/>
                <w:kern w:val="0"/>
                <w:sz w:val="20"/>
                <w:szCs w:val="20"/>
                <w:lang w:val="sr-Cyrl-RS" w:eastAsia="en-GB"/>
                <w14:ligatures w14:val="none"/>
              </w:rPr>
            </w:pPr>
            <w:r w:rsidRPr="00226F9D">
              <w:rPr>
                <w:rFonts w:ascii="Times New Roman" w:eastAsia="Times New Roman" w:hAnsi="Times New Roman" w:cs="Times New Roman"/>
                <w:b/>
                <w:color w:val="000000"/>
                <w:kern w:val="0"/>
                <w:sz w:val="20"/>
                <w:szCs w:val="20"/>
                <w:lang w:val="sr-Cyrl-RS" w:eastAsia="en-GB"/>
                <w14:ligatures w14:val="none"/>
              </w:rPr>
              <w:t>Процена успешности</w:t>
            </w:r>
          </w:p>
        </w:tc>
        <w:tc>
          <w:tcPr>
            <w:tcW w:w="11126" w:type="dxa"/>
            <w:gridSpan w:val="5"/>
          </w:tcPr>
          <w:p w14:paraId="7BFC3EC5" w14:textId="700A95BF" w:rsidR="00823C7D" w:rsidRPr="00226F9D" w:rsidRDefault="008E79AC" w:rsidP="006B59F4">
            <w:pPr>
              <w:spacing w:after="0" w:line="240" w:lineRule="auto"/>
              <w:jc w:val="both"/>
              <w:rPr>
                <w:rFonts w:ascii="Times New Roman" w:eastAsia="Times New Roman" w:hAnsi="Times New Roman" w:cs="Times New Roman"/>
                <w:color w:val="000000"/>
                <w:kern w:val="0"/>
                <w:sz w:val="20"/>
                <w:szCs w:val="20"/>
                <w:lang w:val="sr-Latn-RS" w:eastAsia="en-GB"/>
                <w14:ligatures w14:val="none"/>
              </w:rPr>
            </w:pPr>
            <w:r w:rsidRPr="00226F9D">
              <w:rPr>
                <w:rFonts w:ascii="Times New Roman" w:eastAsia="Times New Roman" w:hAnsi="Times New Roman" w:cs="Times New Roman"/>
                <w:color w:val="000000"/>
                <w:kern w:val="0"/>
                <w:sz w:val="20"/>
                <w:szCs w:val="20"/>
                <w:lang w:val="sr-Cyrl-RS" w:eastAsia="en-GB"/>
                <w14:ligatures w14:val="none"/>
              </w:rPr>
              <w:t xml:space="preserve">Прихватљиво је одступање </w:t>
            </w:r>
            <w:r w:rsidR="00620352" w:rsidRPr="00226F9D">
              <w:rPr>
                <w:rFonts w:ascii="Times New Roman" w:eastAsia="Times New Roman" w:hAnsi="Times New Roman" w:cs="Times New Roman"/>
                <w:color w:val="000000"/>
                <w:kern w:val="0"/>
                <w:sz w:val="20"/>
                <w:szCs w:val="20"/>
                <w:lang w:val="sr-Cyrl-RS" w:eastAsia="en-GB"/>
                <w14:ligatures w14:val="none"/>
              </w:rPr>
              <w:t xml:space="preserve">од </w:t>
            </w:r>
            <w:r w:rsidR="00374025" w:rsidRPr="00226F9D">
              <w:rPr>
                <w:rFonts w:ascii="Times New Roman" w:eastAsia="Times New Roman" w:hAnsi="Times New Roman" w:cs="Times New Roman"/>
                <w:color w:val="000000"/>
                <w:kern w:val="0"/>
                <w:sz w:val="20"/>
                <w:szCs w:val="20"/>
                <w:lang w:val="sr-Latn-RS" w:eastAsia="en-GB"/>
                <w14:ligatures w14:val="none"/>
              </w:rPr>
              <w:t>1</w:t>
            </w:r>
            <w:r w:rsidR="00620352" w:rsidRPr="00226F9D">
              <w:rPr>
                <w:rFonts w:ascii="Times New Roman" w:eastAsia="Times New Roman" w:hAnsi="Times New Roman" w:cs="Times New Roman"/>
                <w:color w:val="000000"/>
                <w:kern w:val="0"/>
                <w:sz w:val="20"/>
                <w:szCs w:val="20"/>
                <w:lang w:val="sr-Cyrl-RS" w:eastAsia="en-GB"/>
                <w14:ligatures w14:val="none"/>
              </w:rPr>
              <w:t>% у односу на планирану вредност.</w:t>
            </w:r>
          </w:p>
        </w:tc>
      </w:tr>
    </w:tbl>
    <w:p w14:paraId="241735BC" w14:textId="77777777" w:rsidR="00577E9F" w:rsidRPr="00226F9D" w:rsidRDefault="00577E9F" w:rsidP="00090884">
      <w:pPr>
        <w:spacing w:after="0" w:line="240" w:lineRule="auto"/>
        <w:jc w:val="both"/>
        <w:rPr>
          <w:rFonts w:ascii="Times New Roman" w:hAnsi="Times New Roman" w:cs="Times New Roman"/>
          <w:sz w:val="22"/>
          <w:szCs w:val="22"/>
          <w:lang w:val="sr-Latn-RS"/>
        </w:rPr>
        <w:sectPr w:rsidR="00577E9F" w:rsidRPr="00226F9D" w:rsidSect="005B0999">
          <w:pgSz w:w="16840" w:h="11900" w:orient="landscape"/>
          <w:pgMar w:top="1440" w:right="1134" w:bottom="851" w:left="1134" w:header="720" w:footer="283" w:gutter="0"/>
          <w:cols w:space="720"/>
          <w:docGrid w:linePitch="360"/>
        </w:sectPr>
      </w:pPr>
    </w:p>
    <w:p w14:paraId="10979AEF" w14:textId="56688039" w:rsidR="003C4B87" w:rsidRPr="00226F9D" w:rsidRDefault="005927B9" w:rsidP="00794091">
      <w:pPr>
        <w:pStyle w:val="Heading2"/>
        <w:rPr>
          <w:rFonts w:ascii="Times New Roman" w:hAnsi="Times New Roman" w:cs="Times New Roman"/>
          <w:i/>
          <w:lang w:val="sr-Latn-RS" w:eastAsia="en-GB"/>
        </w:rPr>
      </w:pPr>
      <w:bookmarkStart w:id="67" w:name="_Toc222753939"/>
      <w:r w:rsidRPr="00226F9D">
        <w:rPr>
          <w:rFonts w:ascii="Times New Roman" w:hAnsi="Times New Roman" w:cs="Times New Roman"/>
          <w:iCs/>
          <w:lang w:val="sr-Cyrl-RS" w:eastAsia="en-GB"/>
        </w:rPr>
        <w:lastRenderedPageBreak/>
        <w:t xml:space="preserve">Прилог </w:t>
      </w:r>
      <w:r w:rsidRPr="00226F9D">
        <w:rPr>
          <w:rFonts w:ascii="Times New Roman" w:hAnsi="Times New Roman" w:cs="Times New Roman"/>
          <w:iCs/>
          <w:lang w:val="sr-Latn-RS" w:eastAsia="en-GB"/>
        </w:rPr>
        <w:t>2</w:t>
      </w:r>
      <w:r w:rsidRPr="00226F9D">
        <w:rPr>
          <w:rFonts w:ascii="Times New Roman" w:hAnsi="Times New Roman" w:cs="Times New Roman"/>
          <w:iCs/>
          <w:lang w:val="sr-Cyrl-RS" w:eastAsia="en-GB"/>
        </w:rPr>
        <w:t>:</w:t>
      </w:r>
      <w:r w:rsidRPr="00226F9D">
        <w:rPr>
          <w:rFonts w:ascii="Times New Roman" w:hAnsi="Times New Roman" w:cs="Times New Roman"/>
          <w:lang w:val="sr-Cyrl-RS" w:eastAsia="en-GB"/>
        </w:rPr>
        <w:t xml:space="preserve"> </w:t>
      </w:r>
      <w:r w:rsidR="00BF3F06" w:rsidRPr="00226F9D">
        <w:rPr>
          <w:rFonts w:ascii="Times New Roman" w:hAnsi="Times New Roman" w:cs="Times New Roman"/>
          <w:lang w:val="sr-Cyrl-RS" w:eastAsia="en-GB"/>
        </w:rPr>
        <w:t>Инфор</w:t>
      </w:r>
      <w:r w:rsidR="00AE751A" w:rsidRPr="00226F9D">
        <w:rPr>
          <w:rFonts w:ascii="Times New Roman" w:hAnsi="Times New Roman" w:cs="Times New Roman"/>
          <w:lang w:val="sr-Cyrl-RS" w:eastAsia="en-GB"/>
        </w:rPr>
        <w:t>мације о спроведен</w:t>
      </w:r>
      <w:r w:rsidR="00DA0BAE" w:rsidRPr="00226F9D">
        <w:rPr>
          <w:rFonts w:ascii="Times New Roman" w:hAnsi="Times New Roman" w:cs="Times New Roman"/>
          <w:lang w:val="sr-Cyrl-RS" w:eastAsia="en-GB"/>
        </w:rPr>
        <w:t>им</w:t>
      </w:r>
      <w:r w:rsidR="00AE751A" w:rsidRPr="00226F9D">
        <w:rPr>
          <w:rFonts w:ascii="Times New Roman" w:hAnsi="Times New Roman" w:cs="Times New Roman"/>
          <w:lang w:val="sr-Cyrl-RS" w:eastAsia="en-GB"/>
        </w:rPr>
        <w:t xml:space="preserve"> консултацијама и јавној расправи</w:t>
      </w:r>
      <w:bookmarkEnd w:id="67"/>
    </w:p>
    <w:p w14:paraId="231F7D45" w14:textId="77777777" w:rsidR="003C4B87" w:rsidRPr="00226F9D" w:rsidRDefault="003C4B87" w:rsidP="003C4B87">
      <w:pPr>
        <w:spacing w:after="120" w:line="240" w:lineRule="auto"/>
        <w:jc w:val="both"/>
        <w:rPr>
          <w:rFonts w:ascii="Times New Roman" w:eastAsia="Calibri" w:hAnsi="Times New Roman" w:cs="Times New Roman"/>
          <w:kern w:val="0"/>
          <w:lang w:val="sr-Latn-RS"/>
          <w14:ligatures w14:val="none"/>
        </w:rPr>
      </w:pPr>
      <w:r w:rsidRPr="00226F9D">
        <w:rPr>
          <w:rFonts w:ascii="Times New Roman" w:eastAsia="Calibri" w:hAnsi="Times New Roman" w:cs="Times New Roman"/>
          <w:kern w:val="0"/>
          <w:lang w:val="sr-Cyrl-RS"/>
          <w14:ligatures w14:val="none"/>
        </w:rPr>
        <w:t>Током вредновања учинака и резултата спровођења Програма за реформу система локалне самоуправе за период 2021-2025 као и наредног програмског периода од 2026. до 2030. године, спроведен је консултативни процес</w:t>
      </w:r>
      <w:r w:rsidRPr="00226F9D">
        <w:rPr>
          <w:rFonts w:ascii="Times New Roman" w:eastAsia="Calibri" w:hAnsi="Times New Roman" w:cs="Times New Roman"/>
          <w:kern w:val="0"/>
          <w:lang w:val="sr-Latn-RS"/>
          <w14:ligatures w14:val="none"/>
        </w:rPr>
        <w:t>.</w:t>
      </w:r>
      <w:r w:rsidRPr="00226F9D">
        <w:rPr>
          <w:rFonts w:ascii="Times New Roman" w:eastAsia="Calibri" w:hAnsi="Times New Roman" w:cs="Times New Roman"/>
          <w:kern w:val="0"/>
          <w:lang w:val="sr-Cyrl-RS"/>
          <w14:ligatures w14:val="none"/>
        </w:rPr>
        <w:t xml:space="preserve"> Велики број мера утврђених Програмом усмерен је на унапређење правног оквира за несметан развој локалне самоуправе. За спровођење утврђених мера задужени су, пре свега, МДУЛС и СКГО, а нарочито за мере и активности планиране за постизање Посебног циља 1.</w:t>
      </w:r>
      <w:r w:rsidRPr="00226F9D">
        <w:rPr>
          <w:rFonts w:ascii="Times New Roman" w:eastAsia="Times New Roman" w:hAnsi="Times New Roman" w:cs="Times New Roman"/>
          <w:b/>
          <w:bCs/>
          <w:kern w:val="0"/>
          <w:lang w:val="sr-Cyrl-RS" w:eastAsia="en-GB"/>
          <w14:ligatures w14:val="none"/>
        </w:rPr>
        <w:t xml:space="preserve"> </w:t>
      </w:r>
      <w:r w:rsidRPr="00226F9D">
        <w:rPr>
          <w:rFonts w:ascii="Times New Roman" w:eastAsia="Times New Roman" w:hAnsi="Times New Roman" w:cs="Times New Roman"/>
          <w:bCs/>
          <w:i/>
          <w:kern w:val="0"/>
          <w:lang w:val="sr-Cyrl-RS" w:eastAsia="en-GB"/>
          <w14:ligatures w14:val="none"/>
        </w:rPr>
        <w:t>Унапређење положаја и одговорности локалне самоуправе</w:t>
      </w:r>
      <w:r w:rsidRPr="00226F9D">
        <w:rPr>
          <w:rFonts w:ascii="Times New Roman" w:eastAsia="Times New Roman" w:hAnsi="Times New Roman" w:cs="Times New Roman"/>
          <w:b/>
          <w:bCs/>
          <w:kern w:val="0"/>
          <w:lang w:val="sr-Cyrl-RS" w:eastAsia="en-GB"/>
          <w14:ligatures w14:val="none"/>
        </w:rPr>
        <w:t xml:space="preserve"> </w:t>
      </w:r>
      <w:r w:rsidRPr="00226F9D">
        <w:rPr>
          <w:rFonts w:ascii="Times New Roman" w:eastAsia="Calibri" w:hAnsi="Times New Roman" w:cs="Times New Roman"/>
          <w:kern w:val="0"/>
          <w:lang w:val="sr-Cyrl-RS"/>
          <w14:ligatures w14:val="none"/>
        </w:rPr>
        <w:t xml:space="preserve">и Посебног циља 3. </w:t>
      </w:r>
      <w:r w:rsidRPr="00226F9D">
        <w:rPr>
          <w:rFonts w:ascii="Times New Roman" w:eastAsia="Calibri" w:hAnsi="Times New Roman" w:cs="Times New Roman"/>
          <w:i/>
          <w:kern w:val="0"/>
          <w:lang w:val="sr-Cyrl-RS"/>
          <w14:ligatures w14:val="none"/>
        </w:rPr>
        <w:t>Унапређена организација и капацитети локалне управе</w:t>
      </w:r>
      <w:r w:rsidRPr="00226F9D">
        <w:rPr>
          <w:rFonts w:ascii="Times New Roman" w:eastAsia="Calibri" w:hAnsi="Times New Roman" w:cs="Times New Roman"/>
          <w:kern w:val="0"/>
          <w:lang w:val="sr-Cyrl-RS"/>
          <w14:ligatures w14:val="none"/>
        </w:rPr>
        <w:t xml:space="preserve">, док постојање више различитих носилаца за мере и активности у оквиру Посебних циљева 2. и 4. потврђују међусекторски карактер Програма. </w:t>
      </w:r>
    </w:p>
    <w:p w14:paraId="0A158D9F" w14:textId="45F53EDC" w:rsidR="003C4B87" w:rsidRPr="00226F9D" w:rsidRDefault="003C4B87" w:rsidP="003C4B87">
      <w:pPr>
        <w:spacing w:after="120" w:line="240" w:lineRule="auto"/>
        <w:jc w:val="both"/>
        <w:rPr>
          <w:rFonts w:ascii="Times New Roman" w:eastAsia="Calibri" w:hAnsi="Times New Roman" w:cs="Times New Roman"/>
          <w:kern w:val="0"/>
          <w:lang w:val="sr-Latn-RS"/>
          <w14:ligatures w14:val="none"/>
        </w:rPr>
      </w:pPr>
      <w:r w:rsidRPr="00226F9D">
        <w:rPr>
          <w:rFonts w:ascii="Times New Roman" w:eastAsia="Calibri" w:hAnsi="Times New Roman" w:cs="Times New Roman"/>
          <w:kern w:val="0"/>
          <w:lang w:val="sr-Cyrl-RS"/>
          <w14:ligatures w14:val="none"/>
        </w:rPr>
        <w:t xml:space="preserve">Током процеса припреме, </w:t>
      </w:r>
      <w:r w:rsidRPr="00226F9D">
        <w:rPr>
          <w:rFonts w:ascii="Times New Roman" w:eastAsia="Calibri" w:hAnsi="Times New Roman" w:cs="Times New Roman"/>
          <w:kern w:val="0"/>
          <w14:ligatures w14:val="none"/>
        </w:rPr>
        <w:t>о</w:t>
      </w:r>
      <w:r w:rsidRPr="00226F9D">
        <w:rPr>
          <w:rFonts w:ascii="Times New Roman" w:eastAsia="Calibri" w:hAnsi="Times New Roman" w:cs="Times New Roman"/>
          <w:kern w:val="0"/>
          <w:lang w:val="sr-Cyrl-RS"/>
          <w14:ligatures w14:val="none"/>
        </w:rPr>
        <w:t xml:space="preserve">држана су три састанка састанка Подгрупе за тематску област 6: систем локалне самоуправе (Подгрупа), у оквиру Посебне радне групе за израду Акционoг плана за период од 2026. до 2030. године за спровођење Стратегије реформе јавне управе у Републици Србији за период од 2021. до 2030. године и пратећих програма. Наведена Подгрупа, чији је задатак био да изради Програм за реформу система локалне самоуправе за период 2026-2030 (Програм) и Акциони план за његову реализацију, састала се 03. марта 2025. године, 08. априла 2025. године, 07. маја 2025. године. На иницијативу Mинистарства државне управе и локалне самоуправе и Подгрупе, представници одређених органа државне управе који нису именовани за чланове ове Подгрупе, позвани су да присуствују другом састанку односно да се укључе у израду Програма и Акционог плана, како би препознали шта је у њиховом делокругу рада, а односи се на послове локалне самоуправе. Након тога, у периоду од маја 2025. године одржан је низ појединачних консултација са члановима Подгрупе, као и другим органима који су додатно предложили активности у оквиру Акционог плана. Током периода израде докумената, највише консултација одржано је са СКГО, имајући у виду да је у највећем броју активности ова институција препозната као партнер у реализацији. Чланови Подгрупе присуствовали су и на прва два састанка Посебне радне групе за израду Акционог плана за период од 2026. до 2030. године за спровођење Стратегије реформе јавне управе у Републици Србији за период од 2021. до 2030. године и пратећих програма. Финална верзија Програма и Акционог плана достављена је на коментаре и сагласност током </w:t>
      </w:r>
      <w:r w:rsidR="00631637" w:rsidRPr="00226F9D">
        <w:rPr>
          <w:rFonts w:ascii="Times New Roman" w:eastAsia="Calibri" w:hAnsi="Times New Roman" w:cs="Times New Roman"/>
          <w:kern w:val="0"/>
          <w:lang w:val="sr-Cyrl-RS"/>
          <w14:ligatures w14:val="none"/>
        </w:rPr>
        <w:t xml:space="preserve">фебруара </w:t>
      </w:r>
      <w:r w:rsidRPr="00226F9D">
        <w:rPr>
          <w:rFonts w:ascii="Times New Roman" w:eastAsia="Calibri" w:hAnsi="Times New Roman" w:cs="Times New Roman"/>
          <w:kern w:val="0"/>
          <w:lang w:val="sr-Cyrl-RS"/>
          <w14:ligatures w14:val="none"/>
        </w:rPr>
        <w:t>месеца 2026. године  члановима Подгрупе, органима који су додатно учествовали у изради документа а који нису чланови Подгрупе, као и члановима Посебне радне групе за израду Акционог плана за период од 2026. до 2030. године за спровођење Стратегије реформе јавне управе у Републици Србији за период од 2021. до 2030. године и пратећих програма.</w:t>
      </w:r>
    </w:p>
    <w:p w14:paraId="77E6C029" w14:textId="77777777" w:rsidR="003C4B87" w:rsidRPr="00226F9D" w:rsidRDefault="003C4B87" w:rsidP="003C4B87">
      <w:pPr>
        <w:spacing w:before="100" w:beforeAutospacing="1" w:after="100" w:afterAutospacing="1" w:line="240" w:lineRule="auto"/>
        <w:jc w:val="both"/>
        <w:rPr>
          <w:rFonts w:ascii="Times New Roman" w:eastAsia="Calibri" w:hAnsi="Times New Roman" w:cs="Times New Roman"/>
          <w:kern w:val="0"/>
          <w:shd w:val="clear" w:color="auto" w:fill="FFFFFF"/>
          <w:lang w:val="sr-Cyrl-RS"/>
          <w14:ligatures w14:val="none"/>
        </w:rPr>
      </w:pPr>
      <w:r w:rsidRPr="00226F9D">
        <w:rPr>
          <w:rFonts w:ascii="Times New Roman" w:eastAsia="Calibri" w:hAnsi="Times New Roman" w:cs="Times New Roman"/>
          <w:kern w:val="0"/>
          <w:lang w:val="sr-Cyrl-RS"/>
          <w14:ligatures w14:val="none"/>
        </w:rPr>
        <w:t xml:space="preserve">У периоду од 6. фебруара 2025. до 31. марта 2025. године Mинистарство државне управе и локалне самоуправе спровело је фазу консултација у току израде </w:t>
      </w:r>
      <w:r w:rsidRPr="00226F9D">
        <w:rPr>
          <w:rFonts w:ascii="Times New Roman" w:eastAsia="Calibri" w:hAnsi="Times New Roman" w:cs="Times New Roman"/>
          <w:kern w:val="0"/>
          <w:shd w:val="clear" w:color="auto" w:fill="FFFFFF"/>
          <w:lang w:val="sr-Cyrl-RS"/>
          <w14:ligatures w14:val="none"/>
        </w:rPr>
        <w:t>Програма за реформу система локалне самоуправе за период 2026-2030 са Акционим планом за његову реализацију</w:t>
      </w:r>
      <w:r w:rsidRPr="00226F9D">
        <w:rPr>
          <w:rFonts w:ascii="Times New Roman" w:eastAsia="Calibri" w:hAnsi="Times New Roman" w:cs="Times New Roman"/>
          <w:kern w:val="0"/>
          <w:lang w:val="sr-Cyrl-RS"/>
          <w14:ligatures w14:val="none"/>
        </w:rPr>
        <w:t xml:space="preserve">. У том периоду, свим заинтересованим странама омогућено је да доставе на прописаном обрасцу коментаре и предлоге активности за Акциони план </w:t>
      </w:r>
      <w:r w:rsidRPr="00226F9D">
        <w:rPr>
          <w:rFonts w:ascii="Times New Roman" w:eastAsia="Calibri" w:hAnsi="Times New Roman" w:cs="Times New Roman"/>
          <w:kern w:val="0"/>
          <w:shd w:val="clear" w:color="auto" w:fill="FFFFFF"/>
          <w:lang w:val="sr-Cyrl-RS"/>
          <w14:ligatures w14:val="none"/>
        </w:rPr>
        <w:t xml:space="preserve">Програма за реформу система локалне самоуправе за период 2026-2030. </w:t>
      </w:r>
    </w:p>
    <w:p w14:paraId="6A66D5F6" w14:textId="47EB5383" w:rsidR="003C4B87" w:rsidRPr="00226F9D" w:rsidRDefault="003C4B87" w:rsidP="003C4B87">
      <w:pPr>
        <w:spacing w:before="100" w:beforeAutospacing="1" w:after="100" w:afterAutospacing="1" w:line="240" w:lineRule="auto"/>
        <w:jc w:val="both"/>
        <w:rPr>
          <w:rFonts w:ascii="Times New Roman" w:eastAsia="Calibri" w:hAnsi="Times New Roman" w:cs="Times New Roman"/>
          <w:kern w:val="0"/>
          <w:lang w:val="sr-Cyrl-RS"/>
          <w14:ligatures w14:val="none"/>
        </w:rPr>
      </w:pPr>
      <w:r w:rsidRPr="00226F9D">
        <w:rPr>
          <w:rFonts w:ascii="Times New Roman" w:eastAsia="Calibri" w:hAnsi="Times New Roman" w:cs="Times New Roman"/>
          <w:kern w:val="0"/>
          <w:lang w:val="sr-Cyrl-RS"/>
          <w14:ligatures w14:val="none"/>
        </w:rPr>
        <w:t>Консултације су организоване путем Портала „еКонсултације“ (</w:t>
      </w:r>
      <w:hyperlink r:id="rId60" w:history="1">
        <w:r w:rsidRPr="00226F9D">
          <w:rPr>
            <w:rFonts w:ascii="Times New Roman" w:eastAsia="Calibri" w:hAnsi="Times New Roman" w:cs="Times New Roman"/>
            <w:kern w:val="0"/>
            <w:u w:val="single"/>
            <w:lang w:val="sr-Cyrl-RS"/>
            <w14:ligatures w14:val="none"/>
          </w:rPr>
          <w:t>https://ekonsultacije.gov.rs/topicOfDiscussionPage/458/3</w:t>
        </w:r>
      </w:hyperlink>
      <w:r w:rsidRPr="00226F9D">
        <w:rPr>
          <w:rFonts w:ascii="Times New Roman" w:eastAsia="Calibri" w:hAnsi="Times New Roman" w:cs="Times New Roman"/>
          <w:kern w:val="0"/>
          <w:lang w:val="sr-Cyrl-RS"/>
          <w14:ligatures w14:val="none"/>
        </w:rPr>
        <w:t xml:space="preserve">) и интернет странице Министарства државне управе и локалне самоуправе </w:t>
      </w:r>
      <w:r w:rsidRPr="00226F9D">
        <w:rPr>
          <w:rFonts w:ascii="Times New Roman" w:eastAsia="Calibri" w:hAnsi="Times New Roman" w:cs="Times New Roman"/>
          <w:kern w:val="0"/>
          <w:lang w:val="sr-Cyrl-RS"/>
          <w14:ligatures w14:val="none"/>
        </w:rPr>
        <w:lastRenderedPageBreak/>
        <w:t>(</w:t>
      </w:r>
      <w:hyperlink r:id="rId61" w:history="1">
        <w:r w:rsidRPr="00226F9D">
          <w:rPr>
            <w:rFonts w:ascii="Times New Roman" w:eastAsia="Calibri" w:hAnsi="Times New Roman" w:cs="Times New Roman"/>
            <w:kern w:val="0"/>
            <w:u w:val="single"/>
            <w:lang w:val="sr-Cyrl-RS"/>
            <w14:ligatures w14:val="none"/>
          </w:rPr>
          <w:t>https://mduls.gov.rs/obavestenja/obavestenje-o-pocetku-izrade-predloga-programa-za-reformu-sistema-lokalne-samouprave-u-republici-srbiji-za-period-od-2026-do-2030-godine-sa-akcionim-planom-za-njegovo-sprovodjenje/</w:t>
        </w:r>
      </w:hyperlink>
      <w:r w:rsidR="002F1882">
        <w:rPr>
          <w:rFonts w:ascii="Times New Roman" w:eastAsia="Calibri" w:hAnsi="Times New Roman" w:cs="Times New Roman"/>
          <w:kern w:val="0"/>
          <w:lang w:val="sr-Cyrl-RS"/>
          <w14:ligatures w14:val="none"/>
        </w:rPr>
        <w:t xml:space="preserve"> ), </w:t>
      </w:r>
      <w:r w:rsidRPr="00226F9D">
        <w:rPr>
          <w:rFonts w:ascii="Times New Roman" w:eastAsia="Calibri" w:hAnsi="Times New Roman" w:cs="Times New Roman"/>
          <w:kern w:val="0"/>
          <w:lang w:val="sr-Cyrl-RS"/>
          <w14:ligatures w14:val="none"/>
        </w:rPr>
        <w:t>као и кроз одржавање састанка са члановима Посебне радне групе за израду Акционог плана за период од 2026. до 2030. године за спровођење Стратегије реформе јавне управе у Републици Србији за период од 2021. до 2030. године и пратећих програма, и Подгрупе.</w:t>
      </w:r>
    </w:p>
    <w:p w14:paraId="062B1BF5" w14:textId="5459BC62" w:rsidR="003C4B87" w:rsidRPr="00226F9D" w:rsidRDefault="003C4B87" w:rsidP="003C4B87">
      <w:pPr>
        <w:spacing w:line="240" w:lineRule="auto"/>
        <w:jc w:val="both"/>
        <w:rPr>
          <w:rFonts w:ascii="Times New Roman" w:eastAsia="Calibri" w:hAnsi="Times New Roman" w:cs="Times New Roman"/>
          <w:kern w:val="0"/>
          <w:lang w:val="sr-Cyrl-RS"/>
          <w14:ligatures w14:val="none"/>
        </w:rPr>
      </w:pPr>
      <w:r w:rsidRPr="00226F9D">
        <w:rPr>
          <w:rFonts w:ascii="Times New Roman" w:eastAsia="Calibri" w:hAnsi="Times New Roman" w:cs="Times New Roman"/>
          <w:kern w:val="0"/>
          <w:lang w:val="sr-Cyrl-RS"/>
          <w14:ligatures w14:val="none"/>
        </w:rPr>
        <w:t>Током трајања консултација, Министарство државне управе и локалне самоуправе није примило писане коментаре путем Портала „еКонсултације“, али је у оквиру процеса консултација 3. марта 2025. године, одржан </w:t>
      </w:r>
      <w:r w:rsidRPr="00226F9D">
        <w:rPr>
          <w:rFonts w:ascii="Times New Roman" w:eastAsia="Calibri" w:hAnsi="Times New Roman" w:cs="Times New Roman"/>
          <w:i/>
          <w:iCs/>
          <w:kern w:val="0"/>
          <w:lang w:val="sr-Cyrl-RS"/>
          <w14:ligatures w14:val="none"/>
        </w:rPr>
        <w:t>kick off</w:t>
      </w:r>
      <w:r w:rsidRPr="00226F9D">
        <w:rPr>
          <w:rFonts w:ascii="Times New Roman" w:eastAsia="Calibri" w:hAnsi="Times New Roman" w:cs="Times New Roman"/>
          <w:kern w:val="0"/>
          <w:lang w:val="sr-Cyrl-RS"/>
          <w14:ligatures w14:val="none"/>
        </w:rPr>
        <w:t> састанак Посебне радне групе за израду Акционог плана за период 2026–2030. године за спровођење Стратегије реформе јавне управе у Републици Србији за период од 2021. до 2030. године и пратећих програма са ширим кругом заинтересованих страна, попут донатора, међународних организација, организација цивилног друштва, ширим кругом државних органа, на којем су све заинтересоване стране биле у могућности да дају предлоге, коментаре на постојећи и будући стратешки оквир. Током састанка разматране су све релевантне тематске области и оствар</w:t>
      </w:r>
      <w:r w:rsidR="00D70800">
        <w:rPr>
          <w:rFonts w:ascii="Times New Roman" w:eastAsia="Calibri" w:hAnsi="Times New Roman" w:cs="Times New Roman"/>
          <w:kern w:val="0"/>
          <w:lang w:val="sr-Cyrl-RS"/>
          <w14:ligatures w14:val="none"/>
        </w:rPr>
        <w:t>ено је активно учешће учесника.</w:t>
      </w:r>
      <w:r w:rsidRPr="00226F9D">
        <w:rPr>
          <w:rFonts w:ascii="Times New Roman" w:eastAsia="Calibri" w:hAnsi="Times New Roman" w:cs="Times New Roman"/>
          <w:kern w:val="0"/>
          <w:lang w:val="sr-Cyrl-RS"/>
          <w14:ligatures w14:val="none"/>
        </w:rPr>
        <w:t xml:space="preserve"> Такође, предлози и сугестије које је Министарство државне управе и локалне самоуправе добило од Удружења интерних ревизора Србије, прослеђене су Министарству финансија – Централној јединици за хармонизацију, имајући у виду да ће се даљи развој и унапређење функције интерне ревизије у јавном сектору суштински одвијати у оквиру мера и активности Програма реформе управљања јавним финансијама за период након 2025. године, те није било могуће</w:t>
      </w:r>
      <w:r w:rsidR="00176291">
        <w:rPr>
          <w:rFonts w:ascii="Times New Roman" w:eastAsia="Calibri" w:hAnsi="Times New Roman" w:cs="Times New Roman"/>
          <w:kern w:val="0"/>
          <w:lang w:val="sr-Cyrl-RS"/>
          <w14:ligatures w14:val="none"/>
        </w:rPr>
        <w:t xml:space="preserve"> уврстити предлоге активности у</w:t>
      </w:r>
      <w:r w:rsidRPr="00226F9D">
        <w:rPr>
          <w:rFonts w:ascii="Times New Roman" w:eastAsia="Calibri" w:hAnsi="Times New Roman" w:cs="Times New Roman"/>
          <w:kern w:val="0"/>
          <w:lang w:val="sr-Cyrl-RS"/>
          <w14:ligatures w14:val="none"/>
        </w:rPr>
        <w:t xml:space="preserve"> оквиру Акционог плана Предлога програма за реформу система локалне самоуправе у Републици Србији за период од 2026. до 2030. године.  </w:t>
      </w:r>
    </w:p>
    <w:p w14:paraId="3EDC3476" w14:textId="77777777" w:rsidR="003C4B87" w:rsidRPr="00226F9D" w:rsidRDefault="003C4B87" w:rsidP="003C4B87">
      <w:pPr>
        <w:spacing w:after="150" w:line="240" w:lineRule="auto"/>
        <w:jc w:val="both"/>
        <w:rPr>
          <w:rFonts w:ascii="Times New Roman" w:eastAsia="Calibri" w:hAnsi="Times New Roman" w:cs="Times New Roman"/>
          <w:kern w:val="0"/>
          <w:lang w:val="sr-Cyrl-RS"/>
          <w14:ligatures w14:val="none"/>
        </w:rPr>
      </w:pPr>
      <w:r w:rsidRPr="00226F9D">
        <w:rPr>
          <w:rFonts w:ascii="Times New Roman" w:eastAsia="Calibri" w:hAnsi="Times New Roman" w:cs="Times New Roman"/>
          <w:kern w:val="0"/>
          <w:lang w:val="sr-Cyrl-RS"/>
          <w14:ligatures w14:val="none"/>
        </w:rPr>
        <w:t>Након израде предлога активности за период 2026–2030. и пасоша показатеља, покренут је процес процене трошкова у оквиру кога су институције, које су носиоци планираних активности, достављале податке о средствима која ће бити опредељена за њихово спровођење.</w:t>
      </w:r>
    </w:p>
    <w:p w14:paraId="4B4BE064" w14:textId="33AEB8D9" w:rsidR="00291362" w:rsidRPr="00226F9D" w:rsidRDefault="003C4B87" w:rsidP="005B0999">
      <w:pPr>
        <w:spacing w:after="150" w:line="240" w:lineRule="auto"/>
        <w:jc w:val="both"/>
        <w:rPr>
          <w:rFonts w:ascii="Times New Roman" w:eastAsia="Calibri" w:hAnsi="Times New Roman" w:cs="Times New Roman"/>
          <w:kern w:val="0"/>
          <w:lang w:val="sr-Latn-RS"/>
          <w14:ligatures w14:val="none"/>
        </w:rPr>
      </w:pPr>
      <w:r w:rsidRPr="00226F9D">
        <w:rPr>
          <w:rFonts w:ascii="Times New Roman" w:eastAsia="Calibri" w:hAnsi="Times New Roman" w:cs="Times New Roman"/>
          <w:kern w:val="0"/>
          <w:lang w:val="sr-Cyrl-RS"/>
          <w14:ligatures w14:val="none"/>
        </w:rPr>
        <w:t>Након објављивања Предлога програма на Порталу „еКонсултације“ биће спроведена јавна расправа у складу са Законом о планском систему. Превод Програма са акционим планом шаље се Европској комисији на коментаре у истом периоду.</w:t>
      </w:r>
    </w:p>
    <w:sectPr w:rsidR="00291362" w:rsidRPr="00226F9D" w:rsidSect="00FB70C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97550" w14:textId="77777777" w:rsidR="00D155C4" w:rsidRDefault="00D155C4" w:rsidP="000F3157">
      <w:pPr>
        <w:spacing w:after="0" w:line="240" w:lineRule="auto"/>
      </w:pPr>
      <w:r>
        <w:separator/>
      </w:r>
    </w:p>
  </w:endnote>
  <w:endnote w:type="continuationSeparator" w:id="0">
    <w:p w14:paraId="5E1C7362" w14:textId="77777777" w:rsidR="00D155C4" w:rsidRDefault="00D155C4" w:rsidP="000F3157">
      <w:pPr>
        <w:spacing w:after="0" w:line="240" w:lineRule="auto"/>
      </w:pPr>
      <w:r>
        <w:continuationSeparator/>
      </w:r>
    </w:p>
  </w:endnote>
  <w:endnote w:type="continuationNotice" w:id="1">
    <w:p w14:paraId="417D3980" w14:textId="77777777" w:rsidR="00D155C4" w:rsidRDefault="00D15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20000287" w:usb1="00000003" w:usb2="00000000" w:usb3="00000000" w:csb0="0000019F" w:csb1="00000000"/>
  </w:font>
  <w:font w:name="ArialMT">
    <w:altName w:val="Times New Roman"/>
    <w:panose1 w:val="00000000000000000000"/>
    <w:charset w:val="00"/>
    <w:family w:val="roman"/>
    <w:notTrueType/>
    <w:pitch w:val="default"/>
  </w:font>
  <w:font w:name="Yu Mincho">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IDFont+F1">
    <w:altName w:val="Yu Gothic"/>
    <w:charset w:val="80"/>
    <w:family w:val="auto"/>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052120"/>
      <w:docPartObj>
        <w:docPartGallery w:val="Page Numbers (Bottom of Page)"/>
        <w:docPartUnique/>
      </w:docPartObj>
    </w:sdtPr>
    <w:sdtEndPr>
      <w:rPr>
        <w:noProof/>
      </w:rPr>
    </w:sdtEndPr>
    <w:sdtContent>
      <w:p w14:paraId="27409B7E" w14:textId="4A760FC7" w:rsidR="00C01216" w:rsidRPr="00FB70CD" w:rsidRDefault="00C01216" w:rsidP="00FB70CD">
        <w:pPr>
          <w:pStyle w:val="Footer"/>
          <w:jc w:val="right"/>
        </w:pPr>
        <w:r w:rsidRPr="00FB70CD">
          <w:rPr>
            <w:sz w:val="20"/>
            <w:szCs w:val="20"/>
          </w:rPr>
          <w:fldChar w:fldCharType="begin"/>
        </w:r>
        <w:r w:rsidRPr="00FB70CD">
          <w:rPr>
            <w:sz w:val="20"/>
            <w:szCs w:val="20"/>
          </w:rPr>
          <w:instrText xml:space="preserve"> PAGE   \* MERGEFORMAT </w:instrText>
        </w:r>
        <w:r w:rsidRPr="00FB70CD">
          <w:rPr>
            <w:sz w:val="20"/>
            <w:szCs w:val="20"/>
          </w:rPr>
          <w:fldChar w:fldCharType="separate"/>
        </w:r>
        <w:r w:rsidR="00AA0AC9">
          <w:rPr>
            <w:noProof/>
            <w:sz w:val="20"/>
            <w:szCs w:val="20"/>
          </w:rPr>
          <w:t>78</w:t>
        </w:r>
        <w:r w:rsidRPr="00FB70C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D1F1A" w14:textId="77777777" w:rsidR="00D155C4" w:rsidRDefault="00D155C4" w:rsidP="000F3157">
      <w:pPr>
        <w:spacing w:after="0" w:line="240" w:lineRule="auto"/>
      </w:pPr>
      <w:r>
        <w:separator/>
      </w:r>
    </w:p>
  </w:footnote>
  <w:footnote w:type="continuationSeparator" w:id="0">
    <w:p w14:paraId="56C3EE6E" w14:textId="77777777" w:rsidR="00D155C4" w:rsidRDefault="00D155C4" w:rsidP="000F3157">
      <w:pPr>
        <w:spacing w:after="0" w:line="240" w:lineRule="auto"/>
      </w:pPr>
      <w:r>
        <w:continuationSeparator/>
      </w:r>
    </w:p>
  </w:footnote>
  <w:footnote w:type="continuationNotice" w:id="1">
    <w:p w14:paraId="293F3AA9" w14:textId="77777777" w:rsidR="00D155C4" w:rsidRDefault="00D155C4">
      <w:pPr>
        <w:spacing w:after="0" w:line="240" w:lineRule="auto"/>
      </w:pPr>
    </w:p>
  </w:footnote>
  <w:footnote w:id="2">
    <w:p w14:paraId="76C47B6F" w14:textId="094137F5" w:rsidR="00C01216" w:rsidRPr="0078271E" w:rsidRDefault="00C01216" w:rsidP="00E35DE0">
      <w:pPr>
        <w:pStyle w:val="FootnoteText"/>
        <w:jc w:val="both"/>
        <w:rPr>
          <w:rFonts w:ascii="Times New Roman" w:hAnsi="Times New Roman" w:cs="Times New Roman"/>
          <w:sz w:val="18"/>
          <w:szCs w:val="18"/>
          <w:lang w:val="sr-Cyrl-RS"/>
        </w:rPr>
      </w:pPr>
      <w:r>
        <w:rPr>
          <w:rStyle w:val="FootnoteReference"/>
        </w:rPr>
        <w:footnoteRef/>
      </w:r>
      <w:r>
        <w:t xml:space="preserve"> </w:t>
      </w:r>
      <w:r w:rsidRPr="0078271E">
        <w:rPr>
          <w:rFonts w:ascii="Times New Roman" w:hAnsi="Times New Roman" w:cs="Times New Roman"/>
          <w:sz w:val="18"/>
          <w:szCs w:val="18"/>
          <w:lang w:val="sr-Cyrl-RS"/>
        </w:rPr>
        <w:t>Иницијални корак и формална подлога за такав плански документ, постављени су Полазним основама за израду Програма за реформу система локалне самоуправе, које је усвојио Савет за реформу јавне управе у јуну 2019. године.</w:t>
      </w:r>
    </w:p>
  </w:footnote>
  <w:footnote w:id="3">
    <w:p w14:paraId="3F5A9BA7" w14:textId="251D5004" w:rsidR="00C01216" w:rsidRPr="0078271E" w:rsidRDefault="00C01216">
      <w:pPr>
        <w:pStyle w:val="FootnoteText"/>
        <w:rPr>
          <w:rFonts w:ascii="Times New Roman" w:hAnsi="Times New Roman" w:cs="Times New Roman"/>
          <w:sz w:val="18"/>
          <w:szCs w:val="18"/>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 xml:space="preserve">„Сл. гласник РС”, бр. 73/2021. </w:t>
      </w:r>
    </w:p>
  </w:footnote>
  <w:footnote w:id="4">
    <w:p w14:paraId="6B852556" w14:textId="6E3D6A47" w:rsidR="00C01216" w:rsidRPr="0078271E" w:rsidRDefault="00C01216">
      <w:pPr>
        <w:pStyle w:val="FootnoteText"/>
        <w:rPr>
          <w:rFonts w:ascii="Times New Roman" w:hAnsi="Times New Roman" w:cs="Times New Roman"/>
          <w:sz w:val="18"/>
          <w:szCs w:val="18"/>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„Сл. гласник РС”, бр. 42/2021 и 9/2022.</w:t>
      </w:r>
    </w:p>
  </w:footnote>
  <w:footnote w:id="5">
    <w:p w14:paraId="5D34B243" w14:textId="6122C9F2"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„Сл. гласник РС”, бр. 73/2021.</w:t>
      </w:r>
    </w:p>
  </w:footnote>
  <w:footnote w:id="6">
    <w:p w14:paraId="77961DA3" w14:textId="08566E0E" w:rsidR="00C01216" w:rsidRPr="007016CE" w:rsidRDefault="00C01216">
      <w:pPr>
        <w:pStyle w:val="FootnoteText"/>
        <w:rPr>
          <w:rFonts w:ascii="Arial" w:hAnsi="Arial" w:cs="Arial"/>
          <w:sz w:val="18"/>
          <w:szCs w:val="18"/>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„Сл. гласник РС”, бр. 84/2024.</w:t>
      </w:r>
    </w:p>
  </w:footnote>
  <w:footnote w:id="7">
    <w:p w14:paraId="578626FA" w14:textId="3CEA001B"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Arial" w:hAnsi="Times New Roman" w:cs="Times New Roman"/>
          <w:sz w:val="18"/>
          <w:szCs w:val="18"/>
          <w:lang w:val="sr-Cyrl-RS"/>
        </w:rPr>
        <w:t>Сл. Гласник РС - Међународни уговори”, бр. 70/2007</w:t>
      </w:r>
    </w:p>
  </w:footnote>
  <w:footnote w:id="8">
    <w:p w14:paraId="3DDAD3FC" w14:textId="3B42A515"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„Сл. гласник РС”, бр. 98/2006 и 115/2021</w:t>
      </w:r>
    </w:p>
  </w:footnote>
  <w:footnote w:id="9">
    <w:p w14:paraId="298E2962" w14:textId="21C9AC8B"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Arial" w:hAnsi="Times New Roman" w:cs="Times New Roman"/>
          <w:sz w:val="18"/>
          <w:szCs w:val="18"/>
          <w:lang w:val="sr-Cyrl-RS"/>
        </w:rPr>
        <w:t>Сл. гласник РС”, бр. 129/2007, 83/2014 - др.закон, 10/2016 - др.закон, 47/2018 и 111/2021 - др.закон</w:t>
      </w:r>
    </w:p>
  </w:footnote>
  <w:footnote w:id="10">
    <w:p w14:paraId="00F4D7C0" w14:textId="35A421FA"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Aptos" w:hAnsi="Times New Roman" w:cs="Times New Roman"/>
          <w:sz w:val="18"/>
          <w:szCs w:val="18"/>
          <w:lang w:val="sr-Cyrl-RS"/>
        </w:rPr>
        <w:t>Сл.</w:t>
      </w:r>
      <w:r w:rsidRPr="0078271E">
        <w:rPr>
          <w:rFonts w:ascii="Times New Roman" w:eastAsia="Arial" w:hAnsi="Times New Roman" w:cs="Times New Roman"/>
          <w:sz w:val="18"/>
          <w:szCs w:val="18"/>
          <w:lang w:val="sr-Cyrl-RS"/>
        </w:rPr>
        <w:t xml:space="preserve"> </w:t>
      </w:r>
      <w:r w:rsidRPr="0078271E">
        <w:rPr>
          <w:rFonts w:ascii="Times New Roman" w:eastAsia="Aptos" w:hAnsi="Times New Roman" w:cs="Times New Roman"/>
          <w:sz w:val="18"/>
          <w:szCs w:val="18"/>
          <w:lang w:val="sr-Cyrl-RS"/>
        </w:rPr>
        <w:t>гласник РС”, бр. 14/2</w:t>
      </w:r>
      <w:r w:rsidRPr="0078271E">
        <w:rPr>
          <w:rFonts w:ascii="Times New Roman" w:eastAsia="Arial" w:hAnsi="Times New Roman" w:cs="Times New Roman"/>
          <w:sz w:val="18"/>
          <w:szCs w:val="18"/>
          <w:lang w:val="sr-Cyrl-RS"/>
        </w:rPr>
        <w:t>022 и 35/2024</w:t>
      </w:r>
    </w:p>
  </w:footnote>
  <w:footnote w:id="11">
    <w:p w14:paraId="0E99981C" w14:textId="0329850C" w:rsidR="00C01216" w:rsidRPr="0078271E" w:rsidRDefault="00C01216" w:rsidP="00814E80">
      <w:pPr>
        <w:spacing w:after="0"/>
        <w:rPr>
          <w:rFonts w:ascii="Times New Roman" w:eastAsia="Aptos" w:hAnsi="Times New Roman" w:cs="Times New Roman"/>
          <w:sz w:val="18"/>
          <w:szCs w:val="18"/>
          <w:lang w:val="sr-Cyrl-RS"/>
        </w:rPr>
      </w:pPr>
      <w:r w:rsidRPr="0078271E">
        <w:rPr>
          <w:rStyle w:val="FootnoteReference"/>
          <w:rFonts w:ascii="Times New Roman" w:hAnsi="Times New Roman" w:cs="Times New Roman"/>
          <w:sz w:val="20"/>
          <w:szCs w:val="20"/>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Arial" w:hAnsi="Times New Roman" w:cs="Times New Roman"/>
          <w:sz w:val="18"/>
          <w:szCs w:val="18"/>
          <w:lang w:val="sr-Cyrl-RS"/>
        </w:rPr>
        <w:t>Сл. гласник РС”, бр. 129/2007, 18/2016, 47/2018 и 9/2020 - др. закон.</w:t>
      </w:r>
    </w:p>
  </w:footnote>
  <w:footnote w:id="12">
    <w:p w14:paraId="57FD2497" w14:textId="4C77659D" w:rsidR="00C01216" w:rsidRPr="0078271E" w:rsidRDefault="00C01216" w:rsidP="00814E80">
      <w:pPr>
        <w:spacing w:after="0" w:line="257" w:lineRule="auto"/>
        <w:jc w:val="both"/>
        <w:rPr>
          <w:rFonts w:ascii="Times New Roman" w:eastAsia="Arial" w:hAnsi="Times New Roman" w:cs="Times New Roman"/>
          <w:sz w:val="18"/>
          <w:szCs w:val="18"/>
          <w:lang w:val="sr-Cyrl-RS"/>
        </w:rPr>
      </w:pPr>
      <w:r w:rsidRPr="0078271E">
        <w:rPr>
          <w:rStyle w:val="FootnoteReference"/>
          <w:rFonts w:ascii="Times New Roman" w:hAnsi="Times New Roman" w:cs="Times New Roman"/>
          <w:sz w:val="20"/>
          <w:szCs w:val="20"/>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Arial" w:hAnsi="Times New Roman" w:cs="Times New Roman"/>
          <w:sz w:val="18"/>
          <w:szCs w:val="18"/>
          <w:lang w:val="sr-Cyrl-RS"/>
        </w:rPr>
        <w:t>Сл. гласник РС”, бр. 62/2006, 47/2011, 93/2012, 99/2013 - усклађени дин. изн., 125/2014 - усклађени дин. изн., 95/2015 - усклађени дин. изн., 83/2016, 91/2016 - усклађени дин. изн., 104/2016 - др. закон, 96/2017 - усклађени дин. изн., 89/2018 - усклађени дин. изн., 95/2018 - др. закон, 86/2019 - усклађени дин. изн., 126/2020 - усклађени дин. изн., 99/2021 - усклађени дин. изн., 111/2021 - др. закон, 124/2022 - усклађени дин. изн., 97/2023 - усклађени дин. изн., 85/2024 - усклађени дин. изн. и 115/2025 - усклађени дин. изн.</w:t>
      </w:r>
    </w:p>
  </w:footnote>
  <w:footnote w:id="13">
    <w:p w14:paraId="2FDE281F" w14:textId="37F54C40" w:rsidR="00C01216" w:rsidRPr="0078271E" w:rsidRDefault="00C01216" w:rsidP="00814E80">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Arial" w:hAnsi="Times New Roman" w:cs="Times New Roman"/>
          <w:sz w:val="18"/>
          <w:szCs w:val="18"/>
          <w:lang w:val="sr-Cyrl-RS"/>
        </w:rPr>
        <w:t>Сл. гласник РС”, бр. 111/2021 и 119/2021</w:t>
      </w:r>
    </w:p>
  </w:footnote>
  <w:footnote w:id="14">
    <w:p w14:paraId="5AB2862F" w14:textId="448D245A"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„Сл. гласник РС</w:t>
      </w:r>
      <w:r w:rsidRPr="0078271E">
        <w:rPr>
          <w:rFonts w:ascii="Times New Roman" w:eastAsia="Arial" w:hAnsi="Times New Roman" w:cs="Times New Roman"/>
          <w:sz w:val="18"/>
          <w:szCs w:val="18"/>
          <w:lang w:val="sr-Cyrl-RS"/>
        </w:rPr>
        <w:t>”</w:t>
      </w:r>
      <w:r w:rsidRPr="0078271E">
        <w:rPr>
          <w:rFonts w:ascii="Times New Roman" w:hAnsi="Times New Roman" w:cs="Times New Roman"/>
          <w:sz w:val="18"/>
          <w:szCs w:val="18"/>
          <w:lang w:val="sr-Cyrl-RS"/>
        </w:rPr>
        <w:t>, бр. 129/2007, 83/2014 - др. закон, 101/2016 – др. закон, 37/2019 и 111/2021 – др. закон.</w:t>
      </w:r>
    </w:p>
  </w:footnote>
  <w:footnote w:id="15">
    <w:p w14:paraId="00D6D5CD" w14:textId="4E304638" w:rsidR="00C01216" w:rsidRPr="0078271E" w:rsidRDefault="00C01216" w:rsidP="00C9125C">
      <w:pPr>
        <w:pStyle w:val="FootnoteText"/>
        <w:jc w:val="both"/>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Arial" w:hAnsi="Times New Roman" w:cs="Times New Roman"/>
          <w:sz w:val="18"/>
          <w:szCs w:val="18"/>
          <w:lang w:val="sr-Cyrl-RS"/>
        </w:rPr>
        <w:t>Сл. гласник РС”, бр. 21/2016, 113/2017, 95/2018, 114/2021, 92/2023, 113/2017 - др. закон, 95/2018 - др. закон, 86/2019 - др. закон, 157/2020 - др. закон и 123/2021 - др. закон</w:t>
      </w:r>
    </w:p>
  </w:footnote>
  <w:footnote w:id="16">
    <w:p w14:paraId="23B0C466" w14:textId="77777777" w:rsidR="00C01216" w:rsidRPr="0078271E" w:rsidRDefault="00C01216" w:rsidP="00E72096">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Закони и подзаконски акти који уређују питања као што су: комуналне делатности, локални економски развој, туризам и угоститељство, дечија и социјална заштита, образовање, јавно здравље, просторно планирање и изградња, култура, спорт, млади, и др.</w:t>
      </w:r>
    </w:p>
  </w:footnote>
  <w:footnote w:id="17">
    <w:p w14:paraId="5900A3C4" w14:textId="6C0E8054"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Сл. гласник РС – Међународни уговори”, број 70/07</w:t>
      </w:r>
    </w:p>
  </w:footnote>
  <w:footnote w:id="18">
    <w:p w14:paraId="2C52C3DF" w14:textId="776D1E54"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Verdana" w:hAnsi="Times New Roman" w:cs="Times New Roman"/>
          <w:color w:val="333333"/>
          <w:sz w:val="18"/>
          <w:szCs w:val="18"/>
          <w:lang w:val="sr-Cyrl-RS"/>
        </w:rPr>
        <w:t>Сл. гласник РС - Међународни уговори</w:t>
      </w:r>
      <w:r w:rsidRPr="0078271E">
        <w:rPr>
          <w:rFonts w:ascii="Times New Roman" w:hAnsi="Times New Roman" w:cs="Times New Roman"/>
          <w:sz w:val="18"/>
          <w:szCs w:val="18"/>
          <w:lang w:val="sr-Cyrl-RS"/>
        </w:rPr>
        <w:t>”</w:t>
      </w:r>
      <w:r w:rsidRPr="0078271E">
        <w:rPr>
          <w:rFonts w:ascii="Times New Roman" w:eastAsia="Verdana" w:hAnsi="Times New Roman" w:cs="Times New Roman"/>
          <w:color w:val="333333"/>
          <w:sz w:val="18"/>
          <w:szCs w:val="18"/>
          <w:lang w:val="sr-Cyrl-RS"/>
        </w:rPr>
        <w:t>, бр. 8/2018.</w:t>
      </w:r>
    </w:p>
  </w:footnote>
  <w:footnote w:id="19">
    <w:p w14:paraId="4FCCDFED" w14:textId="4F812EE0"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w:t>
      </w:r>
      <w:r w:rsidRPr="0078271E">
        <w:rPr>
          <w:rFonts w:ascii="Times New Roman" w:eastAsia="Arial" w:hAnsi="Times New Roman" w:cs="Times New Roman"/>
          <w:sz w:val="18"/>
          <w:szCs w:val="18"/>
          <w:lang w:val="sr-Cyrl-RS"/>
        </w:rPr>
        <w:t>Сл. Гласник РС - Међународни уговори”, бр.</w:t>
      </w:r>
      <w:r w:rsidRPr="0078271E">
        <w:rPr>
          <w:rFonts w:ascii="Times New Roman" w:hAnsi="Times New Roman" w:cs="Times New Roman"/>
          <w:sz w:val="18"/>
          <w:szCs w:val="18"/>
          <w:lang w:val="sr-Cyrl-RS"/>
        </w:rPr>
        <w:t xml:space="preserve"> 10/2025</w:t>
      </w:r>
    </w:p>
  </w:footnote>
  <w:footnote w:id="20">
    <w:p w14:paraId="550B3821" w14:textId="4883D048" w:rsidR="00C01216" w:rsidRPr="00A33F5C" w:rsidRDefault="00C01216" w:rsidP="00686603">
      <w:pPr>
        <w:pStyle w:val="FootnoteText"/>
        <w:jc w:val="both"/>
        <w:rPr>
          <w:rFonts w:ascii="Arial" w:hAnsi="Arial" w:cs="Arial"/>
          <w:sz w:val="18"/>
          <w:szCs w:val="18"/>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Закон о потврђивању ове Европске оквирне конвенције од стране Републике Србије објављен у: „Сл. гласник РС – Међународни уговори”, број 2/16</w:t>
      </w:r>
      <w:r w:rsidRPr="00BC0FF4">
        <w:rPr>
          <w:rFonts w:ascii="Arial" w:hAnsi="Arial" w:cs="Arial"/>
          <w:sz w:val="18"/>
          <w:szCs w:val="18"/>
          <w:lang w:val="sr-Cyrl-RS"/>
        </w:rPr>
        <w:t xml:space="preserve"> </w:t>
      </w:r>
    </w:p>
  </w:footnote>
  <w:footnote w:id="21">
    <w:p w14:paraId="6F0155F3" w14:textId="003CF317" w:rsidR="00C01216" w:rsidRPr="0078271E" w:rsidRDefault="00C01216">
      <w:pPr>
        <w:pStyle w:val="FootnoteText"/>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 xml:space="preserve">Видети више на: </w:t>
      </w:r>
      <w:hyperlink r:id="rId1" w:history="1">
        <w:r w:rsidRPr="0078271E">
          <w:rPr>
            <w:rStyle w:val="Hyperlink"/>
            <w:rFonts w:ascii="Times New Roman" w:hAnsi="Times New Roman" w:cs="Times New Roman"/>
            <w:sz w:val="18"/>
            <w:szCs w:val="18"/>
            <w:lang w:val="sr-Cyrl-RS"/>
          </w:rPr>
          <w:t>https://www.congress-monitoring.eu/en/pays.html</w:t>
        </w:r>
      </w:hyperlink>
      <w:r w:rsidRPr="0078271E">
        <w:rPr>
          <w:rFonts w:ascii="Times New Roman" w:hAnsi="Times New Roman" w:cs="Times New Roman"/>
          <w:lang w:val="sr-Cyrl-RS"/>
        </w:rPr>
        <w:t xml:space="preserve"> </w:t>
      </w:r>
    </w:p>
  </w:footnote>
  <w:footnote w:id="22">
    <w:p w14:paraId="072A92D9" w14:textId="410E9940" w:rsidR="00C01216" w:rsidRPr="0078271E" w:rsidRDefault="00C01216" w:rsidP="003C1A14">
      <w:pPr>
        <w:spacing w:after="0" w:line="240" w:lineRule="auto"/>
        <w:jc w:val="both"/>
        <w:rPr>
          <w:rFonts w:ascii="Times New Roman" w:hAnsi="Times New Roman" w:cs="Times New Roman"/>
          <w:sz w:val="20"/>
          <w:szCs w:val="20"/>
          <w:lang w:val="sr-Cyrl-RS"/>
        </w:rPr>
      </w:pPr>
      <w:r w:rsidRPr="0078271E">
        <w:rPr>
          <w:rFonts w:ascii="Times New Roman" w:hAnsi="Times New Roman" w:cs="Times New Roman"/>
          <w:sz w:val="18"/>
          <w:szCs w:val="18"/>
          <w:vertAlign w:val="superscript"/>
          <w:lang w:val="sr-Cyrl-RS"/>
        </w:rPr>
        <w:footnoteRef/>
      </w:r>
      <w:r w:rsidRPr="0078271E">
        <w:rPr>
          <w:rFonts w:ascii="Times New Roman" w:hAnsi="Times New Roman" w:cs="Times New Roman"/>
          <w:sz w:val="18"/>
          <w:szCs w:val="18"/>
          <w:lang w:val="sr-Cyrl-RS"/>
        </w:rPr>
        <w:t xml:space="preserve"> „Сл. гласник РС</w:t>
      </w:r>
      <w:r w:rsidRPr="0078271E">
        <w:rPr>
          <w:rFonts w:ascii="Times New Roman" w:eastAsia="Arial" w:hAnsi="Times New Roman" w:cs="Times New Roman"/>
          <w:sz w:val="18"/>
          <w:szCs w:val="18"/>
          <w:lang w:val="sr-Cyrl-RS"/>
        </w:rPr>
        <w:t>”</w:t>
      </w:r>
      <w:r w:rsidRPr="0078271E">
        <w:rPr>
          <w:rFonts w:ascii="Times New Roman" w:hAnsi="Times New Roman" w:cs="Times New Roman"/>
          <w:sz w:val="18"/>
          <w:szCs w:val="18"/>
          <w:lang w:val="sr-Cyrl-RS"/>
        </w:rPr>
        <w:t>, бр. 129/2007, 83/2014 - др. закон, 101/2016 – др. закон, 37/2019 и 111/2021 – др. закон.</w:t>
      </w:r>
    </w:p>
  </w:footnote>
  <w:footnote w:id="23">
    <w:p w14:paraId="476B20BA" w14:textId="77777777" w:rsidR="00C01216" w:rsidRPr="0078271E" w:rsidRDefault="00C01216" w:rsidP="00686603">
      <w:pPr>
        <w:pStyle w:val="FootnoteText"/>
        <w:jc w:val="both"/>
        <w:rPr>
          <w:rFonts w:ascii="Times New Roman" w:hAnsi="Times New Roman" w:cs="Times New Roman"/>
          <w:sz w:val="18"/>
          <w:szCs w:val="18"/>
          <w:lang w:val="sr-Latn-RS"/>
        </w:rPr>
      </w:pPr>
      <w:r w:rsidRPr="0078271E">
        <w:rPr>
          <w:rStyle w:val="FootnoteReference"/>
          <w:rFonts w:ascii="Times New Roman" w:hAnsi="Times New Roman" w:cs="Times New Roman"/>
        </w:rPr>
        <w:footnoteRef/>
      </w:r>
      <w:r w:rsidRPr="0078271E">
        <w:rPr>
          <w:rFonts w:ascii="Times New Roman" w:hAnsi="Times New Roman" w:cs="Times New Roman"/>
        </w:rPr>
        <w:t xml:space="preserve"> </w:t>
      </w:r>
      <w:r w:rsidRPr="0078271E">
        <w:rPr>
          <w:rFonts w:ascii="Times New Roman" w:eastAsia="Times New Roman" w:hAnsi="Times New Roman" w:cs="Times New Roman"/>
          <w:kern w:val="36"/>
          <w:sz w:val="18"/>
          <w:szCs w:val="18"/>
          <w:lang w:val="sr-Cyrl-RS"/>
        </w:rPr>
        <w:t xml:space="preserve">NALAS (2025) </w:t>
      </w:r>
      <w:r w:rsidRPr="0078271E">
        <w:rPr>
          <w:rFonts w:ascii="Times New Roman" w:eastAsia="Times New Roman" w:hAnsi="Times New Roman" w:cs="Times New Roman"/>
          <w:i/>
          <w:kern w:val="36"/>
          <w:sz w:val="18"/>
          <w:szCs w:val="18"/>
          <w:lang w:val="sr-Cyrl-RS"/>
        </w:rPr>
        <w:t>Fiscal Decentralization Indicators for South-East Europe. 10</w:t>
      </w:r>
      <w:r w:rsidRPr="0078271E">
        <w:rPr>
          <w:rFonts w:ascii="Times New Roman" w:eastAsia="Times New Roman" w:hAnsi="Times New Roman" w:cs="Times New Roman"/>
          <w:i/>
          <w:kern w:val="36"/>
          <w:sz w:val="18"/>
          <w:szCs w:val="18"/>
          <w:vertAlign w:val="superscript"/>
          <w:lang w:val="sr-Cyrl-RS"/>
        </w:rPr>
        <w:t>th</w:t>
      </w:r>
      <w:r w:rsidRPr="0078271E">
        <w:rPr>
          <w:rFonts w:ascii="Times New Roman" w:eastAsia="Times New Roman" w:hAnsi="Times New Roman" w:cs="Times New Roman"/>
          <w:i/>
          <w:kern w:val="36"/>
          <w:sz w:val="18"/>
          <w:szCs w:val="18"/>
          <w:lang w:val="sr-Cyrl-RS"/>
        </w:rPr>
        <w:t xml:space="preserve"> Edition</w:t>
      </w:r>
      <w:r w:rsidRPr="0078271E">
        <w:rPr>
          <w:rFonts w:ascii="Times New Roman" w:eastAsia="Times New Roman" w:hAnsi="Times New Roman" w:cs="Times New Roman"/>
          <w:kern w:val="36"/>
          <w:sz w:val="18"/>
          <w:szCs w:val="18"/>
          <w:lang w:val="sr-Cyrl-RS"/>
        </w:rPr>
        <w:t xml:space="preserve">, p. </w:t>
      </w:r>
      <w:r w:rsidRPr="0078271E">
        <w:rPr>
          <w:rFonts w:ascii="Times New Roman" w:eastAsia="Times New Roman" w:hAnsi="Times New Roman" w:cs="Times New Roman"/>
          <w:kern w:val="36"/>
          <w:sz w:val="18"/>
          <w:szCs w:val="18"/>
          <w:lang w:val="sr-Latn-RS"/>
        </w:rPr>
        <w:t>17</w:t>
      </w:r>
      <w:r w:rsidRPr="0078271E">
        <w:rPr>
          <w:rFonts w:ascii="Times New Roman" w:eastAsia="Times New Roman" w:hAnsi="Times New Roman" w:cs="Times New Roman"/>
          <w:kern w:val="36"/>
          <w:sz w:val="18"/>
          <w:szCs w:val="18"/>
          <w:lang w:val="sr-Cyrl-RS"/>
        </w:rPr>
        <w:t>.</w:t>
      </w:r>
      <w:r w:rsidRPr="0078271E">
        <w:rPr>
          <w:rFonts w:ascii="Times New Roman" w:eastAsia="Times New Roman" w:hAnsi="Times New Roman" w:cs="Times New Roman"/>
          <w:kern w:val="36"/>
          <w:sz w:val="18"/>
          <w:szCs w:val="18"/>
          <w:lang w:val="sr-Latn-RS"/>
        </w:rPr>
        <w:t xml:space="preserve"> </w:t>
      </w:r>
      <w:r w:rsidRPr="0078271E">
        <w:rPr>
          <w:rFonts w:ascii="Times New Roman" w:hAnsi="Times New Roman" w:cs="Times New Roman"/>
          <w:sz w:val="18"/>
          <w:szCs w:val="18"/>
          <w:lang w:val="sr-Cyrl-RS"/>
        </w:rPr>
        <w:t xml:space="preserve"> </w:t>
      </w:r>
    </w:p>
    <w:p w14:paraId="0D456933" w14:textId="31EC0AE7" w:rsidR="00C01216" w:rsidRPr="0078271E" w:rsidRDefault="00C01216">
      <w:pPr>
        <w:pStyle w:val="FootnoteText"/>
        <w:rPr>
          <w:rFonts w:ascii="Times New Roman" w:hAnsi="Times New Roman" w:cs="Times New Roman"/>
          <w:lang w:val="sr-Cyrl-RS"/>
        </w:rPr>
      </w:pPr>
      <w:r w:rsidRPr="0078271E">
        <w:rPr>
          <w:rFonts w:ascii="Times New Roman" w:hAnsi="Times New Roman" w:cs="Times New Roman"/>
          <w:sz w:val="18"/>
          <w:szCs w:val="18"/>
          <w:lang w:val="sr-Cyrl-RS"/>
        </w:rPr>
        <w:t>https://core.nalas-observatory.eu/files/publications/pdf/1749673773.pdf</w:t>
      </w:r>
    </w:p>
  </w:footnote>
  <w:footnote w:id="24">
    <w:p w14:paraId="794360F4" w14:textId="60DE79AE" w:rsidR="00C01216" w:rsidRPr="006E6A62" w:rsidRDefault="00C01216">
      <w:pPr>
        <w:pStyle w:val="FootnoteText"/>
        <w:rPr>
          <w:sz w:val="18"/>
          <w:szCs w:val="18"/>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Видети више у „Програм за реформу система локалне самоуправе 2021-2025, Прилог 9 – Упоредни преглед кључних одредница система локалне самоуправе у европским земљама“.</w:t>
      </w:r>
    </w:p>
  </w:footnote>
  <w:footnote w:id="25">
    <w:p w14:paraId="64B32526" w14:textId="6BC8974E" w:rsidR="00C01216" w:rsidRPr="0078271E" w:rsidRDefault="00C01216" w:rsidP="007E31BD">
      <w:pPr>
        <w:spacing w:after="0" w:line="240" w:lineRule="auto"/>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Постоји и модел „менаџер-скупштина”, где је јака извршна и професионализована власт (администрација) а слаб градоначелник (САД, Велика Британија, Ирска, Исланд). Видети више у „Програм за реформу система локалне самоуправе 2021-2025, Прилог 9 – Упоредни преглед кључних одредница система локалне самоуправе у европским земљама“.</w:t>
      </w:r>
    </w:p>
    <w:p w14:paraId="464EB522" w14:textId="47A51795" w:rsidR="00C01216" w:rsidRPr="006E6A62" w:rsidRDefault="00C01216" w:rsidP="006E6A62">
      <w:pPr>
        <w:spacing w:after="0" w:line="240" w:lineRule="auto"/>
        <w:jc w:val="both"/>
        <w:rPr>
          <w:lang w:val="sr-Cyrl-RS"/>
        </w:rPr>
      </w:pPr>
    </w:p>
  </w:footnote>
  <w:footnote w:id="26">
    <w:p w14:paraId="2ABA0EEA" w14:textId="04046633" w:rsidR="00C01216" w:rsidRPr="0078271E" w:rsidRDefault="00C01216" w:rsidP="0044537E">
      <w:pPr>
        <w:pStyle w:val="FootnoteText"/>
        <w:jc w:val="both"/>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rPr>
        <w:t xml:space="preserve">SIGMA (2025) </w:t>
      </w:r>
      <w:r w:rsidRPr="0078271E">
        <w:rPr>
          <w:rFonts w:ascii="Times New Roman" w:hAnsi="Times New Roman" w:cs="Times New Roman"/>
          <w:i/>
          <w:sz w:val="18"/>
          <w:szCs w:val="18"/>
        </w:rPr>
        <w:t>Implementation and challenges</w:t>
      </w:r>
      <w:r w:rsidRPr="0078271E">
        <w:rPr>
          <w:rFonts w:ascii="Times New Roman" w:hAnsi="Times New Roman" w:cs="Times New Roman"/>
          <w:i/>
          <w:sz w:val="18"/>
          <w:szCs w:val="18"/>
          <w:lang w:val="sr-Latn-RS"/>
        </w:rPr>
        <w:t xml:space="preserve"> </w:t>
      </w:r>
      <w:r w:rsidRPr="0078271E">
        <w:rPr>
          <w:rFonts w:ascii="Times New Roman" w:hAnsi="Times New Roman" w:cs="Times New Roman"/>
          <w:i/>
          <w:sz w:val="18"/>
          <w:szCs w:val="18"/>
        </w:rPr>
        <w:t>of multi-level governance</w:t>
      </w:r>
      <w:r w:rsidRPr="0078271E">
        <w:rPr>
          <w:rFonts w:ascii="Times New Roman" w:hAnsi="Times New Roman" w:cs="Times New Roman"/>
          <w:i/>
          <w:sz w:val="18"/>
          <w:szCs w:val="18"/>
          <w:lang w:val="sr-Latn-RS"/>
        </w:rPr>
        <w:t xml:space="preserve"> </w:t>
      </w:r>
      <w:r w:rsidRPr="0078271E">
        <w:rPr>
          <w:rFonts w:ascii="Times New Roman" w:hAnsi="Times New Roman" w:cs="Times New Roman"/>
          <w:i/>
          <w:sz w:val="18"/>
          <w:szCs w:val="18"/>
        </w:rPr>
        <w:t>in the Western Balkans</w:t>
      </w:r>
      <w:r w:rsidRPr="0078271E">
        <w:rPr>
          <w:rFonts w:ascii="Times New Roman" w:hAnsi="Times New Roman" w:cs="Times New Roman"/>
          <w:i/>
          <w:sz w:val="18"/>
          <w:szCs w:val="18"/>
          <w:lang w:val="sr-Cyrl-RS"/>
        </w:rPr>
        <w:t xml:space="preserve">. </w:t>
      </w:r>
      <w:r w:rsidRPr="0078271E">
        <w:rPr>
          <w:rFonts w:ascii="Times New Roman" w:hAnsi="Times New Roman" w:cs="Times New Roman"/>
          <w:i/>
          <w:sz w:val="18"/>
          <w:szCs w:val="18"/>
          <w:lang w:val="sr-Latn-RS"/>
        </w:rPr>
        <w:t xml:space="preserve">p 30 </w:t>
      </w:r>
      <w:r w:rsidRPr="0078271E">
        <w:rPr>
          <w:rFonts w:ascii="Times New Roman" w:hAnsi="Times New Roman" w:cs="Times New Roman"/>
          <w:sz w:val="18"/>
          <w:szCs w:val="18"/>
        </w:rPr>
        <w:t>https://www.sigmaweb.org/content/dam/sigma/en/publications/reports/2025/12/implementation-and-challenges-of-multi-level-governance-in-the-western-balkans_b158af1a/32891a8f-en.pdf</w:t>
      </w:r>
    </w:p>
  </w:footnote>
  <w:footnote w:id="27">
    <w:p w14:paraId="1C266707" w14:textId="2A7C51A0" w:rsidR="00C01216" w:rsidRPr="0078271E" w:rsidRDefault="00C01216" w:rsidP="0044537E">
      <w:pPr>
        <w:pStyle w:val="FootnoteText"/>
        <w:jc w:val="both"/>
        <w:rPr>
          <w:rFonts w:ascii="Times New Roman" w:hAnsi="Times New Roman" w:cs="Times New Roman"/>
          <w:sz w:val="18"/>
          <w:szCs w:val="18"/>
          <w:lang w:val="sr-Latn-RS"/>
        </w:rPr>
      </w:pPr>
      <w:r w:rsidRPr="0078271E">
        <w:rPr>
          <w:rStyle w:val="FootnoteReference"/>
          <w:rFonts w:ascii="Times New Roman" w:hAnsi="Times New Roman" w:cs="Times New Roman"/>
        </w:rPr>
        <w:footnoteRef/>
      </w:r>
      <w:r w:rsidRPr="0078271E">
        <w:rPr>
          <w:rFonts w:ascii="Times New Roman" w:hAnsi="Times New Roman" w:cs="Times New Roman"/>
          <w:sz w:val="18"/>
          <w:szCs w:val="18"/>
          <w:lang w:val="sr-Cyrl-RS"/>
        </w:rPr>
        <w:t xml:space="preserve"> </w:t>
      </w:r>
      <w:r w:rsidRPr="0078271E">
        <w:rPr>
          <w:rFonts w:ascii="Times New Roman" w:hAnsi="Times New Roman" w:cs="Times New Roman"/>
          <w:sz w:val="18"/>
          <w:szCs w:val="18"/>
        </w:rPr>
        <w:t xml:space="preserve">SIGMA (2025) </w:t>
      </w:r>
      <w:r w:rsidRPr="0078271E">
        <w:rPr>
          <w:rFonts w:ascii="Times New Roman" w:hAnsi="Times New Roman" w:cs="Times New Roman"/>
          <w:i/>
          <w:sz w:val="18"/>
          <w:szCs w:val="18"/>
        </w:rPr>
        <w:t>Implementation and challenges</w:t>
      </w:r>
      <w:r w:rsidRPr="0078271E">
        <w:rPr>
          <w:rFonts w:ascii="Times New Roman" w:hAnsi="Times New Roman" w:cs="Times New Roman"/>
          <w:i/>
          <w:sz w:val="18"/>
          <w:szCs w:val="18"/>
          <w:lang w:val="sr-Latn-RS"/>
        </w:rPr>
        <w:t xml:space="preserve"> </w:t>
      </w:r>
      <w:r w:rsidRPr="0078271E">
        <w:rPr>
          <w:rFonts w:ascii="Times New Roman" w:hAnsi="Times New Roman" w:cs="Times New Roman"/>
          <w:i/>
          <w:sz w:val="18"/>
          <w:szCs w:val="18"/>
        </w:rPr>
        <w:t>of multi-level governance</w:t>
      </w:r>
      <w:r w:rsidRPr="0078271E">
        <w:rPr>
          <w:rFonts w:ascii="Times New Roman" w:hAnsi="Times New Roman" w:cs="Times New Roman"/>
          <w:i/>
          <w:sz w:val="18"/>
          <w:szCs w:val="18"/>
          <w:lang w:val="sr-Latn-RS"/>
        </w:rPr>
        <w:t xml:space="preserve"> </w:t>
      </w:r>
      <w:r w:rsidRPr="0078271E">
        <w:rPr>
          <w:rFonts w:ascii="Times New Roman" w:hAnsi="Times New Roman" w:cs="Times New Roman"/>
          <w:i/>
          <w:sz w:val="18"/>
          <w:szCs w:val="18"/>
        </w:rPr>
        <w:t>in the Western Balkans</w:t>
      </w:r>
      <w:r w:rsidRPr="0078271E">
        <w:rPr>
          <w:rFonts w:ascii="Times New Roman" w:hAnsi="Times New Roman" w:cs="Times New Roman"/>
          <w:i/>
          <w:sz w:val="18"/>
          <w:szCs w:val="18"/>
          <w:lang w:val="sr-Cyrl-RS"/>
        </w:rPr>
        <w:t xml:space="preserve">. </w:t>
      </w:r>
      <w:r w:rsidRPr="0078271E">
        <w:rPr>
          <w:rFonts w:ascii="Times New Roman" w:hAnsi="Times New Roman" w:cs="Times New Roman"/>
          <w:i/>
          <w:sz w:val="18"/>
          <w:szCs w:val="18"/>
          <w:lang w:val="sr-Latn-RS"/>
        </w:rPr>
        <w:t xml:space="preserve">p 31 </w:t>
      </w:r>
      <w:r w:rsidRPr="0078271E">
        <w:rPr>
          <w:rFonts w:ascii="Times New Roman" w:hAnsi="Times New Roman" w:cs="Times New Roman"/>
          <w:sz w:val="18"/>
          <w:szCs w:val="18"/>
        </w:rPr>
        <w:t>https://www.sigmaweb.org/content/dam/sigma/en/publications/reports/2025/12/implementation-and-challenges-of-multi-level-governance-in-the-western-balkans_b158af1a/32891a8f-en.pdf</w:t>
      </w:r>
    </w:p>
  </w:footnote>
  <w:footnote w:id="28">
    <w:p w14:paraId="2D318ED0" w14:textId="681A0809" w:rsidR="00C01216" w:rsidRPr="0078271E" w:rsidRDefault="00C01216" w:rsidP="00F0311C">
      <w:pPr>
        <w:pStyle w:val="FootnoteText"/>
        <w:jc w:val="both"/>
        <w:rPr>
          <w:rFonts w:ascii="Times New Roman" w:hAnsi="Times New Roman" w:cs="Times New Roman"/>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Latn-RS"/>
        </w:rPr>
        <w:t xml:space="preserve"> </w:t>
      </w:r>
      <w:r w:rsidRPr="0078271E">
        <w:rPr>
          <w:rFonts w:ascii="Times New Roman" w:eastAsia="Arial" w:hAnsi="Times New Roman" w:cs="Times New Roman"/>
          <w:sz w:val="18"/>
          <w:szCs w:val="18"/>
          <w:lang w:val="sr-Cyrl-RS"/>
        </w:rPr>
        <w:t>„</w:t>
      </w:r>
      <w:r w:rsidRPr="0078271E">
        <w:rPr>
          <w:rFonts w:ascii="Times New Roman" w:eastAsia="Arial" w:hAnsi="Times New Roman" w:cs="Times New Roman"/>
          <w:sz w:val="18"/>
          <w:szCs w:val="18"/>
        </w:rPr>
        <w:t>Сл</w:t>
      </w:r>
      <w:r w:rsidRPr="0078271E">
        <w:rPr>
          <w:rFonts w:ascii="Times New Roman" w:eastAsia="Arial" w:hAnsi="Times New Roman" w:cs="Times New Roman"/>
          <w:sz w:val="18"/>
          <w:szCs w:val="18"/>
          <w:lang w:val="sr-Latn-RS"/>
        </w:rPr>
        <w:t xml:space="preserve">. </w:t>
      </w:r>
      <w:r w:rsidRPr="0078271E">
        <w:rPr>
          <w:rFonts w:ascii="Times New Roman" w:eastAsia="Arial" w:hAnsi="Times New Roman" w:cs="Times New Roman"/>
          <w:sz w:val="18"/>
          <w:szCs w:val="18"/>
        </w:rPr>
        <w:t>гласник</w:t>
      </w:r>
      <w:r w:rsidRPr="0078271E">
        <w:rPr>
          <w:rFonts w:ascii="Times New Roman" w:eastAsia="Arial" w:hAnsi="Times New Roman" w:cs="Times New Roman"/>
          <w:sz w:val="18"/>
          <w:szCs w:val="18"/>
          <w:lang w:val="sr-Latn-RS"/>
        </w:rPr>
        <w:t xml:space="preserve"> </w:t>
      </w:r>
      <w:r w:rsidRPr="0078271E">
        <w:rPr>
          <w:rFonts w:ascii="Times New Roman" w:eastAsia="Arial" w:hAnsi="Times New Roman" w:cs="Times New Roman"/>
          <w:sz w:val="18"/>
          <w:szCs w:val="18"/>
        </w:rPr>
        <w:t>РС</w:t>
      </w:r>
      <w:r w:rsidRPr="0078271E">
        <w:rPr>
          <w:rFonts w:ascii="Times New Roman" w:eastAsia="Arial" w:hAnsi="Times New Roman" w:cs="Times New Roman"/>
          <w:sz w:val="18"/>
          <w:szCs w:val="18"/>
          <w:lang w:val="sr-Cyrl-RS"/>
        </w:rPr>
        <w:t>”</w:t>
      </w:r>
      <w:r w:rsidRPr="0078271E">
        <w:rPr>
          <w:rFonts w:ascii="Times New Roman" w:eastAsia="Arial" w:hAnsi="Times New Roman" w:cs="Times New Roman"/>
          <w:sz w:val="18"/>
          <w:szCs w:val="18"/>
          <w:lang w:val="sr-Latn-RS"/>
        </w:rPr>
        <w:t xml:space="preserve">, </w:t>
      </w:r>
      <w:r w:rsidRPr="0078271E">
        <w:rPr>
          <w:rFonts w:ascii="Times New Roman" w:eastAsia="Arial" w:hAnsi="Times New Roman" w:cs="Times New Roman"/>
          <w:sz w:val="18"/>
          <w:szCs w:val="18"/>
        </w:rPr>
        <w:t>бр</w:t>
      </w:r>
      <w:r w:rsidRPr="0078271E">
        <w:rPr>
          <w:rFonts w:ascii="Times New Roman" w:eastAsia="Arial" w:hAnsi="Times New Roman" w:cs="Times New Roman"/>
          <w:sz w:val="18"/>
          <w:szCs w:val="18"/>
          <w:lang w:val="sr-Latn-RS"/>
        </w:rPr>
        <w:t xml:space="preserve">. 54/2009, 73/2010, 101/2010, 101/2011, 93/2012, 62/2013, 63/2013 - </w:t>
      </w:r>
      <w:r w:rsidRPr="0078271E">
        <w:rPr>
          <w:rFonts w:ascii="Times New Roman" w:eastAsia="Arial" w:hAnsi="Times New Roman" w:cs="Times New Roman"/>
          <w:sz w:val="18"/>
          <w:szCs w:val="18"/>
        </w:rPr>
        <w:t>испр</w:t>
      </w:r>
      <w:r w:rsidRPr="0078271E">
        <w:rPr>
          <w:rFonts w:ascii="Times New Roman" w:eastAsia="Arial" w:hAnsi="Times New Roman" w:cs="Times New Roman"/>
          <w:sz w:val="18"/>
          <w:szCs w:val="18"/>
          <w:lang w:val="sr-Latn-RS"/>
        </w:rPr>
        <w:t xml:space="preserve">., 108/2013, 142/2014, 68/2015 - </w:t>
      </w:r>
      <w:r w:rsidRPr="0078271E">
        <w:rPr>
          <w:rFonts w:ascii="Times New Roman" w:eastAsia="Arial" w:hAnsi="Times New Roman" w:cs="Times New Roman"/>
          <w:sz w:val="18"/>
          <w:szCs w:val="18"/>
        </w:rPr>
        <w:t>др</w:t>
      </w:r>
      <w:r w:rsidRPr="0078271E">
        <w:rPr>
          <w:rFonts w:ascii="Times New Roman" w:eastAsia="Arial" w:hAnsi="Times New Roman" w:cs="Times New Roman"/>
          <w:sz w:val="18"/>
          <w:szCs w:val="18"/>
          <w:lang w:val="sr-Latn-RS"/>
        </w:rPr>
        <w:t xml:space="preserve">. </w:t>
      </w:r>
      <w:r w:rsidRPr="0078271E">
        <w:rPr>
          <w:rFonts w:ascii="Times New Roman" w:eastAsia="Arial" w:hAnsi="Times New Roman" w:cs="Times New Roman"/>
          <w:sz w:val="18"/>
          <w:szCs w:val="18"/>
        </w:rPr>
        <w:t>закон</w:t>
      </w:r>
      <w:r w:rsidRPr="0078271E">
        <w:rPr>
          <w:rFonts w:ascii="Times New Roman" w:eastAsia="Arial" w:hAnsi="Times New Roman" w:cs="Times New Roman"/>
          <w:sz w:val="18"/>
          <w:szCs w:val="18"/>
          <w:lang w:val="sr-Latn-RS"/>
        </w:rPr>
        <w:t xml:space="preserve">, 103/2015, 99/2016, 113/2017, 95/2018, 31/2019, 72/2019, 149/2020, 118/2021, 138/2022, 118/2021 - </w:t>
      </w:r>
      <w:r w:rsidRPr="0078271E">
        <w:rPr>
          <w:rFonts w:ascii="Times New Roman" w:eastAsia="Arial" w:hAnsi="Times New Roman" w:cs="Times New Roman"/>
          <w:sz w:val="18"/>
          <w:szCs w:val="18"/>
        </w:rPr>
        <w:t>др</w:t>
      </w:r>
      <w:r w:rsidRPr="0078271E">
        <w:rPr>
          <w:rFonts w:ascii="Times New Roman" w:eastAsia="Arial" w:hAnsi="Times New Roman" w:cs="Times New Roman"/>
          <w:sz w:val="18"/>
          <w:szCs w:val="18"/>
          <w:lang w:val="sr-Latn-RS"/>
        </w:rPr>
        <w:t xml:space="preserve">. </w:t>
      </w:r>
      <w:r w:rsidRPr="0078271E">
        <w:rPr>
          <w:rFonts w:ascii="Times New Roman" w:eastAsia="Arial" w:hAnsi="Times New Roman" w:cs="Times New Roman"/>
          <w:sz w:val="18"/>
          <w:szCs w:val="18"/>
        </w:rPr>
        <w:t>закон</w:t>
      </w:r>
      <w:r w:rsidRPr="0078271E">
        <w:rPr>
          <w:rFonts w:ascii="Times New Roman" w:eastAsia="Arial" w:hAnsi="Times New Roman" w:cs="Times New Roman"/>
          <w:sz w:val="18"/>
          <w:szCs w:val="18"/>
          <w:lang w:val="sr-Latn-RS"/>
        </w:rPr>
        <w:t xml:space="preserve">, 92/2023 </w:t>
      </w:r>
      <w:r w:rsidRPr="0078271E">
        <w:rPr>
          <w:rFonts w:ascii="Times New Roman" w:eastAsia="Arial" w:hAnsi="Times New Roman" w:cs="Times New Roman"/>
          <w:sz w:val="18"/>
          <w:szCs w:val="18"/>
        </w:rPr>
        <w:t>и</w:t>
      </w:r>
      <w:r w:rsidRPr="0078271E">
        <w:rPr>
          <w:rFonts w:ascii="Times New Roman" w:eastAsia="Arial" w:hAnsi="Times New Roman" w:cs="Times New Roman"/>
          <w:sz w:val="18"/>
          <w:szCs w:val="18"/>
          <w:lang w:val="sr-Latn-RS"/>
        </w:rPr>
        <w:t xml:space="preserve"> 94/2024</w:t>
      </w:r>
    </w:p>
  </w:footnote>
  <w:footnote w:id="29">
    <w:p w14:paraId="3F6AD0D0" w14:textId="49B32EAA" w:rsidR="00C01216" w:rsidRPr="006D4E3D" w:rsidRDefault="00C01216">
      <w:pPr>
        <w:pStyle w:val="FootnoteText"/>
        <w:rPr>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eastAsia="Arial" w:hAnsi="Times New Roman" w:cs="Times New Roman"/>
          <w:sz w:val="18"/>
          <w:szCs w:val="18"/>
          <w:lang w:val="sr-Cyrl-RS"/>
        </w:rPr>
        <w:t>„Сл. гласник РС”, бр. 61/2005, 107/2009, 78/2011, 68/2015, 95/2018, 91/2019 и 149/2020</w:t>
      </w:r>
    </w:p>
  </w:footnote>
  <w:footnote w:id="30">
    <w:p w14:paraId="1DAB6BCD" w14:textId="22267753" w:rsidR="00C01216" w:rsidRPr="00FA78FC" w:rsidRDefault="00C01216" w:rsidP="0019500E">
      <w:pPr>
        <w:pStyle w:val="FootnoteText"/>
        <w:jc w:val="both"/>
        <w:rPr>
          <w:rFonts w:ascii="Times New Roman" w:hAnsi="Times New Roman" w:cs="Times New Roman"/>
          <w:lang w:val="sr-Cyrl-RS"/>
        </w:rPr>
      </w:pPr>
      <w:r w:rsidRPr="00FA78FC">
        <w:rPr>
          <w:rStyle w:val="FootnoteReference"/>
          <w:rFonts w:ascii="Times New Roman" w:hAnsi="Times New Roman" w:cs="Times New Roman"/>
        </w:rPr>
        <w:footnoteRef/>
      </w:r>
      <w:r w:rsidRPr="00FA78FC">
        <w:rPr>
          <w:rFonts w:ascii="Times New Roman" w:hAnsi="Times New Roman" w:cs="Times New Roman"/>
          <w:lang w:val="sr-Cyrl-RS"/>
        </w:rPr>
        <w:t xml:space="preserve"> </w:t>
      </w:r>
      <w:r w:rsidRPr="00FA78FC">
        <w:rPr>
          <w:rFonts w:ascii="Times New Roman" w:eastAsia="Arial" w:hAnsi="Times New Roman" w:cs="Times New Roman"/>
          <w:sz w:val="18"/>
          <w:szCs w:val="18"/>
          <w:lang w:val="sr-Cyrl-RS"/>
        </w:rPr>
        <w:t>„Сл. гласник РС”, бр. 26/2001, "Сл. лист СРЈ", бр. 42/2002 - одлука СУС и "Сл. гласник РС", бр. 80/2002, 80/2002 - др. закон, 135/2004, 61/2007, 5/2009, 101/2010, 24/2011, 78/2011, 57/2012 - одлука УС, 47/2013, 68/2014 - др. закон, 95/2018, 99/2018 - одлука УС, 86/2019, 144/2020, 118/2021, 138/2022, 92/2023 и 94/2024</w:t>
      </w:r>
    </w:p>
  </w:footnote>
  <w:footnote w:id="31">
    <w:p w14:paraId="63353414" w14:textId="2EF7079C" w:rsidR="00C01216" w:rsidRPr="00FA78FC" w:rsidRDefault="00C01216" w:rsidP="00D56136">
      <w:pPr>
        <w:pStyle w:val="FootnoteText"/>
        <w:jc w:val="both"/>
        <w:rPr>
          <w:rFonts w:ascii="Times New Roman" w:hAnsi="Times New Roman" w:cs="Times New Roman"/>
          <w:lang w:val="sr-Cyrl-RS"/>
        </w:rPr>
      </w:pPr>
      <w:r w:rsidRPr="00FA78FC">
        <w:rPr>
          <w:rStyle w:val="FootnoteReference"/>
          <w:rFonts w:ascii="Times New Roman" w:hAnsi="Times New Roman" w:cs="Times New Roman"/>
        </w:rPr>
        <w:footnoteRef/>
      </w:r>
      <w:r w:rsidRPr="00FA78FC">
        <w:rPr>
          <w:rFonts w:ascii="Times New Roman" w:hAnsi="Times New Roman" w:cs="Times New Roman"/>
          <w:lang w:val="sr-Cyrl-RS"/>
        </w:rPr>
        <w:t xml:space="preserve"> </w:t>
      </w:r>
      <w:r w:rsidRPr="00FA78FC">
        <w:rPr>
          <w:rFonts w:ascii="Times New Roman" w:eastAsia="Arial" w:hAnsi="Times New Roman" w:cs="Times New Roman"/>
          <w:sz w:val="18"/>
          <w:szCs w:val="18"/>
          <w:lang w:val="sr-Cyrl-RS"/>
        </w:rPr>
        <w:t>„Сл. гласник РС”, бр. 95/2018, 49/2019, 86/2019 - усклађени дин. изн., 156/2020 - усклађени дин. изн., 15/2021 - доп. усклађених дин. изн., 15/2023 - усклађени дин. изн., 92/2023, 120/2023 - усклађени дин. изн., 99/2024 - усклађени дин. изн., 109/2025 и 118/2025 - усклађени дин. изн.</w:t>
      </w:r>
    </w:p>
  </w:footnote>
  <w:footnote w:id="32">
    <w:p w14:paraId="58BAD0EB" w14:textId="05B6F7AA" w:rsidR="00C01216" w:rsidRPr="00FA78FC" w:rsidRDefault="00C01216" w:rsidP="003C1A14">
      <w:pPr>
        <w:pStyle w:val="FootnoteText"/>
        <w:jc w:val="both"/>
        <w:rPr>
          <w:rFonts w:ascii="Times New Roman" w:hAnsi="Times New Roman" w:cs="Times New Roman"/>
          <w:sz w:val="18"/>
          <w:szCs w:val="18"/>
          <w:lang w:val="sr-Cyrl-RS"/>
        </w:rPr>
      </w:pPr>
      <w:r w:rsidRPr="00FA78FC">
        <w:rPr>
          <w:rStyle w:val="FootnoteReference"/>
          <w:rFonts w:ascii="Times New Roman" w:hAnsi="Times New Roman" w:cs="Times New Roman"/>
          <w:sz w:val="18"/>
          <w:szCs w:val="18"/>
          <w:lang w:val="sr-Cyrl-RS"/>
        </w:rPr>
        <w:footnoteRef/>
      </w:r>
      <w:r w:rsidRPr="00FA78FC">
        <w:rPr>
          <w:rFonts w:ascii="Times New Roman" w:hAnsi="Times New Roman" w:cs="Times New Roman"/>
          <w:sz w:val="18"/>
          <w:szCs w:val="18"/>
          <w:lang w:val="sr-Cyrl-RS"/>
        </w:rPr>
        <w:t xml:space="preserve"> Приходи ЈЛС укључују и трансфере од виших нивоа власти</w:t>
      </w:r>
      <w:r w:rsidRPr="00FA78FC">
        <w:rPr>
          <w:rFonts w:ascii="Times New Roman" w:hAnsi="Times New Roman" w:cs="Times New Roman"/>
          <w:sz w:val="18"/>
          <w:szCs w:val="18"/>
          <w:lang w:val="sr-Latn-RS"/>
        </w:rPr>
        <w:t>.</w:t>
      </w:r>
      <w:r w:rsidRPr="00FA78FC">
        <w:rPr>
          <w:rFonts w:ascii="Times New Roman" w:hAnsi="Times New Roman" w:cs="Times New Roman"/>
          <w:sz w:val="18"/>
          <w:szCs w:val="18"/>
          <w:lang w:val="sr-Cyrl-RS"/>
        </w:rPr>
        <w:t xml:space="preserve"> Питање смањивања</w:t>
      </w:r>
      <w:r w:rsidRPr="00FA78FC">
        <w:rPr>
          <w:rFonts w:ascii="Times New Roman" w:hAnsi="Times New Roman" w:cs="Times New Roman"/>
          <w:sz w:val="18"/>
          <w:szCs w:val="18"/>
          <w:lang w:val="sr-Latn-RS"/>
        </w:rPr>
        <w:t xml:space="preserve"> </w:t>
      </w:r>
      <w:r w:rsidRPr="00FA78FC">
        <w:rPr>
          <w:rFonts w:ascii="Times New Roman" w:hAnsi="Times New Roman" w:cs="Times New Roman"/>
          <w:sz w:val="18"/>
          <w:szCs w:val="18"/>
          <w:lang w:val="sr-Cyrl-RS"/>
        </w:rPr>
        <w:t xml:space="preserve">учешћа прихода и расхода локалне самоуправе у приходима и расходима опште државе у последњих ноколико година у Републици Србији као изазов је препознато и у анализама стања система финансирања локалне самоуправе у региону Западног Балкана. Видети </w:t>
      </w:r>
      <w:r w:rsidRPr="00FA78FC">
        <w:rPr>
          <w:rFonts w:ascii="Times New Roman" w:hAnsi="Times New Roman" w:cs="Times New Roman"/>
          <w:sz w:val="18"/>
          <w:szCs w:val="18"/>
          <w:lang w:val="sr-Latn-RS"/>
        </w:rPr>
        <w:t>SIGMA (2025)</w:t>
      </w:r>
      <w:r w:rsidRPr="00FA78FC">
        <w:rPr>
          <w:rFonts w:ascii="Times New Roman" w:hAnsi="Times New Roman" w:cs="Times New Roman"/>
          <w:i/>
          <w:iCs/>
          <w:sz w:val="18"/>
          <w:szCs w:val="18"/>
        </w:rPr>
        <w:t xml:space="preserve"> Implementation and challenges</w:t>
      </w:r>
      <w:r w:rsidRPr="00FA78FC">
        <w:rPr>
          <w:rFonts w:ascii="Times New Roman" w:hAnsi="Times New Roman" w:cs="Times New Roman"/>
          <w:i/>
          <w:iCs/>
          <w:sz w:val="18"/>
          <w:szCs w:val="18"/>
          <w:lang w:val="sr-Latn-RS"/>
        </w:rPr>
        <w:t xml:space="preserve"> </w:t>
      </w:r>
      <w:r w:rsidRPr="00FA78FC">
        <w:rPr>
          <w:rFonts w:ascii="Times New Roman" w:hAnsi="Times New Roman" w:cs="Times New Roman"/>
          <w:i/>
          <w:iCs/>
          <w:sz w:val="18"/>
          <w:szCs w:val="18"/>
        </w:rPr>
        <w:t>of multi-level governance</w:t>
      </w:r>
      <w:r w:rsidRPr="00FA78FC">
        <w:rPr>
          <w:rFonts w:ascii="Times New Roman" w:hAnsi="Times New Roman" w:cs="Times New Roman"/>
          <w:i/>
          <w:iCs/>
          <w:sz w:val="18"/>
          <w:szCs w:val="18"/>
          <w:lang w:val="sr-Latn-RS"/>
        </w:rPr>
        <w:t xml:space="preserve"> </w:t>
      </w:r>
      <w:r w:rsidRPr="00FA78FC">
        <w:rPr>
          <w:rFonts w:ascii="Times New Roman" w:hAnsi="Times New Roman" w:cs="Times New Roman"/>
          <w:i/>
          <w:iCs/>
          <w:sz w:val="18"/>
          <w:szCs w:val="18"/>
        </w:rPr>
        <w:t xml:space="preserve">in the Western Balkans, </w:t>
      </w:r>
      <w:r w:rsidRPr="00FA78FC">
        <w:rPr>
          <w:rFonts w:ascii="Times New Roman" w:hAnsi="Times New Roman" w:cs="Times New Roman"/>
          <w:sz w:val="18"/>
          <w:szCs w:val="18"/>
        </w:rPr>
        <w:t>p.33 https://www.sigmaweb.org/content/dam/sigma/en/publications/reports/2025/12/implementation-and-challenges-of-multi-level-governance-in-the-western-balkans_b158af1a/32891a8f-en.pdf</w:t>
      </w:r>
    </w:p>
  </w:footnote>
  <w:footnote w:id="33">
    <w:p w14:paraId="59C5BABF" w14:textId="39C16EEF" w:rsidR="00C01216" w:rsidRPr="00FA78FC" w:rsidRDefault="00C01216" w:rsidP="003C1A14">
      <w:pPr>
        <w:pStyle w:val="FootnoteText"/>
        <w:jc w:val="both"/>
        <w:rPr>
          <w:rFonts w:ascii="Times New Roman" w:hAnsi="Times New Roman" w:cs="Times New Roman"/>
          <w:sz w:val="18"/>
          <w:szCs w:val="18"/>
          <w:lang w:val="sr-Latn-RS"/>
        </w:rPr>
      </w:pPr>
      <w:r w:rsidRPr="00FA78FC">
        <w:rPr>
          <w:rStyle w:val="FootnoteReference"/>
          <w:rFonts w:ascii="Times New Roman" w:hAnsi="Times New Roman" w:cs="Times New Roman"/>
          <w:sz w:val="18"/>
          <w:szCs w:val="18"/>
          <w:lang w:val="sr-Cyrl-RS"/>
        </w:rPr>
        <w:footnoteRef/>
      </w:r>
      <w:r w:rsidRPr="00FA78FC">
        <w:rPr>
          <w:rFonts w:ascii="Times New Roman" w:hAnsi="Times New Roman" w:cs="Times New Roman"/>
          <w:sz w:val="18"/>
          <w:szCs w:val="18"/>
          <w:lang w:val="sr-Cyrl-RS"/>
        </w:rPr>
        <w:t xml:space="preserve"> </w:t>
      </w:r>
      <w:r w:rsidRPr="00FA78FC">
        <w:rPr>
          <w:rFonts w:ascii="Times New Roman" w:eastAsia="Times New Roman" w:hAnsi="Times New Roman" w:cs="Times New Roman"/>
          <w:kern w:val="36"/>
          <w:sz w:val="18"/>
          <w:szCs w:val="18"/>
          <w:lang w:val="sr-Cyrl-RS"/>
        </w:rPr>
        <w:t xml:space="preserve">NALAS (2025) </w:t>
      </w:r>
      <w:r w:rsidRPr="00FA78FC">
        <w:rPr>
          <w:rFonts w:ascii="Times New Roman" w:eastAsia="Times New Roman" w:hAnsi="Times New Roman" w:cs="Times New Roman"/>
          <w:i/>
          <w:kern w:val="36"/>
          <w:sz w:val="18"/>
          <w:szCs w:val="18"/>
          <w:lang w:val="sr-Cyrl-RS"/>
        </w:rPr>
        <w:t>Fiscal Decentralization Indicators for South-East Europe. 10</w:t>
      </w:r>
      <w:r w:rsidRPr="00FA78FC">
        <w:rPr>
          <w:rFonts w:ascii="Times New Roman" w:eastAsia="Times New Roman" w:hAnsi="Times New Roman" w:cs="Times New Roman"/>
          <w:i/>
          <w:kern w:val="36"/>
          <w:sz w:val="18"/>
          <w:szCs w:val="18"/>
          <w:vertAlign w:val="superscript"/>
          <w:lang w:val="sr-Cyrl-RS"/>
        </w:rPr>
        <w:t>th</w:t>
      </w:r>
      <w:r w:rsidRPr="00FA78FC">
        <w:rPr>
          <w:rFonts w:ascii="Times New Roman" w:eastAsia="Times New Roman" w:hAnsi="Times New Roman" w:cs="Times New Roman"/>
          <w:i/>
          <w:kern w:val="36"/>
          <w:sz w:val="18"/>
          <w:szCs w:val="18"/>
          <w:lang w:val="sr-Cyrl-RS"/>
        </w:rPr>
        <w:t xml:space="preserve"> Edition</w:t>
      </w:r>
      <w:r w:rsidRPr="00FA78FC">
        <w:rPr>
          <w:rFonts w:ascii="Times New Roman" w:eastAsia="Times New Roman" w:hAnsi="Times New Roman" w:cs="Times New Roman"/>
          <w:kern w:val="36"/>
          <w:sz w:val="18"/>
          <w:szCs w:val="18"/>
          <w:lang w:val="sr-Cyrl-RS"/>
        </w:rPr>
        <w:t>, p. 51.</w:t>
      </w:r>
      <w:r w:rsidRPr="00FA78FC">
        <w:rPr>
          <w:rFonts w:ascii="Times New Roman" w:eastAsia="Times New Roman" w:hAnsi="Times New Roman" w:cs="Times New Roman"/>
          <w:kern w:val="36"/>
          <w:sz w:val="18"/>
          <w:szCs w:val="18"/>
          <w:lang w:val="sr-Latn-RS"/>
        </w:rPr>
        <w:t xml:space="preserve"> </w:t>
      </w:r>
      <w:r w:rsidRPr="00FA78FC">
        <w:rPr>
          <w:rFonts w:ascii="Times New Roman" w:hAnsi="Times New Roman" w:cs="Times New Roman"/>
          <w:sz w:val="18"/>
          <w:szCs w:val="18"/>
          <w:lang w:val="sr-Cyrl-RS"/>
        </w:rPr>
        <w:t>https://core.nalas-observatory.eu/files/publications/pdf/1749673773.pdf</w:t>
      </w:r>
    </w:p>
  </w:footnote>
  <w:footnote w:id="34">
    <w:p w14:paraId="5E291C2E" w14:textId="64C4D6F4" w:rsidR="00C01216" w:rsidRPr="0013418E" w:rsidRDefault="00C01216" w:rsidP="00024085">
      <w:pPr>
        <w:pStyle w:val="Heading1"/>
        <w:spacing w:before="0" w:after="0" w:line="240" w:lineRule="auto"/>
        <w:jc w:val="both"/>
        <w:rPr>
          <w:rFonts w:ascii="Arial" w:hAnsi="Arial"/>
          <w:sz w:val="18"/>
          <w:szCs w:val="18"/>
        </w:rPr>
      </w:pPr>
      <w:r w:rsidRPr="00FA78FC">
        <w:rPr>
          <w:rStyle w:val="FootnoteReference"/>
          <w:rFonts w:ascii="Times New Roman" w:hAnsi="Times New Roman" w:cs="Times New Roman"/>
          <w:color w:val="auto"/>
          <w:sz w:val="18"/>
          <w:szCs w:val="18"/>
          <w:lang w:val="sr-Cyrl-RS"/>
        </w:rPr>
        <w:footnoteRef/>
      </w:r>
      <w:r w:rsidRPr="00FA78FC">
        <w:rPr>
          <w:rFonts w:ascii="Times New Roman" w:hAnsi="Times New Roman" w:cs="Times New Roman"/>
          <w:sz w:val="18"/>
          <w:szCs w:val="18"/>
        </w:rPr>
        <w:t xml:space="preserve"> </w:t>
      </w:r>
      <w:r w:rsidRPr="00FA78FC">
        <w:rPr>
          <w:rFonts w:ascii="Times New Roman" w:hAnsi="Times New Roman" w:cs="Times New Roman"/>
          <w:color w:val="auto"/>
          <w:sz w:val="18"/>
          <w:szCs w:val="18"/>
        </w:rPr>
        <w:t xml:space="preserve">NALAS (2025) </w:t>
      </w:r>
      <w:r w:rsidRPr="00FA78FC">
        <w:rPr>
          <w:rFonts w:ascii="Times New Roman" w:hAnsi="Times New Roman" w:cs="Times New Roman"/>
          <w:i/>
          <w:iCs/>
          <w:color w:val="auto"/>
          <w:sz w:val="18"/>
          <w:szCs w:val="18"/>
        </w:rPr>
        <w:t>Fiscal Decentralization Indicators for South-East Europe. 10</w:t>
      </w:r>
      <w:r w:rsidRPr="00FA78FC">
        <w:rPr>
          <w:rFonts w:ascii="Times New Roman" w:hAnsi="Times New Roman" w:cs="Times New Roman"/>
          <w:i/>
          <w:iCs/>
          <w:color w:val="auto"/>
          <w:sz w:val="18"/>
          <w:szCs w:val="18"/>
          <w:vertAlign w:val="superscript"/>
        </w:rPr>
        <w:t>th</w:t>
      </w:r>
      <w:r w:rsidRPr="00FA78FC">
        <w:rPr>
          <w:rFonts w:ascii="Times New Roman" w:hAnsi="Times New Roman" w:cs="Times New Roman"/>
          <w:i/>
          <w:iCs/>
          <w:color w:val="auto"/>
          <w:sz w:val="18"/>
          <w:szCs w:val="18"/>
        </w:rPr>
        <w:t xml:space="preserve"> Edition</w:t>
      </w:r>
      <w:r w:rsidRPr="00FA78FC">
        <w:rPr>
          <w:rFonts w:ascii="Times New Roman" w:hAnsi="Times New Roman" w:cs="Times New Roman"/>
          <w:color w:val="auto"/>
          <w:sz w:val="18"/>
          <w:szCs w:val="18"/>
        </w:rPr>
        <w:t>, p. 56.</w:t>
      </w:r>
      <w:r w:rsidRPr="00FA78FC">
        <w:rPr>
          <w:rFonts w:ascii="Times New Roman" w:hAnsi="Times New Roman" w:cs="Times New Roman"/>
          <w:sz w:val="18"/>
          <w:szCs w:val="18"/>
        </w:rPr>
        <w:t xml:space="preserve"> </w:t>
      </w:r>
      <w:r w:rsidRPr="00FA78FC">
        <w:rPr>
          <w:rFonts w:ascii="Times New Roman" w:hAnsi="Times New Roman" w:cs="Times New Roman"/>
          <w:sz w:val="18"/>
          <w:szCs w:val="18"/>
          <w:lang w:val="sr-Cyrl-RS"/>
        </w:rPr>
        <w:t>https://core.nalas-observatory.eu/files/publications/pdf/1749673773.pdf</w:t>
      </w:r>
    </w:p>
  </w:footnote>
  <w:footnote w:id="35">
    <w:p w14:paraId="573B1B3C" w14:textId="2B07AB2E" w:rsidR="00C01216" w:rsidRPr="0078271E" w:rsidRDefault="00C01216" w:rsidP="00186836">
      <w:pPr>
        <w:pStyle w:val="FootnoteText"/>
        <w:jc w:val="both"/>
        <w:rPr>
          <w:rFonts w:ascii="Times New Roman" w:hAnsi="Times New Roman" w:cs="Times New Roman"/>
          <w:sz w:val="18"/>
          <w:szCs w:val="18"/>
          <w:lang w:val="sr-Latn-RS"/>
        </w:rPr>
      </w:pPr>
      <w:r w:rsidRPr="0078271E">
        <w:rPr>
          <w:rStyle w:val="FootnoteReference"/>
          <w:rFonts w:ascii="Times New Roman" w:hAnsi="Times New Roman" w:cs="Times New Roman"/>
        </w:rPr>
        <w:footnoteRef/>
      </w:r>
      <w:r w:rsidRPr="0078271E">
        <w:rPr>
          <w:rFonts w:ascii="Times New Roman" w:hAnsi="Times New Roman" w:cs="Times New Roman"/>
        </w:rPr>
        <w:t xml:space="preserve"> </w:t>
      </w:r>
      <w:r w:rsidRPr="0078271E">
        <w:rPr>
          <w:rFonts w:ascii="Times New Roman" w:hAnsi="Times New Roman" w:cs="Times New Roman"/>
          <w:sz w:val="18"/>
          <w:szCs w:val="18"/>
          <w:lang w:val="sr-Cyrl-RS"/>
        </w:rPr>
        <w:t>Нпр. у складу са подацима из:</w:t>
      </w:r>
      <w:r w:rsidRPr="0078271E">
        <w:rPr>
          <w:rFonts w:ascii="Times New Roman" w:hAnsi="Times New Roman" w:cs="Times New Roman"/>
          <w:lang w:val="sr-Cyrl-RS"/>
        </w:rPr>
        <w:t xml:space="preserve"> </w:t>
      </w:r>
      <w:r w:rsidRPr="0078271E">
        <w:rPr>
          <w:rFonts w:ascii="Times New Roman" w:eastAsia="Times New Roman" w:hAnsi="Times New Roman" w:cs="Times New Roman"/>
          <w:kern w:val="36"/>
          <w:sz w:val="18"/>
          <w:szCs w:val="18"/>
          <w:lang w:val="sr-Cyrl-RS"/>
        </w:rPr>
        <w:t xml:space="preserve">NALAS (2025) </w:t>
      </w:r>
      <w:r w:rsidRPr="0078271E">
        <w:rPr>
          <w:rFonts w:ascii="Times New Roman" w:eastAsia="Times New Roman" w:hAnsi="Times New Roman" w:cs="Times New Roman"/>
          <w:i/>
          <w:kern w:val="36"/>
          <w:sz w:val="18"/>
          <w:szCs w:val="18"/>
          <w:lang w:val="sr-Cyrl-RS"/>
        </w:rPr>
        <w:t>Fiscal Decentralization Indicators for South-East Europe. 10</w:t>
      </w:r>
      <w:r w:rsidRPr="0078271E">
        <w:rPr>
          <w:rFonts w:ascii="Times New Roman" w:eastAsia="Times New Roman" w:hAnsi="Times New Roman" w:cs="Times New Roman"/>
          <w:i/>
          <w:kern w:val="36"/>
          <w:sz w:val="18"/>
          <w:szCs w:val="18"/>
          <w:vertAlign w:val="superscript"/>
          <w:lang w:val="sr-Cyrl-RS"/>
        </w:rPr>
        <w:t>th</w:t>
      </w:r>
      <w:r w:rsidRPr="0078271E">
        <w:rPr>
          <w:rFonts w:ascii="Times New Roman" w:eastAsia="Times New Roman" w:hAnsi="Times New Roman" w:cs="Times New Roman"/>
          <w:i/>
          <w:kern w:val="36"/>
          <w:sz w:val="18"/>
          <w:szCs w:val="18"/>
          <w:lang w:val="sr-Cyrl-RS"/>
        </w:rPr>
        <w:t xml:space="preserve"> Edition</w:t>
      </w:r>
    </w:p>
    <w:p w14:paraId="6B7D6211" w14:textId="1190BAA5" w:rsidR="00C01216" w:rsidRPr="0078271E" w:rsidRDefault="00C01216" w:rsidP="00186836">
      <w:pPr>
        <w:pStyle w:val="FootnoteText"/>
        <w:rPr>
          <w:rFonts w:ascii="Times New Roman" w:hAnsi="Times New Roman" w:cs="Times New Roman"/>
          <w:lang w:val="sr-Cyrl-RS"/>
        </w:rPr>
      </w:pPr>
      <w:r w:rsidRPr="0078271E">
        <w:rPr>
          <w:rFonts w:ascii="Times New Roman" w:hAnsi="Times New Roman" w:cs="Times New Roman"/>
          <w:sz w:val="18"/>
          <w:szCs w:val="18"/>
          <w:lang w:val="sr-Cyrl-RS"/>
        </w:rPr>
        <w:t>https://core.nalas-observatory.eu/files/publications/pdf/1749673773.pdf</w:t>
      </w:r>
    </w:p>
  </w:footnote>
  <w:footnote w:id="36">
    <w:p w14:paraId="793D604D" w14:textId="29B82500" w:rsidR="00C01216" w:rsidRPr="00D97802" w:rsidRDefault="00C01216" w:rsidP="00D97802">
      <w:pPr>
        <w:jc w:val="both"/>
        <w:rPr>
          <w:rFonts w:ascii="Arial" w:hAnsi="Arial" w:cs="Arial"/>
          <w:sz w:val="18"/>
          <w:szCs w:val="18"/>
          <w:lang w:val="sr-Cyrl-RS"/>
        </w:rPr>
      </w:pPr>
      <w:r w:rsidRPr="0078271E">
        <w:rPr>
          <w:rStyle w:val="FootnoteReference"/>
          <w:rFonts w:ascii="Times New Roman" w:hAnsi="Times New Roman" w:cs="Times New Roman"/>
          <w:sz w:val="20"/>
          <w:szCs w:val="20"/>
        </w:rPr>
        <w:footnoteRef/>
      </w:r>
      <w:r w:rsidRPr="0078271E">
        <w:rPr>
          <w:rFonts w:ascii="Times New Roman" w:hAnsi="Times New Roman" w:cs="Times New Roman"/>
          <w:sz w:val="20"/>
          <w:szCs w:val="20"/>
        </w:rPr>
        <w:t xml:space="preserve"> </w:t>
      </w:r>
      <w:r w:rsidRPr="0078271E">
        <w:rPr>
          <w:rFonts w:ascii="Times New Roman" w:hAnsi="Times New Roman" w:cs="Times New Roman"/>
          <w:sz w:val="18"/>
          <w:szCs w:val="18"/>
        </w:rPr>
        <w:t xml:space="preserve">SIGMA (2025) </w:t>
      </w:r>
      <w:r w:rsidRPr="0078271E">
        <w:rPr>
          <w:rFonts w:ascii="Times New Roman" w:hAnsi="Times New Roman" w:cs="Times New Roman"/>
          <w:i/>
          <w:sz w:val="18"/>
          <w:szCs w:val="18"/>
        </w:rPr>
        <w:t>Implementation and challenges</w:t>
      </w:r>
      <w:r w:rsidRPr="0078271E">
        <w:rPr>
          <w:rFonts w:ascii="Times New Roman" w:hAnsi="Times New Roman" w:cs="Times New Roman"/>
          <w:i/>
          <w:sz w:val="18"/>
          <w:szCs w:val="18"/>
          <w:lang w:val="sr-Latn-RS"/>
        </w:rPr>
        <w:t xml:space="preserve"> </w:t>
      </w:r>
      <w:r w:rsidRPr="0078271E">
        <w:rPr>
          <w:rFonts w:ascii="Times New Roman" w:hAnsi="Times New Roman" w:cs="Times New Roman"/>
          <w:i/>
          <w:sz w:val="18"/>
          <w:szCs w:val="18"/>
        </w:rPr>
        <w:t>of multi-level governance</w:t>
      </w:r>
      <w:r w:rsidRPr="0078271E">
        <w:rPr>
          <w:rFonts w:ascii="Times New Roman" w:hAnsi="Times New Roman" w:cs="Times New Roman"/>
          <w:i/>
          <w:sz w:val="18"/>
          <w:szCs w:val="18"/>
          <w:lang w:val="sr-Latn-RS"/>
        </w:rPr>
        <w:t xml:space="preserve"> </w:t>
      </w:r>
      <w:r w:rsidRPr="0078271E">
        <w:rPr>
          <w:rFonts w:ascii="Times New Roman" w:hAnsi="Times New Roman" w:cs="Times New Roman"/>
          <w:i/>
          <w:sz w:val="18"/>
          <w:szCs w:val="18"/>
        </w:rPr>
        <w:t>in the Western Balkans</w:t>
      </w:r>
      <w:r w:rsidRPr="0078271E">
        <w:rPr>
          <w:rFonts w:ascii="Times New Roman" w:hAnsi="Times New Roman" w:cs="Times New Roman"/>
          <w:i/>
          <w:iCs/>
          <w:sz w:val="18"/>
          <w:szCs w:val="18"/>
        </w:rPr>
        <w:t xml:space="preserve">, </w:t>
      </w:r>
      <w:r w:rsidRPr="0078271E">
        <w:rPr>
          <w:rFonts w:ascii="Times New Roman" w:hAnsi="Times New Roman" w:cs="Times New Roman"/>
          <w:sz w:val="18"/>
          <w:szCs w:val="18"/>
        </w:rPr>
        <w:t>p.33 and 44</w:t>
      </w:r>
      <w:r w:rsidRPr="0078271E">
        <w:rPr>
          <w:rFonts w:ascii="Times New Roman" w:hAnsi="Times New Roman" w:cs="Times New Roman"/>
          <w:sz w:val="18"/>
          <w:szCs w:val="18"/>
          <w:lang w:val="sr-Cyrl-RS"/>
        </w:rPr>
        <w:t xml:space="preserve"> </w:t>
      </w:r>
      <w:r w:rsidRPr="0078271E">
        <w:rPr>
          <w:rFonts w:ascii="Times New Roman" w:hAnsi="Times New Roman" w:cs="Times New Roman"/>
          <w:sz w:val="18"/>
          <w:szCs w:val="18"/>
        </w:rPr>
        <w:t>https://www.sigmaweb.org/content/dam/sigma/en/publications/reports/2025/12/implementation-and-challenges-of-multi-level-governance-in-the-western-balkans_b158af1a/32891a8f-en.pdf</w:t>
      </w:r>
    </w:p>
  </w:footnote>
  <w:footnote w:id="37">
    <w:p w14:paraId="208D79E8" w14:textId="2414325E" w:rsidR="00C01216" w:rsidRPr="00AA0E00" w:rsidRDefault="00C01216" w:rsidP="0061327E">
      <w:pPr>
        <w:rPr>
          <w:rFonts w:ascii="Times New Roman" w:eastAsia="Times New Roman" w:hAnsi="Times New Roman" w:cs="Times New Roman"/>
          <w:bCs/>
          <w:iCs/>
          <w:sz w:val="18"/>
          <w:szCs w:val="18"/>
          <w:lang w:val="sr-Cyrl-RS"/>
        </w:rPr>
      </w:pPr>
      <w:r w:rsidRPr="00AA0E00">
        <w:rPr>
          <w:rStyle w:val="FootnoteReference"/>
          <w:rFonts w:ascii="Times New Roman" w:hAnsi="Times New Roman" w:cs="Times New Roman"/>
          <w:sz w:val="18"/>
          <w:szCs w:val="18"/>
        </w:rPr>
        <w:footnoteRef/>
      </w:r>
      <w:r w:rsidRPr="00AA0E00">
        <w:rPr>
          <w:rFonts w:ascii="Times New Roman" w:hAnsi="Times New Roman" w:cs="Times New Roman"/>
          <w:sz w:val="18"/>
          <w:szCs w:val="18"/>
          <w:lang w:val="sr-Cyrl-RS"/>
        </w:rPr>
        <w:t xml:space="preserve"> </w:t>
      </w:r>
      <w:r w:rsidRPr="00AA0E00">
        <w:rPr>
          <w:rFonts w:ascii="Times New Roman" w:eastAsia="Arial" w:hAnsi="Times New Roman" w:cs="Times New Roman"/>
          <w:sz w:val="18"/>
          <w:szCs w:val="18"/>
          <w:lang w:val="sr-Cyrl-RS"/>
        </w:rPr>
        <w:t>„</w:t>
      </w:r>
      <w:r w:rsidRPr="00AA0E00">
        <w:rPr>
          <w:rFonts w:ascii="Times New Roman" w:eastAsia="Times New Roman" w:hAnsi="Times New Roman" w:cs="Times New Roman"/>
          <w:bCs/>
          <w:iCs/>
          <w:sz w:val="18"/>
          <w:szCs w:val="18"/>
          <w:lang w:val="sr-Cyrl-RS"/>
        </w:rPr>
        <w:t>Сл. гласник РС</w:t>
      </w:r>
      <w:r w:rsidRPr="00AA0E00">
        <w:rPr>
          <w:rFonts w:ascii="Times New Roman" w:eastAsia="Arial" w:hAnsi="Times New Roman" w:cs="Times New Roman"/>
          <w:sz w:val="18"/>
          <w:szCs w:val="18"/>
          <w:lang w:val="sr-Cyrl-RS"/>
        </w:rPr>
        <w:t>”</w:t>
      </w:r>
      <w:r w:rsidRPr="00AA0E00">
        <w:rPr>
          <w:rFonts w:ascii="Times New Roman" w:eastAsia="Times New Roman" w:hAnsi="Times New Roman" w:cs="Times New Roman"/>
          <w:bCs/>
          <w:iCs/>
          <w:sz w:val="18"/>
          <w:szCs w:val="18"/>
          <w:lang w:val="sr-Cyrl-RS"/>
        </w:rPr>
        <w:t>, бр. 79/2005, 101/2007, 95/2010, 99/2014, 47/2018 и 30/2018 - др. закон</w:t>
      </w:r>
    </w:p>
    <w:p w14:paraId="6AB842C8" w14:textId="67A465C5" w:rsidR="00C01216" w:rsidRPr="00AA0E00" w:rsidRDefault="00C01216">
      <w:pPr>
        <w:pStyle w:val="FootnoteText"/>
        <w:rPr>
          <w:rFonts w:ascii="Times New Roman" w:hAnsi="Times New Roman" w:cs="Times New Roman"/>
          <w:lang w:val="sr-Cyrl-RS"/>
        </w:rPr>
      </w:pPr>
    </w:p>
  </w:footnote>
  <w:footnote w:id="38">
    <w:p w14:paraId="6B727B29" w14:textId="77777777" w:rsidR="00C01216" w:rsidRPr="001F3DC4" w:rsidRDefault="00C01216" w:rsidP="007A2D9B">
      <w:pPr>
        <w:autoSpaceDE w:val="0"/>
        <w:autoSpaceDN w:val="0"/>
        <w:adjustRightInd w:val="0"/>
        <w:spacing w:after="0" w:line="240" w:lineRule="auto"/>
        <w:jc w:val="both"/>
        <w:rPr>
          <w:rFonts w:ascii="Arial" w:eastAsia="CIDFont+F1" w:hAnsi="Arial" w:cs="Arial"/>
          <w:sz w:val="18"/>
          <w:szCs w:val="18"/>
          <w:lang w:val="sr-Cyrl-RS"/>
        </w:rPr>
      </w:pPr>
      <w:r w:rsidRPr="00AA0E00">
        <w:rPr>
          <w:rStyle w:val="FootnoteReference"/>
          <w:rFonts w:ascii="Times New Roman" w:hAnsi="Times New Roman" w:cs="Times New Roman"/>
          <w:sz w:val="18"/>
          <w:szCs w:val="18"/>
          <w:lang w:val="sr-Cyrl-RS"/>
        </w:rPr>
        <w:footnoteRef/>
      </w:r>
      <w:r w:rsidRPr="00AA0E00">
        <w:rPr>
          <w:rFonts w:ascii="Times New Roman" w:hAnsi="Times New Roman" w:cs="Times New Roman"/>
          <w:sz w:val="18"/>
          <w:szCs w:val="18"/>
          <w:lang w:val="sr-Cyrl-RS"/>
        </w:rPr>
        <w:t xml:space="preserve"> </w:t>
      </w:r>
      <w:r w:rsidRPr="00AA0E00">
        <w:rPr>
          <w:rFonts w:ascii="Times New Roman" w:hAnsi="Times New Roman" w:cs="Times New Roman"/>
          <w:i/>
          <w:color w:val="000000" w:themeColor="text1"/>
          <w:sz w:val="18"/>
          <w:szCs w:val="18"/>
          <w:lang w:val="sr-Cyrl-RS"/>
        </w:rPr>
        <w:t>„Локална самоуправа за 21. век“</w:t>
      </w:r>
      <w:r w:rsidRPr="00AA0E00">
        <w:rPr>
          <w:rFonts w:ascii="Times New Roman" w:eastAsia="CIDFont+F1" w:hAnsi="Times New Roman" w:cs="Times New Roman"/>
          <w:sz w:val="18"/>
          <w:szCs w:val="18"/>
          <w:lang w:val="sr-Cyrl-RS"/>
        </w:rPr>
        <w:t>, проф. др Добросав Миловановић:</w:t>
      </w:r>
      <w:r w:rsidRPr="00AA0E00">
        <w:rPr>
          <w:rFonts w:ascii="Times New Roman" w:hAnsi="Times New Roman" w:cs="Times New Roman"/>
          <w:sz w:val="18"/>
          <w:szCs w:val="18"/>
          <w:lang w:val="sr-Cyrl-RS"/>
        </w:rPr>
        <w:t xml:space="preserve"> </w:t>
      </w:r>
      <w:r w:rsidRPr="00AA0E00">
        <w:rPr>
          <w:rFonts w:ascii="Times New Roman" w:hAnsi="Times New Roman" w:cs="Times New Roman"/>
          <w:i/>
          <w:sz w:val="18"/>
          <w:szCs w:val="18"/>
          <w:lang w:val="sr-Cyrl-RS"/>
        </w:rPr>
        <w:t>Еx ante анализа Положаја и остваривања постојећих функција управних округа и обављања послова подручних јединица ресорних министарстава у њима и потенцијала за проширење улоге управног округа</w:t>
      </w:r>
      <w:r w:rsidRPr="00AA0E00">
        <w:rPr>
          <w:rFonts w:ascii="Times New Roman" w:hAnsi="Times New Roman" w:cs="Times New Roman"/>
          <w:sz w:val="18"/>
          <w:szCs w:val="18"/>
          <w:lang w:val="sr-Cyrl-RS"/>
        </w:rPr>
        <w:t>, октобар 2022.</w:t>
      </w:r>
    </w:p>
  </w:footnote>
  <w:footnote w:id="39">
    <w:p w14:paraId="21EBD2D3" w14:textId="48D56D6C" w:rsidR="00C01216" w:rsidRPr="0078271E" w:rsidRDefault="00C01216" w:rsidP="0051417E">
      <w:pPr>
        <w:pStyle w:val="FootnoteText"/>
        <w:jc w:val="both"/>
        <w:rPr>
          <w:rFonts w:ascii="Times New Roman" w:hAnsi="Times New Roman" w:cs="Times New Roman"/>
          <w:i/>
          <w:color w:val="EE0000"/>
          <w:sz w:val="18"/>
          <w:szCs w:val="18"/>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Eтички кодекс функционера локалне самоуправе је 2019. године једногласно усвојила 47. скупштина СКГО, која је тиме препоручила на усвајање скупштинама свих градова и општина. </w:t>
      </w:r>
    </w:p>
  </w:footnote>
  <w:footnote w:id="40">
    <w:p w14:paraId="6F03B71A" w14:textId="77777777" w:rsidR="00C01216" w:rsidRPr="0078271E" w:rsidRDefault="00C01216" w:rsidP="003C1A14">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https://www.lokalnefinansije.co.rs/oprojektu.html</w:t>
      </w:r>
    </w:p>
  </w:footnote>
  <w:footnote w:id="41">
    <w:p w14:paraId="143AE8F3" w14:textId="202FDB9B" w:rsidR="00C01216" w:rsidRPr="0078271E" w:rsidRDefault="00C01216" w:rsidP="00806D5A">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Пројекат је, у периоду од 2021. о 2025. године реализовао </w:t>
      </w:r>
      <w:r w:rsidRPr="0078271E">
        <w:rPr>
          <w:rFonts w:ascii="Times New Roman" w:hAnsi="Times New Roman" w:cs="Times New Roman"/>
          <w:sz w:val="18"/>
          <w:szCs w:val="18"/>
        </w:rPr>
        <w:t>Helvetas</w:t>
      </w:r>
      <w:r w:rsidRPr="0078271E">
        <w:rPr>
          <w:rFonts w:ascii="Times New Roman" w:hAnsi="Times New Roman" w:cs="Times New Roman"/>
          <w:sz w:val="18"/>
          <w:szCs w:val="18"/>
          <w:lang w:val="sr-Cyrl-RS"/>
        </w:rPr>
        <w:t xml:space="preserve"> </w:t>
      </w:r>
      <w:r w:rsidRPr="0078271E">
        <w:rPr>
          <w:rFonts w:ascii="Times New Roman" w:hAnsi="Times New Roman" w:cs="Times New Roman"/>
          <w:sz w:val="18"/>
          <w:szCs w:val="18"/>
        </w:rPr>
        <w:t>Int</w:t>
      </w:r>
      <w:r w:rsidRPr="0078271E">
        <w:rPr>
          <w:rFonts w:ascii="Times New Roman" w:hAnsi="Times New Roman" w:cs="Times New Roman"/>
          <w:sz w:val="18"/>
          <w:szCs w:val="18"/>
          <w:lang w:val="sr-Cyrl-RS"/>
        </w:rPr>
        <w:t xml:space="preserve">. уз подршку Владе Швајцарске. Више о пројекту - </w:t>
      </w:r>
      <w:hyperlink r:id="rId2" w:history="1">
        <w:r w:rsidRPr="0078271E">
          <w:rPr>
            <w:rStyle w:val="Hyperlink"/>
            <w:rFonts w:ascii="Times New Roman" w:hAnsi="Times New Roman" w:cs="Times New Roman"/>
            <w:sz w:val="18"/>
            <w:szCs w:val="18"/>
            <w:lang w:val="sr-Cyrl-RS"/>
          </w:rPr>
          <w:t>https://med.org.rs/</w:t>
        </w:r>
      </w:hyperlink>
      <w:r w:rsidRPr="0078271E">
        <w:rPr>
          <w:rFonts w:ascii="Times New Roman" w:hAnsi="Times New Roman" w:cs="Times New Roman"/>
          <w:sz w:val="18"/>
          <w:szCs w:val="18"/>
          <w:lang w:val="sr-Cyrl-RS"/>
        </w:rPr>
        <w:t xml:space="preserve"> </w:t>
      </w:r>
    </w:p>
  </w:footnote>
  <w:footnote w:id="42">
    <w:p w14:paraId="6FC79249" w14:textId="15243952" w:rsidR="00C01216" w:rsidRPr="00C4631E" w:rsidRDefault="00C01216">
      <w:pPr>
        <w:pStyle w:val="FootnoteText"/>
        <w:rPr>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w:t>
      </w:r>
      <w:hyperlink r:id="rId3" w:history="1">
        <w:r w:rsidRPr="0078271E">
          <w:rPr>
            <w:rStyle w:val="Hyperlink"/>
            <w:rFonts w:ascii="Times New Roman" w:hAnsi="Times New Roman" w:cs="Times New Roman"/>
            <w:sz w:val="18"/>
            <w:szCs w:val="18"/>
          </w:rPr>
          <w:t>https</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www</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transparentnost</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org</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rs</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sr</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istraivanja</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o</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korupciji</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rPr>
          <w:t>lipa</w:t>
        </w:r>
      </w:hyperlink>
      <w:r>
        <w:rPr>
          <w:lang w:val="sr-Cyrl-RS"/>
        </w:rPr>
        <w:t xml:space="preserve"> </w:t>
      </w:r>
    </w:p>
  </w:footnote>
  <w:footnote w:id="43">
    <w:p w14:paraId="1541860F" w14:textId="77777777" w:rsidR="00C01216" w:rsidRPr="0078271E" w:rsidRDefault="00C01216" w:rsidP="003A4565">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У току 2024. године припремљена је радна верзија Нацрта закона о изменама и допунама Закона о локалној самоуправи.</w:t>
      </w:r>
    </w:p>
  </w:footnote>
  <w:footnote w:id="44">
    <w:p w14:paraId="04250B7B" w14:textId="4EA99C52" w:rsidR="00C01216" w:rsidRPr="0078271E" w:rsidRDefault="00C01216" w:rsidP="00D15825">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Cyrl-RS"/>
        </w:rPr>
        <w:t xml:space="preserve"> </w:t>
      </w:r>
      <w:r w:rsidRPr="0078271E">
        <w:rPr>
          <w:rFonts w:ascii="Times New Roman" w:hAnsi="Times New Roman" w:cs="Times New Roman"/>
          <w:sz w:val="18"/>
          <w:szCs w:val="18"/>
          <w:lang w:val="sr-Cyrl-RS"/>
        </w:rPr>
        <w:t>У 2025. години удео капиталних издатака у укупним издацима ЛС нижи је од очекиваног јер су текући расходи за плате, социјалне услуге и комунално одржавање имали приоритет и ограничили простор за инвестициона улагања, док су истовремено бројни планирани пројекти одложени или реализовани у мањем обиму услед административних процедура, недовољне припремљености пројектне документације и ограниченог приступа изворима финансирања.</w:t>
      </w:r>
    </w:p>
  </w:footnote>
  <w:footnote w:id="45">
    <w:p w14:paraId="21B2461A" w14:textId="2B87B0C5" w:rsidR="00C01216" w:rsidRPr="0078271E" w:rsidRDefault="00C01216" w:rsidP="00814E80">
      <w:pPr>
        <w:spacing w:after="0"/>
        <w:rPr>
          <w:rFonts w:ascii="Times New Roman" w:eastAsia="Times New Roman" w:hAnsi="Times New Roman" w:cs="Times New Roman"/>
          <w:bCs/>
          <w:iCs/>
          <w:sz w:val="18"/>
          <w:szCs w:val="18"/>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lang w:val="sr-Cyrl-RS"/>
        </w:rPr>
        <w:t xml:space="preserve"> </w:t>
      </w:r>
      <w:r w:rsidRPr="0078271E">
        <w:rPr>
          <w:rFonts w:ascii="Times New Roman" w:eastAsia="Arial" w:hAnsi="Times New Roman" w:cs="Times New Roman"/>
          <w:sz w:val="18"/>
          <w:szCs w:val="18"/>
          <w:lang w:val="sr-Cyrl-RS"/>
        </w:rPr>
        <w:t>„</w:t>
      </w:r>
      <w:r w:rsidRPr="0078271E">
        <w:rPr>
          <w:rFonts w:ascii="Times New Roman" w:hAnsi="Times New Roman" w:cs="Times New Roman"/>
          <w:iCs/>
          <w:sz w:val="18"/>
          <w:szCs w:val="18"/>
          <w:lang w:val="sr-Cyrl-RS"/>
        </w:rPr>
        <w:t>Сл. гласник РС</w:t>
      </w:r>
      <w:r w:rsidRPr="0078271E">
        <w:rPr>
          <w:rFonts w:ascii="Times New Roman" w:eastAsia="Arial" w:hAnsi="Times New Roman" w:cs="Times New Roman"/>
          <w:sz w:val="18"/>
          <w:szCs w:val="18"/>
          <w:lang w:val="sr-Cyrl-RS"/>
        </w:rPr>
        <w:t>”</w:t>
      </w:r>
      <w:r w:rsidRPr="0078271E">
        <w:rPr>
          <w:rFonts w:ascii="Times New Roman" w:hAnsi="Times New Roman" w:cs="Times New Roman"/>
          <w:iCs/>
          <w:sz w:val="18"/>
          <w:szCs w:val="18"/>
          <w:lang w:val="sr-Cyrl-RS"/>
        </w:rPr>
        <w:t>, бр. 30/2018</w:t>
      </w:r>
    </w:p>
  </w:footnote>
  <w:footnote w:id="46">
    <w:p w14:paraId="7571DE47" w14:textId="4FA0A3B4" w:rsidR="00C01216" w:rsidRPr="00232B8B" w:rsidRDefault="00C01216" w:rsidP="00814E80">
      <w:pPr>
        <w:pStyle w:val="FootnoteText"/>
        <w:rPr>
          <w:rFonts w:ascii="Arial" w:hAnsi="Arial" w:cs="Arial"/>
          <w:sz w:val="18"/>
          <w:szCs w:val="18"/>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w:t>
      </w:r>
      <w:r w:rsidRPr="0078271E">
        <w:rPr>
          <w:rFonts w:ascii="Times New Roman" w:eastAsia="Calibri" w:hAnsi="Times New Roman" w:cs="Times New Roman"/>
          <w:sz w:val="18"/>
          <w:szCs w:val="18"/>
          <w:lang w:val="sr-Cyrl-RS"/>
        </w:rPr>
        <w:t xml:space="preserve">Након подршке за преко 20 ЈЛС реализоване у претходним годинама из средстава шведске и швајцарске развојне сарадње, подршка за још 21 ЈЛС била је омогућена је у оквиру Програма EU Exchange 6. </w:t>
      </w:r>
    </w:p>
  </w:footnote>
  <w:footnote w:id="47">
    <w:p w14:paraId="5DFDD0BF" w14:textId="0D09BB26" w:rsidR="00C01216" w:rsidRPr="0078271E" w:rsidRDefault="00C01216" w:rsidP="007522F5">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w:t>
      </w:r>
      <w:hyperlink r:id="rId4" w:history="1">
        <w:r w:rsidRPr="0078271E">
          <w:rPr>
            <w:rStyle w:val="Hyperlink"/>
            <w:rFonts w:ascii="Times New Roman" w:hAnsi="Times New Roman" w:cs="Times New Roman"/>
            <w:sz w:val="18"/>
            <w:szCs w:val="18"/>
            <w:lang w:val="sr-Cyrl-RS"/>
          </w:rPr>
          <w:t>https://www.mfin.gov.rs/o-ministarstvu/konsolidovani-godinji-izvetaj</w:t>
        </w:r>
      </w:hyperlink>
    </w:p>
  </w:footnote>
  <w:footnote w:id="48">
    <w:p w14:paraId="6D3E07CD" w14:textId="77777777" w:rsidR="00C01216" w:rsidRPr="0078271E" w:rsidRDefault="00C01216" w:rsidP="007522F5">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w:t>
      </w:r>
      <w:r w:rsidRPr="0078271E">
        <w:rPr>
          <w:rFonts w:ascii="Times New Roman" w:eastAsia="Calibri" w:hAnsi="Times New Roman" w:cs="Times New Roman"/>
          <w:sz w:val="18"/>
          <w:szCs w:val="18"/>
          <w:lang w:val="sr-Cyrl-RS"/>
        </w:rPr>
        <w:t>5 за ФУК, 6 за ИР, једна ЛС је добила подршку за обе области</w:t>
      </w:r>
    </w:p>
  </w:footnote>
  <w:footnote w:id="49">
    <w:p w14:paraId="7FBE2A32" w14:textId="77777777" w:rsidR="00C01216" w:rsidRPr="0078271E" w:rsidRDefault="00C01216" w:rsidP="007522F5">
      <w:pPr>
        <w:pStyle w:val="FootnoteText"/>
        <w:jc w:val="both"/>
        <w:rPr>
          <w:rFonts w:ascii="Times New Roman" w:hAnsi="Times New Roman" w:cs="Times New Roman"/>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https://www.oecd.org/en/publications/public-administration-in-serbia-2024_02001fe4-en.html</w:t>
      </w:r>
    </w:p>
  </w:footnote>
  <w:footnote w:id="50">
    <w:p w14:paraId="2E5DDE82" w14:textId="113D5281" w:rsidR="00C01216" w:rsidRPr="00232B8B" w:rsidRDefault="00C01216" w:rsidP="00232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kern w:val="0"/>
          <w:sz w:val="18"/>
          <w:szCs w:val="18"/>
          <w:lang w:val="sr-Latn-RS"/>
          <w14:ligatures w14:val="none"/>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Вредност овог показатеља  показује да ли локалне власти имају ресурсе и адекватну фискалну аутономију за вршење својих послова, са финансијским надзором за подстицање одговорног финансијског управљања, као и законски оквир који обезбеђује фискалну аутономију локалних самоуправа са разноврсним спектром ресурса. </w:t>
      </w:r>
      <w:r w:rsidRPr="0078271E">
        <w:rPr>
          <w:rFonts w:ascii="Times New Roman" w:eastAsia="Times New Roman" w:hAnsi="Times New Roman" w:cs="Times New Roman"/>
          <w:kern w:val="0"/>
          <w:sz w:val="18"/>
          <w:szCs w:val="18"/>
          <w:lang w:val="sr-Latn-RS"/>
          <w14:ligatures w14:val="none"/>
        </w:rPr>
        <w:t>Индикатор процењује фискалну аутономију, разноликост прихода и финансијску одрживост испитивањем шест поддимензија</w:t>
      </w:r>
      <w:r w:rsidRPr="0078271E">
        <w:rPr>
          <w:rFonts w:ascii="Times New Roman" w:eastAsia="Times New Roman" w:hAnsi="Times New Roman" w:cs="Times New Roman"/>
          <w:kern w:val="0"/>
          <w:sz w:val="18"/>
          <w:szCs w:val="18"/>
          <w:lang w:val="sr-Cyrl-RS"/>
          <w14:ligatures w14:val="none"/>
        </w:rPr>
        <w:t xml:space="preserve"> које укључују п</w:t>
      </w:r>
      <w:r w:rsidRPr="0078271E">
        <w:rPr>
          <w:rFonts w:ascii="Times New Roman" w:eastAsia="Times New Roman" w:hAnsi="Times New Roman" w:cs="Times New Roman"/>
          <w:kern w:val="0"/>
          <w:sz w:val="18"/>
          <w:szCs w:val="18"/>
          <w:lang w:val="sr-Latn-RS"/>
          <w14:ligatures w14:val="none"/>
        </w:rPr>
        <w:t>равне гаранције за фискалну аутономију и диверзификоване приходе</w:t>
      </w:r>
      <w:r w:rsidRPr="0078271E">
        <w:rPr>
          <w:rFonts w:ascii="Times New Roman" w:eastAsia="Times New Roman" w:hAnsi="Times New Roman" w:cs="Times New Roman"/>
          <w:kern w:val="0"/>
          <w:sz w:val="18"/>
          <w:szCs w:val="18"/>
          <w:lang w:val="sr-Cyrl-RS"/>
          <w14:ligatures w14:val="none"/>
        </w:rPr>
        <w:t>,</w:t>
      </w:r>
      <w:r w:rsidRPr="0078271E">
        <w:rPr>
          <w:rFonts w:ascii="Times New Roman" w:eastAsia="Times New Roman" w:hAnsi="Times New Roman" w:cs="Times New Roman"/>
          <w:kern w:val="0"/>
          <w:sz w:val="18"/>
          <w:szCs w:val="18"/>
          <w:lang w:val="sr-Latn-RS"/>
          <w14:ligatures w14:val="none"/>
        </w:rPr>
        <w:t xml:space="preserve"> </w:t>
      </w:r>
      <w:r w:rsidRPr="0078271E">
        <w:rPr>
          <w:rFonts w:ascii="Times New Roman" w:eastAsia="Times New Roman" w:hAnsi="Times New Roman" w:cs="Times New Roman"/>
          <w:kern w:val="0"/>
          <w:sz w:val="18"/>
          <w:szCs w:val="18"/>
          <w:lang w:val="sr-Cyrl-RS"/>
          <w14:ligatures w14:val="none"/>
        </w:rPr>
        <w:t>п</w:t>
      </w:r>
      <w:r w:rsidRPr="0078271E">
        <w:rPr>
          <w:rFonts w:ascii="Times New Roman" w:eastAsia="Times New Roman" w:hAnsi="Times New Roman" w:cs="Times New Roman"/>
          <w:kern w:val="0"/>
          <w:sz w:val="18"/>
          <w:szCs w:val="18"/>
          <w:lang w:val="sr-Latn-RS"/>
          <w14:ligatures w14:val="none"/>
        </w:rPr>
        <w:t>равила за фискално изједначавање</w:t>
      </w:r>
      <w:r w:rsidRPr="0078271E">
        <w:rPr>
          <w:rFonts w:ascii="Times New Roman" w:eastAsia="Times New Roman" w:hAnsi="Times New Roman" w:cs="Times New Roman"/>
          <w:kern w:val="0"/>
          <w:sz w:val="18"/>
          <w:szCs w:val="18"/>
          <w:lang w:val="sr-Cyrl-RS"/>
          <w14:ligatures w14:val="none"/>
        </w:rPr>
        <w:t>, м</w:t>
      </w:r>
      <w:r w:rsidRPr="0078271E">
        <w:rPr>
          <w:rFonts w:ascii="Times New Roman" w:eastAsia="Times New Roman" w:hAnsi="Times New Roman" w:cs="Times New Roman"/>
          <w:kern w:val="0"/>
          <w:sz w:val="18"/>
          <w:szCs w:val="18"/>
          <w:lang w:val="sr-Latn-RS"/>
          <w14:ligatures w14:val="none"/>
        </w:rPr>
        <w:t>еханизм</w:t>
      </w:r>
      <w:r w:rsidRPr="0078271E">
        <w:rPr>
          <w:rFonts w:ascii="Times New Roman" w:eastAsia="Times New Roman" w:hAnsi="Times New Roman" w:cs="Times New Roman"/>
          <w:kern w:val="0"/>
          <w:sz w:val="18"/>
          <w:szCs w:val="18"/>
          <w:lang w:val="sr-Cyrl-RS"/>
          <w14:ligatures w14:val="none"/>
        </w:rPr>
        <w:t>е</w:t>
      </w:r>
      <w:r w:rsidRPr="0078271E">
        <w:rPr>
          <w:rFonts w:ascii="Times New Roman" w:eastAsia="Times New Roman" w:hAnsi="Times New Roman" w:cs="Times New Roman"/>
          <w:kern w:val="0"/>
          <w:sz w:val="18"/>
          <w:szCs w:val="18"/>
          <w:lang w:val="sr-Latn-RS"/>
          <w14:ligatures w14:val="none"/>
        </w:rPr>
        <w:t xml:space="preserve"> за финансијски надзор</w:t>
      </w:r>
      <w:r w:rsidRPr="0078271E">
        <w:rPr>
          <w:rFonts w:ascii="Times New Roman" w:eastAsia="Times New Roman" w:hAnsi="Times New Roman" w:cs="Times New Roman"/>
          <w:kern w:val="0"/>
          <w:sz w:val="18"/>
          <w:szCs w:val="18"/>
          <w:lang w:val="sr-Cyrl-RS"/>
          <w14:ligatures w14:val="none"/>
        </w:rPr>
        <w:t>, к</w:t>
      </w:r>
      <w:r w:rsidRPr="0078271E">
        <w:rPr>
          <w:rFonts w:ascii="Times New Roman" w:eastAsia="Times New Roman" w:hAnsi="Times New Roman" w:cs="Times New Roman"/>
          <w:kern w:val="0"/>
          <w:sz w:val="18"/>
          <w:szCs w:val="18"/>
          <w:lang w:val="sr-Latn-RS"/>
          <w14:ligatures w14:val="none"/>
        </w:rPr>
        <w:t>апацитет за генерисање сопствених прихода</w:t>
      </w:r>
      <w:r w:rsidRPr="0078271E">
        <w:rPr>
          <w:rFonts w:ascii="Times New Roman" w:eastAsia="Times New Roman" w:hAnsi="Times New Roman" w:cs="Times New Roman"/>
          <w:kern w:val="0"/>
          <w:sz w:val="18"/>
          <w:szCs w:val="18"/>
          <w:lang w:val="sr-Cyrl-RS"/>
          <w14:ligatures w14:val="none"/>
        </w:rPr>
        <w:t>, о</w:t>
      </w:r>
      <w:r w:rsidRPr="0078271E">
        <w:rPr>
          <w:rFonts w:ascii="Times New Roman" w:eastAsia="Times New Roman" w:hAnsi="Times New Roman" w:cs="Times New Roman"/>
          <w:kern w:val="0"/>
          <w:sz w:val="18"/>
          <w:szCs w:val="18"/>
          <w:lang w:val="sr-Latn-RS"/>
          <w14:ligatures w14:val="none"/>
        </w:rPr>
        <w:t>квир</w:t>
      </w:r>
      <w:r w:rsidRPr="0078271E">
        <w:rPr>
          <w:rFonts w:ascii="Times New Roman" w:eastAsia="Times New Roman" w:hAnsi="Times New Roman" w:cs="Times New Roman"/>
          <w:kern w:val="0"/>
          <w:sz w:val="18"/>
          <w:szCs w:val="18"/>
          <w:lang w:val="sr-Cyrl-RS"/>
          <w14:ligatures w14:val="none"/>
        </w:rPr>
        <w:t>е</w:t>
      </w:r>
      <w:r w:rsidRPr="0078271E">
        <w:rPr>
          <w:rFonts w:ascii="Times New Roman" w:eastAsia="Times New Roman" w:hAnsi="Times New Roman" w:cs="Times New Roman"/>
          <w:kern w:val="0"/>
          <w:sz w:val="18"/>
          <w:szCs w:val="18"/>
          <w:lang w:val="sr-Latn-RS"/>
          <w14:ligatures w14:val="none"/>
        </w:rPr>
        <w:t xml:space="preserve"> за </w:t>
      </w:r>
      <w:r w:rsidRPr="0078271E">
        <w:rPr>
          <w:rFonts w:ascii="Times New Roman" w:eastAsia="Times New Roman" w:hAnsi="Times New Roman" w:cs="Times New Roman"/>
          <w:kern w:val="0"/>
          <w:sz w:val="18"/>
          <w:szCs w:val="18"/>
          <w:lang w:val="sr-Cyrl-RS"/>
          <w14:ligatures w14:val="none"/>
        </w:rPr>
        <w:t>ненаменске</w:t>
      </w:r>
      <w:r w:rsidRPr="0078271E">
        <w:rPr>
          <w:rFonts w:ascii="Times New Roman" w:eastAsia="Times New Roman" w:hAnsi="Times New Roman" w:cs="Times New Roman"/>
          <w:kern w:val="0"/>
          <w:sz w:val="18"/>
          <w:szCs w:val="18"/>
          <w:lang w:val="sr-Latn-RS"/>
          <w14:ligatures w14:val="none"/>
        </w:rPr>
        <w:t xml:space="preserve"> и </w:t>
      </w:r>
      <w:r w:rsidRPr="0078271E">
        <w:rPr>
          <w:rFonts w:ascii="Times New Roman" w:eastAsia="Times New Roman" w:hAnsi="Times New Roman" w:cs="Times New Roman"/>
          <w:kern w:val="0"/>
          <w:sz w:val="18"/>
          <w:szCs w:val="18"/>
          <w:lang w:val="sr-Cyrl-RS"/>
          <w14:ligatures w14:val="none"/>
        </w:rPr>
        <w:t>наменске трансфере, као и ф</w:t>
      </w:r>
      <w:r w:rsidRPr="0078271E">
        <w:rPr>
          <w:rFonts w:ascii="Times New Roman" w:eastAsia="Times New Roman" w:hAnsi="Times New Roman" w:cs="Times New Roman"/>
          <w:kern w:val="0"/>
          <w:sz w:val="18"/>
          <w:szCs w:val="18"/>
          <w:lang w:val="sr-Latn-RS"/>
          <w14:ligatures w14:val="none"/>
        </w:rPr>
        <w:t>иска</w:t>
      </w:r>
      <w:r w:rsidRPr="0078271E">
        <w:rPr>
          <w:rFonts w:ascii="Times New Roman" w:eastAsia="Times New Roman" w:hAnsi="Times New Roman" w:cs="Times New Roman"/>
          <w:kern w:val="0"/>
          <w:sz w:val="18"/>
          <w:szCs w:val="18"/>
          <w:lang w:val="sr-Cyrl-RS"/>
          <w14:ligatures w14:val="none"/>
        </w:rPr>
        <w:t>лну</w:t>
      </w:r>
      <w:r w:rsidRPr="0078271E">
        <w:rPr>
          <w:rFonts w:ascii="Times New Roman" w:eastAsia="Times New Roman" w:hAnsi="Times New Roman" w:cs="Times New Roman"/>
          <w:kern w:val="0"/>
          <w:sz w:val="18"/>
          <w:szCs w:val="18"/>
          <w:lang w:val="sr-Latn-RS"/>
          <w14:ligatures w14:val="none"/>
        </w:rPr>
        <w:t xml:space="preserve"> равнотеж</w:t>
      </w:r>
      <w:r w:rsidRPr="0078271E">
        <w:rPr>
          <w:rFonts w:ascii="Times New Roman" w:eastAsia="Times New Roman" w:hAnsi="Times New Roman" w:cs="Times New Roman"/>
          <w:kern w:val="0"/>
          <w:sz w:val="18"/>
          <w:szCs w:val="18"/>
          <w:lang w:val="sr-Cyrl-RS"/>
          <w14:ligatures w14:val="none"/>
        </w:rPr>
        <w:t>у</w:t>
      </w:r>
      <w:r w:rsidRPr="0078271E">
        <w:rPr>
          <w:rFonts w:ascii="Times New Roman" w:eastAsia="Times New Roman" w:hAnsi="Times New Roman" w:cs="Times New Roman"/>
          <w:kern w:val="0"/>
          <w:sz w:val="18"/>
          <w:szCs w:val="18"/>
          <w:lang w:val="sr-Latn-RS"/>
          <w14:ligatures w14:val="none"/>
        </w:rPr>
        <w:t xml:space="preserve"> и одрживост</w:t>
      </w:r>
      <w:r w:rsidRPr="0078271E">
        <w:rPr>
          <w:rFonts w:ascii="Times New Roman" w:eastAsia="Times New Roman" w:hAnsi="Times New Roman" w:cs="Times New Roman"/>
          <w:kern w:val="0"/>
          <w:sz w:val="18"/>
          <w:szCs w:val="18"/>
          <w:lang w:val="sr-Cyrl-RS"/>
          <w14:ligatures w14:val="none"/>
        </w:rPr>
        <w:t>.</w:t>
      </w:r>
    </w:p>
  </w:footnote>
  <w:footnote w:id="51">
    <w:p w14:paraId="1D56C6FA" w14:textId="49F5101B" w:rsidR="00C01216" w:rsidRPr="0078271E" w:rsidRDefault="00C01216" w:rsidP="00643777">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rPr>
        <w:footnoteRef/>
      </w:r>
      <w:r w:rsidRPr="0078271E">
        <w:rPr>
          <w:rFonts w:ascii="Times New Roman" w:hAnsi="Times New Roman" w:cs="Times New Roman"/>
          <w:lang w:val="sr-Latn-RS"/>
        </w:rPr>
        <w:t xml:space="preserve"> </w:t>
      </w:r>
      <w:r w:rsidRPr="0078271E">
        <w:rPr>
          <w:rFonts w:ascii="Times New Roman" w:hAnsi="Times New Roman" w:cs="Times New Roman"/>
          <w:sz w:val="18"/>
          <w:szCs w:val="18"/>
        </w:rPr>
        <w:t>Резултати</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мерења</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постали</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су</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доступни</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тек</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почетком</w:t>
      </w:r>
      <w:r w:rsidRPr="0078271E">
        <w:rPr>
          <w:rFonts w:ascii="Times New Roman" w:hAnsi="Times New Roman" w:cs="Times New Roman"/>
          <w:sz w:val="18"/>
          <w:szCs w:val="18"/>
          <w:lang w:val="sr-Latn-RS"/>
        </w:rPr>
        <w:t xml:space="preserve"> 2026. </w:t>
      </w:r>
      <w:r w:rsidRPr="0078271E">
        <w:rPr>
          <w:rFonts w:ascii="Times New Roman" w:hAnsi="Times New Roman" w:cs="Times New Roman"/>
          <w:sz w:val="18"/>
          <w:szCs w:val="18"/>
        </w:rPr>
        <w:t>године</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у</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фази</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финализације</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овог</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ПРСЛС</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Подразумевају</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и</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аспект</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ажурирања</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индекса</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који</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је</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укључио</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нови</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систем</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компетенција</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што</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је</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свакако</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од</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утицаја</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на</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резултат</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скромнији</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од</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очекиваног</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али</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потврђује</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начелну</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констатацију</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о</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захтевности</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реформе</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и</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нужности</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даље</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подршке</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у</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домену</w:t>
      </w:r>
      <w:r w:rsidRPr="0078271E">
        <w:rPr>
          <w:rFonts w:ascii="Times New Roman" w:hAnsi="Times New Roman" w:cs="Times New Roman"/>
          <w:sz w:val="18"/>
          <w:szCs w:val="18"/>
          <w:lang w:val="sr-Latn-RS"/>
        </w:rPr>
        <w:t xml:space="preserve"> </w:t>
      </w:r>
      <w:r w:rsidRPr="0078271E">
        <w:rPr>
          <w:rFonts w:ascii="Times New Roman" w:hAnsi="Times New Roman" w:cs="Times New Roman"/>
          <w:sz w:val="18"/>
          <w:szCs w:val="18"/>
        </w:rPr>
        <w:t>УЉР</w:t>
      </w:r>
      <w:r w:rsidRPr="0078271E">
        <w:rPr>
          <w:rFonts w:ascii="Times New Roman" w:hAnsi="Times New Roman" w:cs="Times New Roman"/>
          <w:sz w:val="18"/>
          <w:szCs w:val="18"/>
          <w:lang w:val="sr-Latn-RS"/>
        </w:rPr>
        <w:t>.</w:t>
      </w:r>
    </w:p>
  </w:footnote>
  <w:footnote w:id="52">
    <w:p w14:paraId="2C0B3C98" w14:textId="207EF7AF" w:rsidR="00C01216" w:rsidRPr="00232B8B" w:rsidRDefault="00C01216" w:rsidP="009B4204">
      <w:pPr>
        <w:pStyle w:val="FootnoteText"/>
        <w:jc w:val="both"/>
        <w:rPr>
          <w:rFonts w:ascii="Arial" w:hAnsi="Arial" w:cs="Arial"/>
          <w:sz w:val="18"/>
          <w:szCs w:val="18"/>
          <w:lang w:val="sr-Cyrl-RS"/>
        </w:rPr>
      </w:pPr>
      <w:r w:rsidRPr="00232B8B">
        <w:rPr>
          <w:rStyle w:val="FootnoteReference"/>
          <w:rFonts w:ascii="Arial" w:hAnsi="Arial" w:cs="Arial"/>
          <w:sz w:val="18"/>
          <w:szCs w:val="18"/>
          <w:lang w:val="sr-Cyrl-RS"/>
        </w:rPr>
        <w:footnoteRef/>
      </w:r>
      <w:r w:rsidRPr="00232B8B">
        <w:rPr>
          <w:rFonts w:ascii="Arial" w:hAnsi="Arial" w:cs="Arial"/>
          <w:sz w:val="18"/>
          <w:szCs w:val="18"/>
          <w:lang w:val="sr-Cyrl-RS"/>
        </w:rPr>
        <w:t xml:space="preserve"> </w:t>
      </w:r>
      <w:hyperlink r:id="rId5" w:history="1">
        <w:r w:rsidRPr="00232B8B">
          <w:rPr>
            <w:rStyle w:val="Hyperlink"/>
            <w:rFonts w:ascii="Arial" w:hAnsi="Arial" w:cs="Arial"/>
            <w:sz w:val="18"/>
            <w:szCs w:val="18"/>
            <w:lang w:val="sr-Cyrl-RS"/>
          </w:rPr>
          <w:t>https://napa.gov.rs/extfile/sr/8109/Aneks-evaluacija-2024.pdf</w:t>
        </w:r>
      </w:hyperlink>
      <w:r w:rsidRPr="00232B8B">
        <w:rPr>
          <w:rFonts w:ascii="Arial" w:hAnsi="Arial" w:cs="Arial"/>
          <w:sz w:val="18"/>
          <w:szCs w:val="18"/>
          <w:lang w:val="sr-Cyrl-RS"/>
        </w:rPr>
        <w:t xml:space="preserve"> </w:t>
      </w:r>
    </w:p>
  </w:footnote>
  <w:footnote w:id="53">
    <w:p w14:paraId="0B99E151" w14:textId="77777777" w:rsidR="00C01216" w:rsidRPr="0078271E" w:rsidRDefault="00C01216" w:rsidP="006F790A">
      <w:pPr>
        <w:pStyle w:val="FootnoteText"/>
        <w:jc w:val="both"/>
        <w:rPr>
          <w:rFonts w:ascii="Times New Roman" w:hAnsi="Times New Roman" w:cs="Times New Roman"/>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Проф. др Добросав Миловановић, септембар 2024. године</w:t>
      </w:r>
    </w:p>
  </w:footnote>
  <w:footnote w:id="54">
    <w:p w14:paraId="5E6DBA8F" w14:textId="48CBFBFA" w:rsidR="00C01216" w:rsidRPr="0078271E" w:rsidRDefault="00C01216" w:rsidP="00517310">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sz w:val="18"/>
          <w:szCs w:val="18"/>
          <w:lang w:val="sr-Cyrl-RS"/>
        </w:rPr>
        <w:t xml:space="preserve"> У њих спадају Закон о комуналним делатностима „Сл. гласник РС”, бр. 88/2011, 104/2016, 95/2018, 94/2024, Закон о управљању отпадом „Сл. гласник РС”, 109/2025, Закон о јавним предузећима „Сл. гласник РС”,15/2016, 88/2019, Закон о јавним службама „Сл. гласник РС”, 42/1991, 71/1994, 79/2005 (др. закон), 83/2014 (др. закон), Закон о социјалној заштити „Сл. гласник РС”, 24/2011, 117/2022 (УС), Закон о просветној инспекцији „Сл. гласник РС”,  27/2018, 129/2021, 76/2023, 76/2023 (др. закон), Закон о регионалном развоју „Сл. гласник РС”, 51/2009, 30/2010, 89/2015 (др. закон)</w:t>
      </w:r>
      <w:r w:rsidRPr="0078271E">
        <w:rPr>
          <w:rFonts w:ascii="Times New Roman" w:hAnsi="Times New Roman" w:cs="Times New Roman"/>
          <w:sz w:val="18"/>
          <w:szCs w:val="18"/>
          <w:lang w:val="sr-Cyrl-RS"/>
        </w:rPr>
        <w:fldChar w:fldCharType="begin"/>
      </w:r>
      <w:r w:rsidRPr="0078271E">
        <w:rPr>
          <w:rFonts w:ascii="Times New Roman" w:hAnsi="Times New Roman" w:cs="Times New Roman"/>
          <w:sz w:val="18"/>
          <w:szCs w:val="18"/>
          <w:lang w:val="sr-Cyrl-RS"/>
        </w:rPr>
        <w:instrText>https://mduls.gov.rs/obavestenja/pravilnik-o-izmenama-i-dopunama-pravilnika-o-nacinu-i-kriterijumima-raspodele-sredstava-za-finansiranje-programa-podrske-razvoju-i-funkcionisanju-sistema-lokalne-samouprave/"</w:instrText>
      </w:r>
      <w:r w:rsidRPr="0078271E">
        <w:rPr>
          <w:rFonts w:ascii="Times New Roman" w:hAnsi="Times New Roman" w:cs="Times New Roman"/>
          <w:sz w:val="18"/>
          <w:szCs w:val="18"/>
          <w:lang w:val="sr-Cyrl-RS"/>
        </w:rPr>
        <w:fldChar w:fldCharType="separate"/>
      </w:r>
      <w:r w:rsidRPr="0078271E">
        <w:rPr>
          <w:rFonts w:ascii="Times New Roman" w:hAnsi="Times New Roman" w:cs="Times New Roman"/>
          <w:sz w:val="18"/>
          <w:szCs w:val="18"/>
          <w:lang w:val="sr-Cyrl-RS"/>
        </w:rPr>
        <w:t>https://mduls.gov.rs/obavestenja/pravilnik-o-izmenama-i-dopunama-pravilnika-o-nacinu-i-kriterijumima-raspodele-sredstava-za-finansiranje-programa-podrske-razvoju-i-funkcionisanju-sistema-lokalne-samouprave/</w:t>
      </w:r>
      <w:r w:rsidRPr="0078271E">
        <w:rPr>
          <w:rFonts w:ascii="Times New Roman" w:hAnsi="Times New Roman" w:cs="Times New Roman"/>
          <w:sz w:val="18"/>
          <w:szCs w:val="18"/>
          <w:lang w:val="sr-Cyrl-RS"/>
        </w:rPr>
        <w:fldChar w:fldCharType="end"/>
      </w:r>
      <w:r w:rsidRPr="0078271E">
        <w:rPr>
          <w:rFonts w:ascii="Times New Roman" w:hAnsi="Times New Roman" w:cs="Times New Roman"/>
          <w:sz w:val="18"/>
          <w:szCs w:val="18"/>
          <w:lang w:val="sr-Cyrl-RS"/>
        </w:rPr>
        <w:fldChar w:fldCharType="begin"/>
      </w:r>
      <w:r w:rsidRPr="0078271E">
        <w:rPr>
          <w:rFonts w:ascii="Times New Roman" w:hAnsi="Times New Roman" w:cs="Times New Roman"/>
          <w:sz w:val="18"/>
          <w:szCs w:val="18"/>
          <w:lang w:val="sr-Cyrl-RS"/>
        </w:rPr>
        <w:instrText>https://mduls.gov.rs/obavestenja/pravilnik-o-izmenama-i-dopunama-pravilnika-o-nacinu-i-kriterijumima-raspodele-sredstava-za-finansiranje-programa-podrske-razvoju-i-funkcionisanju-sistema-lokalne-samouprave/"</w:instrText>
      </w:r>
      <w:r w:rsidRPr="0078271E">
        <w:rPr>
          <w:rFonts w:ascii="Times New Roman" w:hAnsi="Times New Roman" w:cs="Times New Roman"/>
          <w:sz w:val="18"/>
          <w:szCs w:val="18"/>
          <w:lang w:val="sr-Cyrl-RS"/>
        </w:rPr>
        <w:fldChar w:fldCharType="separate"/>
      </w:r>
      <w:r w:rsidRPr="0078271E">
        <w:rPr>
          <w:rFonts w:ascii="Times New Roman" w:hAnsi="Times New Roman" w:cs="Times New Roman"/>
          <w:sz w:val="18"/>
          <w:szCs w:val="18"/>
          <w:lang w:val="sr-Cyrl-RS"/>
        </w:rPr>
        <w:t>https://mduls.gov.rs/obavestenja/pravilnik-o-izmenama-i-dopunama-pravilnika-o-nacinu-i-kriterijumima-raspodele-sredstava-za-finansiranje-programa-podrske-razvoju-i-funkcionisanju-sistema-lokalne-samouprave/</w:t>
      </w:r>
      <w:r w:rsidRPr="0078271E">
        <w:rPr>
          <w:rFonts w:ascii="Times New Roman" w:hAnsi="Times New Roman" w:cs="Times New Roman"/>
          <w:sz w:val="18"/>
          <w:szCs w:val="18"/>
          <w:lang w:val="sr-Cyrl-RS"/>
        </w:rPr>
        <w:fldChar w:fldCharType="end"/>
      </w:r>
    </w:p>
    <w:p w14:paraId="296587D7" w14:textId="55EBA84A" w:rsidR="00C01216" w:rsidRPr="0078271E" w:rsidRDefault="00C01216" w:rsidP="006F790A">
      <w:pPr>
        <w:pStyle w:val="FootnoteText"/>
        <w:jc w:val="both"/>
        <w:rPr>
          <w:rFonts w:ascii="Times New Roman" w:hAnsi="Times New Roman" w:cs="Times New Roman"/>
          <w:sz w:val="18"/>
          <w:szCs w:val="18"/>
          <w:lang w:val="sr-Cyrl-RS"/>
        </w:rPr>
      </w:pPr>
      <w:r w:rsidRPr="0078271E">
        <w:rPr>
          <w:rFonts w:ascii="Times New Roman" w:hAnsi="Times New Roman" w:cs="Times New Roman"/>
          <w:sz w:val="18"/>
          <w:szCs w:val="18"/>
          <w:lang w:val="sr-Cyrl-RS"/>
        </w:rPr>
        <w:t xml:space="preserve"> </w:t>
      </w:r>
      <w:r w:rsidRPr="0078271E">
        <w:rPr>
          <w:rFonts w:ascii="Times New Roman" w:hAnsi="Times New Roman" w:cs="Times New Roman"/>
          <w:sz w:val="18"/>
          <w:szCs w:val="18"/>
          <w:lang w:val="sr-Cyrl-RS"/>
        </w:rPr>
        <w:fldChar w:fldCharType="begin"/>
      </w:r>
      <w:r w:rsidRPr="0078271E">
        <w:rPr>
          <w:rFonts w:ascii="Times New Roman" w:hAnsi="Times New Roman" w:cs="Times New Roman"/>
          <w:sz w:val="18"/>
          <w:szCs w:val="18"/>
          <w:lang w:val="sr-Cyrl-RS"/>
        </w:rPr>
        <w:instrText>https://mduls.gov.rs/obavestenja/pravilnik-o-izmenama-i-dopunama-pravilnika-o-nacinu-i-kriterijumima-raspodele-sredstava-za-finansiranje-programa-podrske-razvoju-i-funkcionisanju-sistema-lokalne-samouprave/"</w:instrText>
      </w:r>
      <w:r w:rsidRPr="0078271E">
        <w:rPr>
          <w:rFonts w:ascii="Times New Roman" w:hAnsi="Times New Roman" w:cs="Times New Roman"/>
          <w:sz w:val="18"/>
          <w:szCs w:val="18"/>
          <w:lang w:val="sr-Cyrl-RS"/>
        </w:rPr>
        <w:fldChar w:fldCharType="separate"/>
      </w:r>
      <w:r w:rsidRPr="0078271E">
        <w:rPr>
          <w:rFonts w:ascii="Times New Roman" w:hAnsi="Times New Roman" w:cs="Times New Roman"/>
          <w:sz w:val="18"/>
          <w:szCs w:val="18"/>
          <w:lang w:val="sr-Cyrl-RS"/>
        </w:rPr>
        <w:t>https://mduls.gov.rs/obavestenja/pravilnik-o-izmenama-i-dopunama-pravilnika-o-nacinu-i-kriterijumima-raspodele-sredstava-za-finansiranje-programa-podrske-razvoju-i-funkcionisanju-sistema-lokalne-samouprave/</w:t>
      </w:r>
      <w:r w:rsidRPr="0078271E">
        <w:rPr>
          <w:rFonts w:ascii="Times New Roman" w:hAnsi="Times New Roman" w:cs="Times New Roman"/>
          <w:sz w:val="18"/>
          <w:szCs w:val="18"/>
          <w:lang w:val="sr-Cyrl-RS"/>
        </w:rPr>
        <w:fldChar w:fldCharType="end"/>
      </w:r>
      <w:r w:rsidRPr="0078271E">
        <w:rPr>
          <w:rFonts w:ascii="Times New Roman" w:hAnsi="Times New Roman" w:cs="Times New Roman"/>
          <w:sz w:val="18"/>
          <w:szCs w:val="18"/>
          <w:lang w:val="sr-Cyrl-RS"/>
        </w:rPr>
        <w:fldChar w:fldCharType="begin"/>
      </w:r>
      <w:r w:rsidRPr="0078271E">
        <w:rPr>
          <w:rFonts w:ascii="Times New Roman" w:hAnsi="Times New Roman" w:cs="Times New Roman"/>
          <w:sz w:val="18"/>
          <w:szCs w:val="18"/>
          <w:lang w:val="sr-Cyrl-RS"/>
        </w:rPr>
        <w:instrText>https://mduls.gov.rs/obavestenja/pravilnik-o-izmenama-i-dopunama-pravilnika-o-nacinu-i-kriterijumima-raspodele-sredstava-za-finansiranje-programa-podrske-razvoju-i-funkcionisanju-sistema-lokalne-samouprave/"</w:instrText>
      </w:r>
      <w:r w:rsidRPr="0078271E">
        <w:rPr>
          <w:rFonts w:ascii="Times New Roman" w:hAnsi="Times New Roman" w:cs="Times New Roman"/>
          <w:sz w:val="18"/>
          <w:szCs w:val="18"/>
          <w:lang w:val="sr-Cyrl-RS"/>
        </w:rPr>
        <w:fldChar w:fldCharType="separate"/>
      </w:r>
      <w:r w:rsidRPr="0078271E">
        <w:rPr>
          <w:rFonts w:ascii="Times New Roman" w:hAnsi="Times New Roman" w:cs="Times New Roman"/>
          <w:sz w:val="18"/>
          <w:szCs w:val="18"/>
          <w:lang w:val="sr-Cyrl-RS"/>
        </w:rPr>
        <w:t>https://mduls.gov.rs/obavestenja/pravilnik-o-izmenama-i-dopunama-pravilnika-o-nacinu-i-kriterijumima-raspodele-sredstava-za-finansiranje-programa-podrske-razvoju-i-funkcionisanju-sistema-lokalne-samouprave/</w:t>
      </w:r>
      <w:r w:rsidRPr="0078271E">
        <w:rPr>
          <w:rFonts w:ascii="Times New Roman" w:hAnsi="Times New Roman" w:cs="Times New Roman"/>
          <w:sz w:val="18"/>
          <w:szCs w:val="18"/>
          <w:lang w:val="sr-Cyrl-RS"/>
        </w:rPr>
        <w:fldChar w:fldCharType="end"/>
      </w:r>
    </w:p>
  </w:footnote>
  <w:footnote w:id="55">
    <w:p w14:paraId="20845FEA" w14:textId="7E044854" w:rsidR="00C01216" w:rsidRPr="00452F3D" w:rsidRDefault="00C01216" w:rsidP="00D46FB3">
      <w:pPr>
        <w:pStyle w:val="CommentText"/>
        <w:spacing w:after="0"/>
        <w:jc w:val="both"/>
        <w:rPr>
          <w:rFonts w:ascii="Arial" w:hAnsi="Arial" w:cs="Arial"/>
          <w:sz w:val="18"/>
          <w:szCs w:val="18"/>
          <w:lang w:val="sr-Latn-RS"/>
        </w:rPr>
      </w:pPr>
      <w:r w:rsidRPr="0078271E">
        <w:rPr>
          <w:rStyle w:val="FootnoteReference"/>
          <w:rFonts w:ascii="Times New Roman" w:hAnsi="Times New Roman" w:cs="Times New Roman"/>
          <w:sz w:val="18"/>
          <w:szCs w:val="18"/>
          <w:lang w:val="sr-Cyrl-RS"/>
        </w:rPr>
        <w:footnoteRef/>
      </w:r>
      <w:r w:rsidRPr="0078271E">
        <w:rPr>
          <w:rFonts w:ascii="Times New Roman" w:hAnsi="Times New Roman" w:cs="Times New Roman"/>
          <w:kern w:val="2"/>
          <w:sz w:val="18"/>
          <w:szCs w:val="18"/>
          <w:lang w:val="sr-Latn-RS"/>
          <w14:ligatures w14:val="standardContextual"/>
        </w:rPr>
        <w:t xml:space="preserve"> </w:t>
      </w:r>
      <w:hyperlink r:id="rId6" w:history="1">
        <w:r w:rsidRPr="0078271E">
          <w:rPr>
            <w:rStyle w:val="Hyperlink"/>
            <w:rFonts w:ascii="Times New Roman" w:hAnsi="Times New Roman" w:cs="Times New Roman"/>
            <w:kern w:val="2"/>
            <w:sz w:val="18"/>
            <w:szCs w:val="18"/>
            <w:lang w:val="sr-Latn-RS"/>
            <w14:ligatures w14:val="standardContextual"/>
          </w:rPr>
          <w:t>https://pravno-informacioni-sistem.rs/eli/rep/sgrs/ministarstva/pravilnik/2024/69/1</w:t>
        </w:r>
      </w:hyperlink>
      <w:r w:rsidRPr="0078271E">
        <w:rPr>
          <w:rFonts w:ascii="Times New Roman" w:hAnsi="Times New Roman" w:cs="Times New Roman"/>
          <w:kern w:val="2"/>
          <w:sz w:val="18"/>
          <w:szCs w:val="18"/>
          <w:lang w:val="sr-Latn-RS"/>
          <w14:ligatures w14:val="standardContextual"/>
        </w:rPr>
        <w:t xml:space="preserve">   </w:t>
      </w:r>
      <w:r w:rsidRPr="00452F3D">
        <w:rPr>
          <w:rFonts w:ascii="Arial" w:hAnsi="Arial" w:cs="Arial"/>
          <w:kern w:val="2"/>
          <w:sz w:val="18"/>
          <w:szCs w:val="18"/>
          <w:lang w:val="sr-Cyrl-RS"/>
          <w14:ligatures w14:val="standardContextual"/>
        </w:rPr>
        <w:fldChar w:fldCharType="begin"/>
      </w:r>
      <w:r w:rsidRPr="00452F3D">
        <w:rPr>
          <w:rFonts w:ascii="Arial" w:hAnsi="Arial" w:cs="Arial"/>
          <w:kern w:val="2"/>
          <w:sz w:val="18"/>
          <w:szCs w:val="18"/>
          <w:lang w:val="sr-Cyrl-RS"/>
          <w14:ligatures w14:val="standardContextual"/>
        </w:rPr>
        <w:instrText>https://mduls.gov.rs/obavestenja/pravilnik-o-izmenama-i-dopunama-pravilnika-o-nacinu-i-kriterijumima-raspodele-sredstava-za-finansiranje-programa-podrske-razvoju-i-funkcionisanju-sistema-lokalne-samouprave/"</w:instrText>
      </w:r>
      <w:r w:rsidRPr="00452F3D">
        <w:rPr>
          <w:rFonts w:ascii="Arial" w:hAnsi="Arial" w:cs="Arial"/>
          <w:kern w:val="2"/>
          <w:sz w:val="18"/>
          <w:szCs w:val="18"/>
          <w:lang w:val="sr-Cyrl-RS"/>
          <w14:ligatures w14:val="standardContextual"/>
        </w:rPr>
        <w:fldChar w:fldCharType="separate"/>
      </w:r>
      <w:r w:rsidRPr="00452F3D">
        <w:rPr>
          <w:rFonts w:ascii="Arial" w:hAnsi="Arial" w:cs="Arial"/>
          <w:kern w:val="2"/>
          <w:sz w:val="18"/>
          <w:szCs w:val="18"/>
          <w:lang w:val="sr-Cyrl-RS"/>
          <w14:ligatures w14:val="standardContextual"/>
        </w:rPr>
        <w:t>https://mduls.gov.rs/obavestenja/pravilnik-o-izmenama-i-dopunama-pravilnika-o-nacinu-i-kriterijumima-raspodele-sredstava-za-finansiranje-programa-podrske-razvoju-i-funkcionisanju-sistema-lokalne-samouprave/</w:t>
      </w:r>
      <w:r w:rsidRPr="00452F3D">
        <w:rPr>
          <w:rFonts w:ascii="Arial" w:hAnsi="Arial" w:cs="Arial"/>
          <w:kern w:val="2"/>
          <w:sz w:val="18"/>
          <w:szCs w:val="18"/>
          <w:lang w:val="sr-Cyrl-RS"/>
          <w14:ligatures w14:val="standardContextual"/>
        </w:rPr>
        <w:fldChar w:fldCharType="end"/>
      </w:r>
    </w:p>
  </w:footnote>
  <w:footnote w:id="56">
    <w:p w14:paraId="2ACAE4D6" w14:textId="6C40643A" w:rsidR="00C01216" w:rsidRPr="0078271E" w:rsidRDefault="00C01216">
      <w:pPr>
        <w:pStyle w:val="FootnoteText"/>
        <w:rPr>
          <w:rFonts w:ascii="Times New Roman" w:hAnsi="Times New Roman" w:cs="Times New Roman"/>
          <w:sz w:val="18"/>
          <w:szCs w:val="18"/>
          <w:lang w:val="sr-Latn-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Видети више у извештају СИГМА о међуопштинској сарадњи у региону Западног Балкана</w:t>
      </w:r>
      <w:r w:rsidRPr="0078271E">
        <w:rPr>
          <w:rFonts w:ascii="Times New Roman" w:hAnsi="Times New Roman" w:cs="Times New Roman"/>
          <w:sz w:val="18"/>
          <w:szCs w:val="18"/>
          <w:lang w:val="sr-Latn-RS"/>
        </w:rPr>
        <w:t xml:space="preserve"> </w:t>
      </w:r>
      <w:hyperlink r:id="rId7" w:history="1">
        <w:r w:rsidRPr="0078271E">
          <w:rPr>
            <w:rStyle w:val="Hyperlink"/>
            <w:rFonts w:ascii="Times New Roman" w:hAnsi="Times New Roman" w:cs="Times New Roman"/>
            <w:sz w:val="18"/>
            <w:szCs w:val="18"/>
            <w:lang w:val="sr-Cyrl-RS"/>
          </w:rPr>
          <w:t>https://www.sigmaweb.org/en/publications/inter-municipal-co-operation-in-the-western-balkans_a78a01e6-en.html</w:t>
        </w:r>
      </w:hyperlink>
      <w:r w:rsidRPr="0078271E">
        <w:rPr>
          <w:rFonts w:ascii="Times New Roman" w:hAnsi="Times New Roman" w:cs="Times New Roman"/>
          <w:sz w:val="18"/>
          <w:szCs w:val="18"/>
          <w:lang w:val="sr-Cyrl-RS"/>
        </w:rPr>
        <w:t xml:space="preserve"> </w:t>
      </w:r>
    </w:p>
  </w:footnote>
  <w:footnote w:id="57">
    <w:p w14:paraId="6C7B0CC1" w14:textId="1791D6A7" w:rsidR="00C01216" w:rsidRPr="000656B8" w:rsidRDefault="00C01216">
      <w:pPr>
        <w:pStyle w:val="FootnoteText"/>
        <w:rPr>
          <w:lang w:val="sr-Cyrl-RS"/>
        </w:rPr>
      </w:pPr>
      <w:r>
        <w:rPr>
          <w:rStyle w:val="FootnoteReference"/>
        </w:rPr>
        <w:footnoteRef/>
      </w:r>
      <w:r w:rsidRPr="007016CE">
        <w:rPr>
          <w:lang w:val="sr-Latn-RS"/>
        </w:rPr>
        <w:t xml:space="preserve"> </w:t>
      </w:r>
      <w:hyperlink r:id="rId8" w:history="1">
        <w:r w:rsidRPr="0047592E">
          <w:rPr>
            <w:rStyle w:val="Hyperlink"/>
            <w:rFonts w:ascii="Arial" w:hAnsi="Arial" w:cs="Arial"/>
            <w:sz w:val="18"/>
            <w:szCs w:val="18"/>
            <w:lang w:val="sr-Latn-RS"/>
          </w:rPr>
          <w:t>https</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rsjp</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gov</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rs</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cir</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dokumenti</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kategorija</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cir</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prirucnici</w:t>
        </w:r>
        <w:r w:rsidRPr="00452F3D">
          <w:rPr>
            <w:rStyle w:val="Hyperlink"/>
            <w:rFonts w:ascii="Arial" w:hAnsi="Arial" w:cs="Arial"/>
            <w:sz w:val="18"/>
            <w:szCs w:val="18"/>
            <w:lang w:val="sr-Cyrl-RS"/>
          </w:rPr>
          <w:t>-</w:t>
        </w:r>
        <w:r w:rsidRPr="0047592E">
          <w:rPr>
            <w:rStyle w:val="Hyperlink"/>
            <w:rFonts w:ascii="Arial" w:hAnsi="Arial" w:cs="Arial"/>
            <w:sz w:val="18"/>
            <w:szCs w:val="18"/>
            <w:lang w:val="sr-Latn-RS"/>
          </w:rPr>
          <w:t>cir</w:t>
        </w:r>
        <w:r w:rsidRPr="00452F3D">
          <w:rPr>
            <w:rStyle w:val="Hyperlink"/>
            <w:rFonts w:ascii="Arial" w:hAnsi="Arial" w:cs="Arial"/>
            <w:sz w:val="18"/>
            <w:szCs w:val="18"/>
            <w:lang w:val="sr-Cyrl-RS"/>
          </w:rPr>
          <w:t>/</w:t>
        </w:r>
      </w:hyperlink>
    </w:p>
  </w:footnote>
  <w:footnote w:id="58">
    <w:p w14:paraId="6382B854" w14:textId="77777777" w:rsidR="00C01216" w:rsidRPr="00C44AF2" w:rsidRDefault="00C01216" w:rsidP="003A4565">
      <w:pPr>
        <w:pStyle w:val="FootnoteText"/>
        <w:rPr>
          <w:rFonts w:ascii="Times New Roman" w:hAnsi="Times New Roman" w:cs="Times New Roman"/>
          <w:sz w:val="18"/>
          <w:szCs w:val="18"/>
          <w:lang w:val="sr-Cyrl-RS"/>
        </w:rPr>
      </w:pPr>
      <w:r w:rsidRPr="00C44AF2">
        <w:rPr>
          <w:rStyle w:val="FootnoteReference"/>
          <w:rFonts w:ascii="Times New Roman" w:hAnsi="Times New Roman" w:cs="Times New Roman"/>
          <w:sz w:val="18"/>
          <w:szCs w:val="18"/>
        </w:rPr>
        <w:footnoteRef/>
      </w:r>
      <w:r w:rsidRPr="00C44AF2">
        <w:rPr>
          <w:rFonts w:ascii="Times New Roman" w:hAnsi="Times New Roman" w:cs="Times New Roman"/>
          <w:color w:val="2A2E33"/>
          <w:sz w:val="18"/>
          <w:szCs w:val="18"/>
          <w:lang w:val="sr-Latn-RS"/>
        </w:rPr>
        <w:t xml:space="preserve"> </w:t>
      </w:r>
      <w:r w:rsidRPr="00C44AF2">
        <w:rPr>
          <w:rFonts w:ascii="Times New Roman" w:hAnsi="Times New Roman" w:cs="Times New Roman"/>
          <w:sz w:val="18"/>
          <w:szCs w:val="18"/>
          <w:lang w:val="sr-Latn-RS"/>
        </w:rPr>
        <w:t>Public</w:t>
      </w:r>
      <w:r w:rsidRPr="00C44AF2">
        <w:rPr>
          <w:rFonts w:ascii="Times New Roman" w:hAnsi="Times New Roman" w:cs="Times New Roman"/>
          <w:sz w:val="18"/>
          <w:szCs w:val="18"/>
          <w:lang w:val="sr-Cyrl-RS"/>
        </w:rPr>
        <w:t xml:space="preserve"> </w:t>
      </w:r>
      <w:r w:rsidRPr="00C44AF2">
        <w:rPr>
          <w:rFonts w:ascii="Times New Roman" w:hAnsi="Times New Roman" w:cs="Times New Roman"/>
          <w:sz w:val="18"/>
          <w:szCs w:val="18"/>
          <w:lang w:val="sr-Latn-RS"/>
        </w:rPr>
        <w:t>administrationin</w:t>
      </w:r>
      <w:r w:rsidRPr="00C44AF2">
        <w:rPr>
          <w:rFonts w:ascii="Times New Roman" w:hAnsi="Times New Roman" w:cs="Times New Roman"/>
          <w:sz w:val="18"/>
          <w:szCs w:val="18"/>
          <w:lang w:val="sr-Cyrl-RS"/>
        </w:rPr>
        <w:t xml:space="preserve"> </w:t>
      </w:r>
      <w:r w:rsidRPr="00C44AF2">
        <w:rPr>
          <w:rFonts w:ascii="Times New Roman" w:hAnsi="Times New Roman" w:cs="Times New Roman"/>
          <w:sz w:val="18"/>
          <w:szCs w:val="18"/>
          <w:lang w:val="sr-Latn-RS"/>
        </w:rPr>
        <w:t>Serbia</w:t>
      </w:r>
      <w:r w:rsidRPr="00C44AF2">
        <w:rPr>
          <w:rFonts w:ascii="Times New Roman" w:hAnsi="Times New Roman" w:cs="Times New Roman"/>
          <w:sz w:val="18"/>
          <w:szCs w:val="18"/>
          <w:lang w:val="sr-Cyrl-RS"/>
        </w:rPr>
        <w:t xml:space="preserve"> 2024 – </w:t>
      </w:r>
      <w:r w:rsidRPr="00C44AF2">
        <w:rPr>
          <w:rFonts w:ascii="Times New Roman" w:hAnsi="Times New Roman" w:cs="Times New Roman"/>
          <w:sz w:val="18"/>
          <w:szCs w:val="18"/>
          <w:lang w:val="sr-Latn-RS"/>
        </w:rPr>
        <w:t>SIGMA</w:t>
      </w:r>
      <w:r w:rsidRPr="00C44AF2">
        <w:rPr>
          <w:rFonts w:ascii="Times New Roman" w:hAnsi="Times New Roman" w:cs="Times New Roman"/>
          <w:sz w:val="18"/>
          <w:szCs w:val="18"/>
          <w:lang w:val="sr-Cyrl-RS"/>
        </w:rPr>
        <w:t xml:space="preserve">- </w:t>
      </w:r>
      <w:hyperlink r:id="rId9" w:history="1">
        <w:r w:rsidRPr="00C44AF2">
          <w:rPr>
            <w:rStyle w:val="Hyperlink"/>
            <w:rFonts w:ascii="Times New Roman" w:hAnsi="Times New Roman" w:cs="Times New Roman"/>
            <w:sz w:val="18"/>
            <w:szCs w:val="18"/>
            <w:lang w:val="sr-Latn-RS"/>
          </w:rPr>
          <w:t>https</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www</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sigmaweb</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org</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en</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publications</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public</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administration</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in</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serbia</w:t>
        </w:r>
        <w:r w:rsidRPr="00C44AF2">
          <w:rPr>
            <w:rStyle w:val="Hyperlink"/>
            <w:rFonts w:ascii="Times New Roman" w:hAnsi="Times New Roman" w:cs="Times New Roman"/>
            <w:sz w:val="18"/>
            <w:szCs w:val="18"/>
            <w:lang w:val="sr-Cyrl-RS"/>
          </w:rPr>
          <w:t>-2024_02001</w:t>
        </w:r>
        <w:r w:rsidRPr="00C44AF2">
          <w:rPr>
            <w:rStyle w:val="Hyperlink"/>
            <w:rFonts w:ascii="Times New Roman" w:hAnsi="Times New Roman" w:cs="Times New Roman"/>
            <w:sz w:val="18"/>
            <w:szCs w:val="18"/>
            <w:lang w:val="sr-Latn-RS"/>
          </w:rPr>
          <w:t>fe</w:t>
        </w:r>
        <w:r w:rsidRPr="00C44AF2">
          <w:rPr>
            <w:rStyle w:val="Hyperlink"/>
            <w:rFonts w:ascii="Times New Roman" w:hAnsi="Times New Roman" w:cs="Times New Roman"/>
            <w:sz w:val="18"/>
            <w:szCs w:val="18"/>
            <w:lang w:val="sr-Cyrl-RS"/>
          </w:rPr>
          <w:t>4-</w:t>
        </w:r>
        <w:r w:rsidRPr="00C44AF2">
          <w:rPr>
            <w:rStyle w:val="Hyperlink"/>
            <w:rFonts w:ascii="Times New Roman" w:hAnsi="Times New Roman" w:cs="Times New Roman"/>
            <w:sz w:val="18"/>
            <w:szCs w:val="18"/>
            <w:lang w:val="sr-Latn-RS"/>
          </w:rPr>
          <w:t>en</w:t>
        </w:r>
        <w:r w:rsidRPr="00C44AF2">
          <w:rPr>
            <w:rStyle w:val="Hyperlink"/>
            <w:rFonts w:ascii="Times New Roman" w:hAnsi="Times New Roman" w:cs="Times New Roman"/>
            <w:sz w:val="18"/>
            <w:szCs w:val="18"/>
            <w:lang w:val="sr-Cyrl-RS"/>
          </w:rPr>
          <w:t>.</w:t>
        </w:r>
        <w:r w:rsidRPr="00C44AF2">
          <w:rPr>
            <w:rStyle w:val="Hyperlink"/>
            <w:rFonts w:ascii="Times New Roman" w:hAnsi="Times New Roman" w:cs="Times New Roman"/>
            <w:sz w:val="18"/>
            <w:szCs w:val="18"/>
            <w:lang w:val="sr-Latn-RS"/>
          </w:rPr>
          <w:t>html</w:t>
        </w:r>
      </w:hyperlink>
    </w:p>
  </w:footnote>
  <w:footnote w:id="59">
    <w:p w14:paraId="3529B884" w14:textId="327D5B13" w:rsidR="00C01216" w:rsidRPr="004A12C5" w:rsidRDefault="00C01216" w:rsidP="004A12C5">
      <w:pPr>
        <w:pStyle w:val="FootnoteText"/>
        <w:jc w:val="both"/>
        <w:rPr>
          <w:rFonts w:ascii="Arial" w:hAnsi="Arial" w:cs="Arial"/>
          <w:sz w:val="18"/>
          <w:szCs w:val="18"/>
          <w:lang w:val="sr-Cyrl-RS"/>
        </w:rPr>
      </w:pPr>
      <w:r w:rsidRPr="00C44AF2">
        <w:rPr>
          <w:rStyle w:val="FootnoteReference"/>
          <w:rFonts w:ascii="Times New Roman" w:hAnsi="Times New Roman" w:cs="Times New Roman"/>
        </w:rPr>
        <w:footnoteRef/>
      </w:r>
      <w:r w:rsidRPr="00C44AF2">
        <w:rPr>
          <w:rFonts w:ascii="Times New Roman" w:hAnsi="Times New Roman" w:cs="Times New Roman"/>
          <w:lang w:val="sr-Cyrl-RS"/>
        </w:rPr>
        <w:t xml:space="preserve"> </w:t>
      </w:r>
      <w:r w:rsidRPr="00C44AF2">
        <w:rPr>
          <w:rFonts w:ascii="Times New Roman" w:hAnsi="Times New Roman" w:cs="Times New Roman"/>
          <w:sz w:val="18"/>
          <w:szCs w:val="18"/>
          <w:lang w:val="sr-Cyrl-RS"/>
        </w:rPr>
        <w:t>У тренутку финализације нацрта ПРСЛС 2026-2030 постао је доступан и најновији податак у овом погледу, наиме: закључно са фебруаром 2026. године 90 ЈЛС је унело своје поступке, што представља 62,1% свих локалних самоуправа у Републици Србији.</w:t>
      </w:r>
      <w:r w:rsidRPr="003F3E5C">
        <w:rPr>
          <w:rFonts w:ascii="Arial" w:hAnsi="Arial" w:cs="Arial"/>
          <w:sz w:val="18"/>
          <w:szCs w:val="18"/>
          <w:lang w:val="sr-Cyrl-RS"/>
        </w:rPr>
        <w:t xml:space="preserve"> </w:t>
      </w:r>
      <w:r w:rsidRPr="00913ED9">
        <w:rPr>
          <w:rFonts w:ascii="Arial" w:hAnsi="Arial" w:cs="Arial"/>
          <w:sz w:val="18"/>
          <w:szCs w:val="18"/>
          <w:lang w:val="sr-Cyrl-RS"/>
        </w:rPr>
        <w:t xml:space="preserve"> </w:t>
      </w:r>
    </w:p>
  </w:footnote>
  <w:footnote w:id="60">
    <w:p w14:paraId="287251F3" w14:textId="50B0DF6D" w:rsidR="00C01216" w:rsidRPr="0078271E" w:rsidRDefault="00C01216" w:rsidP="003C1A14">
      <w:pPr>
        <w:pStyle w:val="FootnoteText"/>
        <w:rPr>
          <w:rFonts w:ascii="Times New Roman" w:hAnsi="Times New Roman" w:cs="Times New Roman"/>
          <w:sz w:val="16"/>
          <w:szCs w:val="16"/>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w:t>
      </w:r>
      <w:r w:rsidRPr="0078271E">
        <w:rPr>
          <w:rFonts w:ascii="Times New Roman" w:hAnsi="Times New Roman" w:cs="Times New Roman"/>
          <w:sz w:val="18"/>
          <w:szCs w:val="18"/>
          <w:lang w:val="sr-Latn-RS"/>
        </w:rPr>
        <w:t>Public</w:t>
      </w:r>
      <w:r w:rsidRPr="0078271E">
        <w:rPr>
          <w:rFonts w:ascii="Times New Roman" w:hAnsi="Times New Roman" w:cs="Times New Roman"/>
          <w:sz w:val="18"/>
          <w:szCs w:val="18"/>
          <w:lang w:val="sr-Cyrl-RS"/>
        </w:rPr>
        <w:t xml:space="preserve"> </w:t>
      </w:r>
      <w:r w:rsidRPr="0078271E">
        <w:rPr>
          <w:rFonts w:ascii="Times New Roman" w:hAnsi="Times New Roman" w:cs="Times New Roman"/>
          <w:sz w:val="18"/>
          <w:szCs w:val="18"/>
          <w:lang w:val="sr-Latn-RS"/>
        </w:rPr>
        <w:t>administrationin</w:t>
      </w:r>
      <w:r w:rsidRPr="0078271E">
        <w:rPr>
          <w:rFonts w:ascii="Times New Roman" w:hAnsi="Times New Roman" w:cs="Times New Roman"/>
          <w:sz w:val="18"/>
          <w:szCs w:val="18"/>
          <w:lang w:val="sr-Cyrl-RS"/>
        </w:rPr>
        <w:t xml:space="preserve"> </w:t>
      </w:r>
      <w:r w:rsidRPr="0078271E">
        <w:rPr>
          <w:rFonts w:ascii="Times New Roman" w:hAnsi="Times New Roman" w:cs="Times New Roman"/>
          <w:sz w:val="18"/>
          <w:szCs w:val="18"/>
          <w:lang w:val="sr-Latn-RS"/>
        </w:rPr>
        <w:t>Serbia</w:t>
      </w:r>
      <w:r w:rsidRPr="0078271E">
        <w:rPr>
          <w:rFonts w:ascii="Times New Roman" w:hAnsi="Times New Roman" w:cs="Times New Roman"/>
          <w:sz w:val="18"/>
          <w:szCs w:val="18"/>
          <w:lang w:val="sr-Cyrl-RS"/>
        </w:rPr>
        <w:t xml:space="preserve"> 2024 – </w:t>
      </w:r>
      <w:r w:rsidRPr="0078271E">
        <w:rPr>
          <w:rFonts w:ascii="Times New Roman" w:hAnsi="Times New Roman" w:cs="Times New Roman"/>
          <w:sz w:val="18"/>
          <w:szCs w:val="18"/>
          <w:lang w:val="sr-Latn-RS"/>
        </w:rPr>
        <w:t>SIGMA</w:t>
      </w:r>
      <w:r w:rsidRPr="0078271E">
        <w:rPr>
          <w:rFonts w:ascii="Times New Roman" w:hAnsi="Times New Roman" w:cs="Times New Roman"/>
          <w:sz w:val="18"/>
          <w:szCs w:val="18"/>
          <w:lang w:val="sr-Cyrl-RS"/>
        </w:rPr>
        <w:t xml:space="preserve"> - </w:t>
      </w:r>
      <w:hyperlink r:id="rId10" w:history="1">
        <w:r w:rsidRPr="0078271E">
          <w:rPr>
            <w:rStyle w:val="Hyperlink"/>
            <w:rFonts w:ascii="Times New Roman" w:hAnsi="Times New Roman" w:cs="Times New Roman"/>
            <w:sz w:val="18"/>
            <w:szCs w:val="18"/>
            <w:lang w:val="sr-Latn-RS"/>
          </w:rPr>
          <w:t>https</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www</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sigmaweb</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org</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en</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publications</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public</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administration</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in</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serbia</w:t>
        </w:r>
        <w:r w:rsidRPr="0078271E">
          <w:rPr>
            <w:rStyle w:val="Hyperlink"/>
            <w:rFonts w:ascii="Times New Roman" w:hAnsi="Times New Roman" w:cs="Times New Roman"/>
            <w:sz w:val="18"/>
            <w:szCs w:val="18"/>
            <w:lang w:val="sr-Cyrl-RS"/>
          </w:rPr>
          <w:t>-2024_02001</w:t>
        </w:r>
        <w:r w:rsidRPr="0078271E">
          <w:rPr>
            <w:rStyle w:val="Hyperlink"/>
            <w:rFonts w:ascii="Times New Roman" w:hAnsi="Times New Roman" w:cs="Times New Roman"/>
            <w:sz w:val="18"/>
            <w:szCs w:val="18"/>
            <w:lang w:val="sr-Latn-RS"/>
          </w:rPr>
          <w:t>fe</w:t>
        </w:r>
        <w:r w:rsidRPr="0078271E">
          <w:rPr>
            <w:rStyle w:val="Hyperlink"/>
            <w:rFonts w:ascii="Times New Roman" w:hAnsi="Times New Roman" w:cs="Times New Roman"/>
            <w:sz w:val="18"/>
            <w:szCs w:val="18"/>
            <w:lang w:val="sr-Cyrl-RS"/>
          </w:rPr>
          <w:t>4-</w:t>
        </w:r>
        <w:r w:rsidRPr="0078271E">
          <w:rPr>
            <w:rStyle w:val="Hyperlink"/>
            <w:rFonts w:ascii="Times New Roman" w:hAnsi="Times New Roman" w:cs="Times New Roman"/>
            <w:sz w:val="18"/>
            <w:szCs w:val="18"/>
            <w:lang w:val="sr-Latn-RS"/>
          </w:rPr>
          <w:t>en</w:t>
        </w:r>
        <w:r w:rsidRPr="0078271E">
          <w:rPr>
            <w:rStyle w:val="Hyperlink"/>
            <w:rFonts w:ascii="Times New Roman" w:hAnsi="Times New Roman" w:cs="Times New Roman"/>
            <w:sz w:val="18"/>
            <w:szCs w:val="18"/>
            <w:lang w:val="sr-Cyrl-RS"/>
          </w:rPr>
          <w:t>.</w:t>
        </w:r>
        <w:r w:rsidRPr="0078271E">
          <w:rPr>
            <w:rStyle w:val="Hyperlink"/>
            <w:rFonts w:ascii="Times New Roman" w:hAnsi="Times New Roman" w:cs="Times New Roman"/>
            <w:sz w:val="18"/>
            <w:szCs w:val="18"/>
            <w:lang w:val="sr-Latn-RS"/>
          </w:rPr>
          <w:t>html</w:t>
        </w:r>
      </w:hyperlink>
      <w:r w:rsidRPr="0078271E">
        <w:rPr>
          <w:rFonts w:ascii="Times New Roman" w:hAnsi="Times New Roman" w:cs="Times New Roman"/>
          <w:lang w:val="sr-Cyrl-RS"/>
        </w:rPr>
        <w:t xml:space="preserve"> </w:t>
      </w:r>
    </w:p>
  </w:footnote>
  <w:footnote w:id="61">
    <w:p w14:paraId="0B20AEC9" w14:textId="163AE3EC" w:rsidR="00C01216" w:rsidRPr="0078271E" w:rsidRDefault="00C01216" w:rsidP="00FE3C3B">
      <w:pPr>
        <w:rPr>
          <w:rFonts w:ascii="Times New Roman" w:eastAsia="Times New Roman" w:hAnsi="Times New Roman" w:cs="Times New Roman"/>
          <w:bCs/>
          <w:iCs/>
          <w:sz w:val="18"/>
          <w:szCs w:val="18"/>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w:t>
      </w:r>
      <w:r w:rsidRPr="0078271E">
        <w:rPr>
          <w:rFonts w:ascii="Times New Roman" w:hAnsi="Times New Roman" w:cs="Times New Roman"/>
          <w:iCs/>
          <w:sz w:val="18"/>
          <w:szCs w:val="18"/>
          <w:lang w:val="sr-Cyrl-RS"/>
        </w:rPr>
        <w:t>„Сл. гласник РС”, бр. 88/2011, 104/2016, 95/2018 и 94/2024</w:t>
      </w:r>
    </w:p>
    <w:p w14:paraId="76145963" w14:textId="37FC29DF" w:rsidR="00C01216" w:rsidRPr="008255F7" w:rsidRDefault="00C01216">
      <w:pPr>
        <w:pStyle w:val="FootnoteText"/>
        <w:rPr>
          <w:lang w:val="sr-Cyrl-RS"/>
        </w:rPr>
      </w:pPr>
    </w:p>
  </w:footnote>
  <w:footnote w:id="62">
    <w:p w14:paraId="5D725E96" w14:textId="7EF71CE7" w:rsidR="00C01216" w:rsidRPr="00A36864" w:rsidRDefault="00C01216" w:rsidP="00EF31C0">
      <w:pPr>
        <w:pStyle w:val="FootnoteText"/>
        <w:jc w:val="both"/>
        <w:rPr>
          <w:rFonts w:ascii="Arial" w:hAnsi="Arial" w:cs="Arial"/>
          <w:sz w:val="18"/>
          <w:szCs w:val="18"/>
          <w:lang w:val="sr-Cyrl-RS"/>
        </w:rPr>
      </w:pPr>
      <w:r w:rsidRPr="00A36864">
        <w:rPr>
          <w:rStyle w:val="FootnoteReference"/>
          <w:rFonts w:ascii="Arial" w:hAnsi="Arial" w:cs="Arial"/>
          <w:sz w:val="18"/>
          <w:szCs w:val="18"/>
        </w:rPr>
        <w:footnoteRef/>
      </w:r>
      <w:r w:rsidRPr="00A36864">
        <w:rPr>
          <w:rFonts w:ascii="Arial" w:hAnsi="Arial" w:cs="Arial"/>
          <w:sz w:val="18"/>
          <w:szCs w:val="18"/>
          <w:lang w:val="sr-Cyrl-RS"/>
        </w:rPr>
        <w:t xml:space="preserve"> Везе са ЦОР предочене су у наставку текста Програма код сваког посебног циља. У смислу категоризације показатеља посебних циљева ПРСЛС који се повезују са показатељима ЦОР, на овом месту наглашавамо да сви припадају типу </w:t>
      </w:r>
      <w:r w:rsidRPr="00A36864">
        <w:rPr>
          <w:rFonts w:ascii="Arial" w:hAnsi="Arial" w:cs="Arial"/>
          <w:i/>
          <w:iCs/>
          <w:sz w:val="18"/>
          <w:szCs w:val="18"/>
          <w:lang w:val="sr-Cyrl-RS"/>
        </w:rPr>
        <w:t>допунских</w:t>
      </w:r>
      <w:r w:rsidRPr="00A36864">
        <w:rPr>
          <w:rFonts w:ascii="Arial" w:hAnsi="Arial" w:cs="Arial"/>
          <w:sz w:val="18"/>
          <w:szCs w:val="18"/>
          <w:lang w:val="sr-Cyrl-RS"/>
        </w:rPr>
        <w:t xml:space="preserve"> показатеља. Тј. њихова формулација се разликује од формулације УН глобалног показатеља циља, односно потциља одрживог развоја, али је одговарајућа за предметни документ јавне политике и користи се као допуна УН показатеља за потребе праћења ЦОР у контексту овог ПРСЛС (типологија показатеља у складу са </w:t>
      </w:r>
      <w:r w:rsidRPr="00A36864">
        <w:rPr>
          <w:rFonts w:ascii="Arial" w:hAnsi="Arial" w:cs="Arial"/>
          <w:i/>
          <w:iCs/>
          <w:sz w:val="18"/>
          <w:szCs w:val="18"/>
          <w:lang w:val="sr-Cyrl-RS"/>
        </w:rPr>
        <w:t>Методологијом за повезивање циљева ДЈП са ЦОР</w:t>
      </w:r>
      <w:r w:rsidRPr="00A36864">
        <w:rPr>
          <w:rFonts w:ascii="Arial" w:hAnsi="Arial" w:cs="Arial"/>
          <w:sz w:val="18"/>
          <w:szCs w:val="18"/>
          <w:lang w:val="sr-Cyrl-RS"/>
        </w:rPr>
        <w:t xml:space="preserve">, РСЈП, септембар 2025: </w:t>
      </w:r>
      <w:hyperlink r:id="rId11" w:history="1">
        <w:r w:rsidRPr="00A36864">
          <w:rPr>
            <w:rStyle w:val="Hyperlink"/>
            <w:rFonts w:ascii="Arial" w:hAnsi="Arial" w:cs="Arial"/>
            <w:sz w:val="18"/>
            <w:szCs w:val="18"/>
            <w:lang w:val="sr-Cyrl-RS"/>
          </w:rPr>
          <w:t>https://rsjp.gov.rs/wp-content/uploads/Методологија-за-повезивање-циљева-ДЈП-са-циљевима-одрживог-развоја.pdf</w:t>
        </w:r>
      </w:hyperlink>
      <w:r w:rsidRPr="00A36864">
        <w:rPr>
          <w:rFonts w:ascii="Arial" w:hAnsi="Arial" w:cs="Arial"/>
          <w:sz w:val="18"/>
          <w:szCs w:val="18"/>
          <w:lang w:val="sr-Cyrl-RS"/>
        </w:rPr>
        <w:t xml:space="preserve"> )</w:t>
      </w:r>
    </w:p>
  </w:footnote>
  <w:footnote w:id="63">
    <w:p w14:paraId="6964382C" w14:textId="4569ED69" w:rsidR="00C01216" w:rsidRPr="0078271E" w:rsidRDefault="00C01216" w:rsidP="0049143A">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У смислу члана 9. став 3. Уредбе о методологији израде докумената јавних политика/ДЈП („Службени гласник РС“, број 20 од 7. марта 2025.).</w:t>
      </w:r>
    </w:p>
  </w:footnote>
  <w:footnote w:id="64">
    <w:p w14:paraId="18B7A50C" w14:textId="52017F4D" w:rsidR="00C01216" w:rsidRPr="0078271E" w:rsidRDefault="00C01216" w:rsidP="00125231">
      <w:pPr>
        <w:pStyle w:val="FootnoteText"/>
        <w:jc w:val="both"/>
        <w:rPr>
          <w:rFonts w:ascii="Times New Roman" w:hAnsi="Times New Roman" w:cs="Times New Roman"/>
          <w:sz w:val="18"/>
          <w:szCs w:val="18"/>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Питања у складу са чл. 9. и Прилогом 4 Уредбе о методологији израде ДЈП. Упоредни прегледи израђени су у форми помоћних табела које су у процесу припреме новог Програма послужиле као оријентир за уклапање са новим методолошким захтевима у складу са важећом Уредбом. Представљале су допунски радни материјал за чланове радне групе приликом заузимања ставова и формулисања предлога за модификацију постојећих и/или увођење нових мера на нивоу посебних циљева (тј., за парцијалну адаптацију опција за достизање посебних циљева).</w:t>
      </w:r>
    </w:p>
  </w:footnote>
  <w:footnote w:id="65">
    <w:p w14:paraId="60F6F31E" w14:textId="3B971EB7" w:rsidR="00C01216" w:rsidRPr="00B9502C" w:rsidRDefault="00C01216">
      <w:pPr>
        <w:pStyle w:val="FootnoteText"/>
        <w:rPr>
          <w:rStyle w:val="FootnoteReference"/>
          <w:rFonts w:asciiTheme="majorBidi" w:hAnsiTheme="majorBidi" w:cstheme="majorBidi"/>
          <w:lang w:val="sr-Cyrl-RS"/>
        </w:rPr>
      </w:pPr>
      <w:r w:rsidRPr="0078271E">
        <w:rPr>
          <w:rStyle w:val="FootnoteReference"/>
          <w:rFonts w:ascii="Times New Roman" w:hAnsi="Times New Roman" w:cs="Times New Roman"/>
          <w:sz w:val="18"/>
          <w:szCs w:val="18"/>
        </w:rPr>
        <w:footnoteRef/>
      </w:r>
      <w:r w:rsidRPr="0078271E">
        <w:rPr>
          <w:rFonts w:ascii="Times New Roman" w:hAnsi="Times New Roman" w:cs="Times New Roman"/>
          <w:sz w:val="18"/>
          <w:szCs w:val="18"/>
          <w:lang w:val="sr-Cyrl-RS"/>
        </w:rPr>
        <w:t xml:space="preserve"> При сагледавању ризика на нивоу ПРСЛС 2026-2030 узета су обзир и руководећа питања у складу са чл. 16. и Прилогом 10 Уредбе о методологији израде ДЈП.</w:t>
      </w:r>
      <w:r w:rsidRPr="0078271E">
        <w:rPr>
          <w:rFonts w:ascii="Times New Roman" w:hAnsi="Times New Roman" w:cs="Times New Roman"/>
          <w:lang w:val="sr-Cyrl-RS"/>
        </w:rPr>
        <w:t xml:space="preserve"> </w:t>
      </w:r>
      <w:r w:rsidRPr="0078271E">
        <w:rPr>
          <w:rStyle w:val="FootnoteReference"/>
          <w:rFonts w:ascii="Times New Roman" w:hAnsi="Times New Roman" w:cs="Times New Roman"/>
          <w:lang w:val="sr-Cyrl-RS"/>
        </w:rPr>
        <w:t xml:space="preserve"> </w:t>
      </w:r>
    </w:p>
  </w:footnote>
  <w:footnote w:id="66">
    <w:p w14:paraId="16320ECB" w14:textId="74859096" w:rsidR="00C01216" w:rsidRPr="00351E8F" w:rsidRDefault="00C01216" w:rsidP="000811FF">
      <w:pPr>
        <w:pStyle w:val="FootnoteText"/>
        <w:jc w:val="both"/>
        <w:rPr>
          <w:rStyle w:val="FootnoteReference"/>
          <w:rFonts w:ascii="Times New Roman" w:hAnsi="Times New Roman" w:cs="Times New Roman"/>
          <w:sz w:val="18"/>
          <w:szCs w:val="18"/>
          <w:lang w:val="sr-Cyrl-RS"/>
        </w:rPr>
      </w:pPr>
      <w:r w:rsidRPr="00351E8F">
        <w:rPr>
          <w:rStyle w:val="FootnoteReference"/>
          <w:rFonts w:ascii="Times New Roman" w:hAnsi="Times New Roman" w:cs="Times New Roman"/>
          <w:sz w:val="18"/>
          <w:szCs w:val="18"/>
        </w:rPr>
        <w:footnoteRef/>
      </w:r>
      <w:r w:rsidRPr="00351E8F">
        <w:rPr>
          <w:rFonts w:ascii="Times New Roman" w:hAnsi="Times New Roman" w:cs="Times New Roman"/>
          <w:sz w:val="18"/>
          <w:szCs w:val="18"/>
          <w:lang w:val="sr-Cyrl-RS"/>
        </w:rPr>
        <w:t xml:space="preserve"> Нумеричке ознаке – вредности код предметног индикатора у односу на два обухваћена закона, подразумевају следеће: 0 – полазно стање које се односи на Закон о ЛС (са последњим изменама и допунама из 2021. године) и Закон о допуни Закона о потврђивању ЕПЛС (допуна из 2025. године закључно са којом је Република Србија ратификовала укупно 27 од 30 одредби из Првог дела Повеље); 1 – очекивано стање у складу са којим би до краја 2027. године биле усвојене измене и допуне Закона о ЛС; 2 – очекивано стање у складу са којим би до краја 2030. године био усвојен и нови Закон о допуни Закона о потврђивању ЕПЛС (закључно са којим би Република Србија ратификовала и преостале одредбе из Првог дела Повеље).  </w:t>
      </w:r>
    </w:p>
  </w:footnote>
  <w:footnote w:id="67">
    <w:p w14:paraId="517C2345" w14:textId="46ECF01D" w:rsidR="00C01216" w:rsidRPr="00A01805" w:rsidRDefault="00C01216" w:rsidP="008255F7">
      <w:pPr>
        <w:spacing w:after="0"/>
        <w:rPr>
          <w:rFonts w:ascii="Times New Roman" w:hAnsi="Times New Roman" w:cs="Times New Roman"/>
          <w:sz w:val="18"/>
          <w:szCs w:val="18"/>
          <w:lang w:val="sr-Cyrl-RS"/>
        </w:rPr>
      </w:pPr>
      <w:r w:rsidRPr="00A01805">
        <w:rPr>
          <w:rStyle w:val="FootnoteReference"/>
          <w:rFonts w:ascii="Times New Roman" w:hAnsi="Times New Roman" w:cs="Times New Roman"/>
          <w:sz w:val="18"/>
          <w:szCs w:val="18"/>
        </w:rPr>
        <w:footnoteRef/>
      </w:r>
      <w:r w:rsidRPr="00A01805">
        <w:rPr>
          <w:rFonts w:ascii="Times New Roman" w:hAnsi="Times New Roman" w:cs="Times New Roman"/>
          <w:sz w:val="18"/>
          <w:szCs w:val="18"/>
          <w:lang w:val="sr-Cyrl-RS"/>
        </w:rPr>
        <w:t xml:space="preserve"> Уредба о капиталним пројектима „Сл. гласник РС”, бр. 79/2023</w:t>
      </w:r>
    </w:p>
  </w:footnote>
  <w:footnote w:id="68">
    <w:p w14:paraId="5F77BDD7" w14:textId="5E8EB3DE" w:rsidR="00C01216" w:rsidRPr="00C514A8" w:rsidRDefault="00C01216" w:rsidP="008255F7">
      <w:pPr>
        <w:pStyle w:val="FootnoteText"/>
        <w:rPr>
          <w:sz w:val="18"/>
          <w:szCs w:val="18"/>
          <w:lang w:val="sr-Cyrl-RS"/>
        </w:rPr>
      </w:pPr>
      <w:r w:rsidRPr="00A01805">
        <w:rPr>
          <w:rStyle w:val="FootnoteReference"/>
          <w:rFonts w:ascii="Times New Roman" w:hAnsi="Times New Roman" w:cs="Times New Roman"/>
          <w:sz w:val="18"/>
          <w:szCs w:val="18"/>
        </w:rPr>
        <w:footnoteRef/>
      </w:r>
      <w:r w:rsidRPr="00A01805">
        <w:rPr>
          <w:rFonts w:ascii="Times New Roman" w:hAnsi="Times New Roman" w:cs="Times New Roman"/>
          <w:sz w:val="18"/>
          <w:szCs w:val="18"/>
          <w:lang w:val="sr-Cyrl-RS"/>
        </w:rPr>
        <w:t xml:space="preserve"> Приручник објављен 2025. године, доступан на: </w:t>
      </w:r>
      <w:hyperlink r:id="rId12" w:history="1">
        <w:r w:rsidRPr="00A01805">
          <w:rPr>
            <w:rStyle w:val="Hyperlink"/>
            <w:rFonts w:ascii="Times New Roman" w:hAnsi="Times New Roman" w:cs="Times New Roman"/>
            <w:sz w:val="18"/>
            <w:szCs w:val="18"/>
            <w:lang w:val="sr-Cyrl-RS"/>
          </w:rPr>
          <w:t>https://www.skgo.org/storage/app/uploads/public/175/515/816/1755158163_Prirucnik%20za%20primenu%20Uredbe%20o%20KP%20u%20LS%20sa%20prilozima.zip</w:t>
        </w:r>
      </w:hyperlink>
      <w:r>
        <w:rPr>
          <w:sz w:val="18"/>
          <w:szCs w:val="18"/>
          <w:lang w:val="sr-Cyrl-RS"/>
        </w:rPr>
        <w:t xml:space="preserve"> </w:t>
      </w:r>
    </w:p>
  </w:footnote>
  <w:footnote w:id="69">
    <w:p w14:paraId="78CD454C" w14:textId="4819E76E" w:rsidR="00C01216" w:rsidRPr="00532944" w:rsidRDefault="00C01216" w:rsidP="003C1A14">
      <w:pPr>
        <w:pStyle w:val="FootnoteText"/>
        <w:jc w:val="both"/>
        <w:rPr>
          <w:rFonts w:ascii="Times New Roman" w:hAnsi="Times New Roman" w:cs="Times New Roman"/>
          <w:sz w:val="18"/>
          <w:szCs w:val="18"/>
          <w:lang w:val="sr-Latn-RS"/>
        </w:rPr>
      </w:pPr>
      <w:r w:rsidRPr="00532944">
        <w:rPr>
          <w:rStyle w:val="FootnoteReference"/>
          <w:rFonts w:ascii="Times New Roman" w:hAnsi="Times New Roman" w:cs="Times New Roman"/>
          <w:sz w:val="18"/>
          <w:szCs w:val="18"/>
          <w:lang w:val="sr-Cyrl-RS"/>
        </w:rPr>
        <w:footnoteRef/>
      </w:r>
      <w:r w:rsidRPr="00532944">
        <w:rPr>
          <w:rFonts w:ascii="Times New Roman" w:hAnsi="Times New Roman" w:cs="Times New Roman"/>
          <w:sz w:val="18"/>
          <w:szCs w:val="18"/>
          <w:lang w:val="sr-Cyrl-RS"/>
        </w:rPr>
        <w:t xml:space="preserve"> Eвропски кодекс о партнерству у оквиру Европских структурних и инвестиционих фондова (Уредба ЕК бр. 240/14 од 07.01.2014): </w:t>
      </w:r>
      <w:hyperlink r:id="rId13" w:history="1">
        <w:r w:rsidRPr="00532944">
          <w:rPr>
            <w:rStyle w:val="Hyperlink"/>
            <w:rFonts w:ascii="Times New Roman" w:hAnsi="Times New Roman" w:cs="Times New Roman"/>
            <w:sz w:val="18"/>
            <w:szCs w:val="18"/>
            <w:lang w:val="sr-Cyrl-RS"/>
          </w:rPr>
          <w:t>https://eur-lex.europa.eu/eli/reg_del/2014/240/oj/eng</w:t>
        </w:r>
      </w:hyperlink>
      <w:r w:rsidRPr="00532944">
        <w:rPr>
          <w:rFonts w:ascii="Times New Roman" w:hAnsi="Times New Roman" w:cs="Times New Roman"/>
          <w:sz w:val="18"/>
          <w:szCs w:val="18"/>
          <w:lang w:val="sr-Latn-RS"/>
        </w:rPr>
        <w:t xml:space="preserve"> </w:t>
      </w:r>
    </w:p>
  </w:footnote>
  <w:footnote w:id="70">
    <w:p w14:paraId="0668D36E" w14:textId="77777777" w:rsidR="00C01216" w:rsidRPr="00944C88" w:rsidRDefault="00C01216" w:rsidP="00335E1F">
      <w:pPr>
        <w:pStyle w:val="FootnoteText"/>
        <w:jc w:val="both"/>
        <w:rPr>
          <w:rFonts w:ascii="Times New Roman" w:hAnsi="Times New Roman" w:cs="Times New Roman"/>
          <w:sz w:val="18"/>
          <w:szCs w:val="18"/>
          <w:lang w:val="sr-Cyrl-RS"/>
        </w:rPr>
      </w:pPr>
      <w:r w:rsidRPr="00944C88">
        <w:rPr>
          <w:rStyle w:val="FootnoteReference"/>
          <w:rFonts w:ascii="Times New Roman" w:hAnsi="Times New Roman" w:cs="Times New Roman"/>
          <w:sz w:val="18"/>
          <w:szCs w:val="18"/>
          <w:lang w:val="sr-Cyrl-RS"/>
        </w:rPr>
        <w:footnoteRef/>
      </w:r>
      <w:r w:rsidRPr="00944C88">
        <w:rPr>
          <w:rFonts w:ascii="Times New Roman" w:hAnsi="Times New Roman" w:cs="Times New Roman"/>
          <w:sz w:val="18"/>
          <w:szCs w:val="18"/>
          <w:lang w:val="sr-Cyrl-RS"/>
        </w:rPr>
        <w:t xml:space="preserve"> Програм подршке развоју и функционисању система локалне самоуправе – на основу Правилника о начину и критеријумима расподеле средстава за финансирање Програма подршке развоју и функционисању система локалне самоуправе (МДУЛС, „Службени гласник РС”, бр. 101 од 27. октобра 2021, бр. 69 од 12. августа 2024).</w:t>
      </w:r>
    </w:p>
  </w:footnote>
  <w:footnote w:id="71">
    <w:p w14:paraId="7B46F269" w14:textId="3E2BEB46" w:rsidR="00C01216" w:rsidRPr="00D76B68" w:rsidRDefault="00C01216" w:rsidP="00902F2F">
      <w:pPr>
        <w:pStyle w:val="FootnoteText"/>
        <w:jc w:val="both"/>
        <w:rPr>
          <w:rFonts w:ascii="Times New Roman" w:hAnsi="Times New Roman" w:cs="Times New Roman"/>
          <w:color w:val="EE0000"/>
          <w:sz w:val="18"/>
          <w:szCs w:val="18"/>
          <w:lang w:val="sr-Cyrl-RS"/>
        </w:rPr>
      </w:pPr>
      <w:r w:rsidRPr="00D76B68">
        <w:rPr>
          <w:rStyle w:val="FootnoteReference"/>
          <w:rFonts w:ascii="Times New Roman" w:hAnsi="Times New Roman" w:cs="Times New Roman"/>
          <w:sz w:val="18"/>
          <w:szCs w:val="18"/>
        </w:rPr>
        <w:footnoteRef/>
      </w:r>
      <w:r w:rsidRPr="00D76B68">
        <w:rPr>
          <w:rFonts w:ascii="Times New Roman" w:hAnsi="Times New Roman" w:cs="Times New Roman"/>
          <w:sz w:val="18"/>
          <w:szCs w:val="18"/>
          <w:lang w:val="sr-Latn-RS"/>
        </w:rPr>
        <w:t xml:space="preserve"> </w:t>
      </w:r>
      <w:r w:rsidRPr="00D76B68">
        <w:rPr>
          <w:rFonts w:ascii="Times New Roman" w:hAnsi="Times New Roman" w:cs="Times New Roman"/>
          <w:sz w:val="18"/>
          <w:szCs w:val="18"/>
          <w:lang w:val="sr-Cyrl-RS"/>
        </w:rPr>
        <w:t>Решењем министра државне управе и локалне самоуправе о образовању Посебне радне групе за израду Акционог плана за период од 2026. до 2030. године за спровођење Стратегије реформе јавне управе у Републици Србији за период од 2021. до 2030. године и пратећих програма – од 28.01.2025. године (</w:t>
      </w:r>
      <w:hyperlink r:id="rId14" w:history="1">
        <w:r w:rsidRPr="00D76B68">
          <w:rPr>
            <w:rStyle w:val="Hyperlink"/>
            <w:rFonts w:ascii="Times New Roman" w:hAnsi="Times New Roman" w:cs="Times New Roman"/>
            <w:color w:val="auto"/>
            <w:sz w:val="18"/>
            <w:szCs w:val="18"/>
            <w:lang w:val="sr-Cyrl-RS"/>
          </w:rPr>
          <w:t>https://monitoring.mduls.gov.rs/upload/media/0/0/0/11932/Resenje%202026-2030..pdf</w:t>
        </w:r>
      </w:hyperlink>
      <w:r w:rsidRPr="00D76B68">
        <w:rPr>
          <w:rFonts w:ascii="Times New Roman" w:hAnsi="Times New Roman" w:cs="Times New Roman"/>
          <w:sz w:val="18"/>
          <w:szCs w:val="18"/>
          <w:lang w:val="sr-Cyrl-RS"/>
        </w:rPr>
        <w:t xml:space="preserve"> ) – образоване су и подгрупе Посебне радне групе за конкретне тематске области. У том смислу, истим решењем је образована и подгрупа за тематску област: Систем локалне самоуправе, са задатком да изради предлог ПРСЛС за период 2026-2030. са акционим планом.</w:t>
      </w:r>
    </w:p>
  </w:footnote>
  <w:footnote w:id="72">
    <w:p w14:paraId="5A91D10E" w14:textId="55D3FEC3" w:rsidR="00C01216" w:rsidRPr="00E63E75" w:rsidRDefault="00C01216" w:rsidP="00117FDB">
      <w:pPr>
        <w:pStyle w:val="FootnoteText"/>
        <w:jc w:val="both"/>
        <w:rPr>
          <w:rFonts w:ascii="Arial" w:hAnsi="Arial" w:cs="Arial"/>
          <w:sz w:val="18"/>
          <w:szCs w:val="18"/>
          <w:lang w:val="sr-Cyrl-RS"/>
        </w:rPr>
      </w:pPr>
      <w:r w:rsidRPr="00E63E75">
        <w:rPr>
          <w:rStyle w:val="FootnoteReference"/>
          <w:rFonts w:ascii="Arial" w:hAnsi="Arial" w:cs="Arial"/>
          <w:sz w:val="18"/>
          <w:szCs w:val="18"/>
        </w:rPr>
        <w:footnoteRef/>
      </w:r>
      <w:r w:rsidRPr="00E63E75">
        <w:rPr>
          <w:rFonts w:ascii="Arial" w:hAnsi="Arial" w:cs="Arial"/>
          <w:sz w:val="18"/>
          <w:szCs w:val="18"/>
          <w:lang w:val="sr-Cyrl-RS"/>
        </w:rPr>
        <w:t xml:space="preserve"> </w:t>
      </w:r>
      <w:r w:rsidRPr="0078271E">
        <w:rPr>
          <w:rFonts w:ascii="Times New Roman" w:hAnsi="Times New Roman" w:cs="Times New Roman"/>
          <w:sz w:val="18"/>
          <w:szCs w:val="18"/>
          <w:lang w:val="sr-Cyrl-RS"/>
        </w:rPr>
        <w:t>Република Србија (РС) је потписала ЕПЛС, која је и потврђена у Народној скупштини усвајањем Закона о потврђивању ЕПЛС („Службени гласник Републике Србије – Међународни уговори”, број 70/07) и ступила на снагу у погледу РС 01. јануара 2008. године. При томе је РС иницијално прихватила 24 од 30 одредби/ставова из првог дела Повеље. РС је први пут допунила ЕПЛС одредбама Закона о потврђивању додатног протокола ЕПЛС о праву да се учествује у пословима локалних власти, који је усвојен 15. јуна 2018. године (при чему није било прихватања нових ставова/одредби из Првог дела Повеље). Друга допуна ЕПЛС уследила је 2025. године, када су прихваћене још 3 одредбе из Првог дела Повеље - Законом о допуни Закона о потврђивању ЕПЛС усвојеним 22.10.2025. године (ступио на снагу осам дана од објављивања: „Службени гласник Републике Србије – Међународни уговори”, број 10/2025).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452C"/>
    <w:multiLevelType w:val="hybridMultilevel"/>
    <w:tmpl w:val="8708C600"/>
    <w:lvl w:ilvl="0" w:tplc="896C64D8">
      <w:start w:val="1"/>
      <w:numFmt w:val="decimal"/>
      <w:lvlText w:val="%1."/>
      <w:lvlJc w:val="left"/>
      <w:pPr>
        <w:ind w:left="720" w:hanging="360"/>
      </w:pPr>
      <w:rPr>
        <w:rFonts w:ascii="Times New Roman" w:hAnsi="Times New Roman" w:cs="Times New Roman"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3A62B4"/>
    <w:multiLevelType w:val="multilevel"/>
    <w:tmpl w:val="AA36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CD6A12"/>
    <w:multiLevelType w:val="multilevel"/>
    <w:tmpl w:val="034E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E251AF"/>
    <w:multiLevelType w:val="hybridMultilevel"/>
    <w:tmpl w:val="D366A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C49EC"/>
    <w:multiLevelType w:val="hybridMultilevel"/>
    <w:tmpl w:val="8CC6F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D17823"/>
    <w:multiLevelType w:val="hybridMultilevel"/>
    <w:tmpl w:val="925668B6"/>
    <w:lvl w:ilvl="0" w:tplc="07A800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9722FD8"/>
    <w:multiLevelType w:val="hybridMultilevel"/>
    <w:tmpl w:val="8708C600"/>
    <w:lvl w:ilvl="0" w:tplc="FFFFFFFF">
      <w:start w:val="1"/>
      <w:numFmt w:val="decimal"/>
      <w:lvlText w:val="%1."/>
      <w:lvlJc w:val="left"/>
      <w:pPr>
        <w:ind w:left="720" w:hanging="360"/>
      </w:pPr>
      <w:rPr>
        <w:rFonts w:ascii="Times New Roman" w:hAnsi="Times New Roman" w:cs="Times New Roman"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AE2475"/>
    <w:multiLevelType w:val="hybridMultilevel"/>
    <w:tmpl w:val="B494388A"/>
    <w:lvl w:ilvl="0" w:tplc="08090003">
      <w:start w:val="1"/>
      <w:numFmt w:val="bullet"/>
      <w:lvlText w:val="o"/>
      <w:lvlJc w:val="left"/>
      <w:pPr>
        <w:ind w:left="857" w:hanging="360"/>
      </w:pPr>
      <w:rPr>
        <w:rFonts w:ascii="Courier New" w:hAnsi="Courier New" w:cs="Courier New" w:hint="default"/>
      </w:rPr>
    </w:lvl>
    <w:lvl w:ilvl="1" w:tplc="08090003" w:tentative="1">
      <w:start w:val="1"/>
      <w:numFmt w:val="bullet"/>
      <w:lvlText w:val="o"/>
      <w:lvlJc w:val="left"/>
      <w:pPr>
        <w:ind w:left="1577" w:hanging="360"/>
      </w:pPr>
      <w:rPr>
        <w:rFonts w:ascii="Courier New" w:hAnsi="Courier New" w:cs="Courier New" w:hint="default"/>
      </w:rPr>
    </w:lvl>
    <w:lvl w:ilvl="2" w:tplc="08090005" w:tentative="1">
      <w:start w:val="1"/>
      <w:numFmt w:val="bullet"/>
      <w:lvlText w:val=""/>
      <w:lvlJc w:val="left"/>
      <w:pPr>
        <w:ind w:left="2297" w:hanging="360"/>
      </w:pPr>
      <w:rPr>
        <w:rFonts w:ascii="Wingdings" w:hAnsi="Wingdings" w:hint="default"/>
      </w:rPr>
    </w:lvl>
    <w:lvl w:ilvl="3" w:tplc="08090001" w:tentative="1">
      <w:start w:val="1"/>
      <w:numFmt w:val="bullet"/>
      <w:lvlText w:val=""/>
      <w:lvlJc w:val="left"/>
      <w:pPr>
        <w:ind w:left="3017" w:hanging="360"/>
      </w:pPr>
      <w:rPr>
        <w:rFonts w:ascii="Symbol" w:hAnsi="Symbol" w:hint="default"/>
      </w:rPr>
    </w:lvl>
    <w:lvl w:ilvl="4" w:tplc="08090003" w:tentative="1">
      <w:start w:val="1"/>
      <w:numFmt w:val="bullet"/>
      <w:lvlText w:val="o"/>
      <w:lvlJc w:val="left"/>
      <w:pPr>
        <w:ind w:left="3737" w:hanging="360"/>
      </w:pPr>
      <w:rPr>
        <w:rFonts w:ascii="Courier New" w:hAnsi="Courier New" w:cs="Courier New" w:hint="default"/>
      </w:rPr>
    </w:lvl>
    <w:lvl w:ilvl="5" w:tplc="08090005" w:tentative="1">
      <w:start w:val="1"/>
      <w:numFmt w:val="bullet"/>
      <w:lvlText w:val=""/>
      <w:lvlJc w:val="left"/>
      <w:pPr>
        <w:ind w:left="4457" w:hanging="360"/>
      </w:pPr>
      <w:rPr>
        <w:rFonts w:ascii="Wingdings" w:hAnsi="Wingdings" w:hint="default"/>
      </w:rPr>
    </w:lvl>
    <w:lvl w:ilvl="6" w:tplc="08090001" w:tentative="1">
      <w:start w:val="1"/>
      <w:numFmt w:val="bullet"/>
      <w:lvlText w:val=""/>
      <w:lvlJc w:val="left"/>
      <w:pPr>
        <w:ind w:left="5177" w:hanging="360"/>
      </w:pPr>
      <w:rPr>
        <w:rFonts w:ascii="Symbol" w:hAnsi="Symbol" w:hint="default"/>
      </w:rPr>
    </w:lvl>
    <w:lvl w:ilvl="7" w:tplc="08090003" w:tentative="1">
      <w:start w:val="1"/>
      <w:numFmt w:val="bullet"/>
      <w:lvlText w:val="o"/>
      <w:lvlJc w:val="left"/>
      <w:pPr>
        <w:ind w:left="5897" w:hanging="360"/>
      </w:pPr>
      <w:rPr>
        <w:rFonts w:ascii="Courier New" w:hAnsi="Courier New" w:cs="Courier New" w:hint="default"/>
      </w:rPr>
    </w:lvl>
    <w:lvl w:ilvl="8" w:tplc="08090005" w:tentative="1">
      <w:start w:val="1"/>
      <w:numFmt w:val="bullet"/>
      <w:lvlText w:val=""/>
      <w:lvlJc w:val="left"/>
      <w:pPr>
        <w:ind w:left="6617" w:hanging="360"/>
      </w:pPr>
      <w:rPr>
        <w:rFonts w:ascii="Wingdings" w:hAnsi="Wingdings" w:hint="default"/>
      </w:rPr>
    </w:lvl>
  </w:abstractNum>
  <w:abstractNum w:abstractNumId="8" w15:restartNumberingAfterBreak="0">
    <w:nsid w:val="2CFB4D22"/>
    <w:multiLevelType w:val="multilevel"/>
    <w:tmpl w:val="CFA4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AC74A3"/>
    <w:multiLevelType w:val="multilevel"/>
    <w:tmpl w:val="B2C6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00DEC"/>
    <w:multiLevelType w:val="hybridMultilevel"/>
    <w:tmpl w:val="80EE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3168F"/>
    <w:multiLevelType w:val="hybridMultilevel"/>
    <w:tmpl w:val="3C86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A82ECA"/>
    <w:multiLevelType w:val="hybridMultilevel"/>
    <w:tmpl w:val="FCBEC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8D5479"/>
    <w:multiLevelType w:val="hybridMultilevel"/>
    <w:tmpl w:val="CF0C8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0C44C3"/>
    <w:multiLevelType w:val="hybridMultilevel"/>
    <w:tmpl w:val="843C8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9309C2"/>
    <w:multiLevelType w:val="hybridMultilevel"/>
    <w:tmpl w:val="99C80682"/>
    <w:lvl w:ilvl="0" w:tplc="E786845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26871"/>
    <w:multiLevelType w:val="hybridMultilevel"/>
    <w:tmpl w:val="61E6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52413"/>
    <w:multiLevelType w:val="hybridMultilevel"/>
    <w:tmpl w:val="D82A464C"/>
    <w:lvl w:ilvl="0" w:tplc="D84EE398">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FC2C11"/>
    <w:multiLevelType w:val="multilevel"/>
    <w:tmpl w:val="B72EFCE8"/>
    <w:lvl w:ilvl="0">
      <w:start w:val="1"/>
      <w:numFmt w:val="decimal"/>
      <w:lvlText w:val="%1."/>
      <w:lvlJc w:val="left"/>
      <w:pPr>
        <w:ind w:left="720" w:hanging="360"/>
      </w:pPr>
      <w:rPr>
        <w:rFonts w:hint="default"/>
        <w:sz w:val="28"/>
        <w:szCs w:val="28"/>
      </w:rPr>
    </w:lvl>
    <w:lvl w:ilvl="1">
      <w:start w:val="1"/>
      <w:numFmt w:val="decimal"/>
      <w:isLgl/>
      <w:lvlText w:val="%1.%2."/>
      <w:lvlJc w:val="left"/>
      <w:pPr>
        <w:ind w:left="1440" w:hanging="720"/>
      </w:pPr>
      <w:rPr>
        <w:rFonts w:ascii="Times New Roman" w:hAnsi="Times New Roman" w:cs="Times New Roman" w:hint="default"/>
        <w:b/>
        <w:bCs/>
        <w:color w:val="auto"/>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54FE6D78"/>
    <w:multiLevelType w:val="hybridMultilevel"/>
    <w:tmpl w:val="30580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D41EF3"/>
    <w:multiLevelType w:val="hybridMultilevel"/>
    <w:tmpl w:val="D4CE7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D4253C"/>
    <w:multiLevelType w:val="hybridMultilevel"/>
    <w:tmpl w:val="99C8068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7A62CD"/>
    <w:multiLevelType w:val="multilevel"/>
    <w:tmpl w:val="575E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213E24"/>
    <w:multiLevelType w:val="multilevel"/>
    <w:tmpl w:val="4D94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08508A"/>
    <w:multiLevelType w:val="hybridMultilevel"/>
    <w:tmpl w:val="ED7AF0B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5E26E7"/>
    <w:multiLevelType w:val="multilevel"/>
    <w:tmpl w:val="6C72EF04"/>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6A6D22C6"/>
    <w:multiLevelType w:val="hybridMultilevel"/>
    <w:tmpl w:val="97C0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AE6C21"/>
    <w:multiLevelType w:val="hybridMultilevel"/>
    <w:tmpl w:val="EFE4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077A12"/>
    <w:multiLevelType w:val="hybridMultilevel"/>
    <w:tmpl w:val="AF02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D5F4E"/>
    <w:multiLevelType w:val="hybridMultilevel"/>
    <w:tmpl w:val="FFAC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03024A"/>
    <w:multiLevelType w:val="hybridMultilevel"/>
    <w:tmpl w:val="F304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22"/>
  </w:num>
  <w:num w:numId="4">
    <w:abstractNumId w:val="16"/>
  </w:num>
  <w:num w:numId="5">
    <w:abstractNumId w:val="17"/>
  </w:num>
  <w:num w:numId="6">
    <w:abstractNumId w:val="0"/>
  </w:num>
  <w:num w:numId="7">
    <w:abstractNumId w:val="6"/>
  </w:num>
  <w:num w:numId="8">
    <w:abstractNumId w:val="10"/>
  </w:num>
  <w:num w:numId="9">
    <w:abstractNumId w:val="24"/>
  </w:num>
  <w:num w:numId="10">
    <w:abstractNumId w:val="26"/>
  </w:num>
  <w:num w:numId="11">
    <w:abstractNumId w:val="15"/>
  </w:num>
  <w:num w:numId="12">
    <w:abstractNumId w:val="21"/>
  </w:num>
  <w:num w:numId="13">
    <w:abstractNumId w:val="25"/>
  </w:num>
  <w:num w:numId="14">
    <w:abstractNumId w:val="1"/>
  </w:num>
  <w:num w:numId="15">
    <w:abstractNumId w:val="9"/>
  </w:num>
  <w:num w:numId="16">
    <w:abstractNumId w:val="8"/>
  </w:num>
  <w:num w:numId="17">
    <w:abstractNumId w:val="23"/>
  </w:num>
  <w:num w:numId="18">
    <w:abstractNumId w:val="2"/>
  </w:num>
  <w:num w:numId="19">
    <w:abstractNumId w:val="13"/>
  </w:num>
  <w:num w:numId="20">
    <w:abstractNumId w:val="30"/>
  </w:num>
  <w:num w:numId="21">
    <w:abstractNumId w:val="29"/>
  </w:num>
  <w:num w:numId="22">
    <w:abstractNumId w:val="28"/>
  </w:num>
  <w:num w:numId="23">
    <w:abstractNumId w:val="7"/>
  </w:num>
  <w:num w:numId="24">
    <w:abstractNumId w:val="12"/>
  </w:num>
  <w:num w:numId="25">
    <w:abstractNumId w:val="4"/>
  </w:num>
  <w:num w:numId="26">
    <w:abstractNumId w:val="5"/>
  </w:num>
  <w:num w:numId="27">
    <w:abstractNumId w:val="14"/>
  </w:num>
  <w:num w:numId="28">
    <w:abstractNumId w:val="19"/>
  </w:num>
  <w:num w:numId="29">
    <w:abstractNumId w:val="20"/>
  </w:num>
  <w:num w:numId="30">
    <w:abstractNumId w:val="3"/>
  </w:num>
  <w:num w:numId="31">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AE6"/>
    <w:rsid w:val="000005EF"/>
    <w:rsid w:val="00000611"/>
    <w:rsid w:val="000007EA"/>
    <w:rsid w:val="000007EE"/>
    <w:rsid w:val="00000C28"/>
    <w:rsid w:val="00000C75"/>
    <w:rsid w:val="00000D77"/>
    <w:rsid w:val="00001102"/>
    <w:rsid w:val="00001212"/>
    <w:rsid w:val="000018A9"/>
    <w:rsid w:val="00001C5C"/>
    <w:rsid w:val="00001D87"/>
    <w:rsid w:val="00001DCF"/>
    <w:rsid w:val="000024BD"/>
    <w:rsid w:val="0000262C"/>
    <w:rsid w:val="0000288F"/>
    <w:rsid w:val="000029F7"/>
    <w:rsid w:val="000031B0"/>
    <w:rsid w:val="000032AB"/>
    <w:rsid w:val="000033F5"/>
    <w:rsid w:val="00003461"/>
    <w:rsid w:val="0000366A"/>
    <w:rsid w:val="000037D9"/>
    <w:rsid w:val="000038A6"/>
    <w:rsid w:val="00003C45"/>
    <w:rsid w:val="00004194"/>
    <w:rsid w:val="000041A9"/>
    <w:rsid w:val="000041D6"/>
    <w:rsid w:val="000042B2"/>
    <w:rsid w:val="000046DE"/>
    <w:rsid w:val="0000477B"/>
    <w:rsid w:val="0000497B"/>
    <w:rsid w:val="00004D92"/>
    <w:rsid w:val="00005122"/>
    <w:rsid w:val="000053A7"/>
    <w:rsid w:val="00005948"/>
    <w:rsid w:val="00005968"/>
    <w:rsid w:val="0000598E"/>
    <w:rsid w:val="00005C97"/>
    <w:rsid w:val="000065E8"/>
    <w:rsid w:val="00006650"/>
    <w:rsid w:val="00006681"/>
    <w:rsid w:val="00006872"/>
    <w:rsid w:val="00006897"/>
    <w:rsid w:val="00006CDD"/>
    <w:rsid w:val="0000730D"/>
    <w:rsid w:val="000078BA"/>
    <w:rsid w:val="00007CCC"/>
    <w:rsid w:val="00007E14"/>
    <w:rsid w:val="00007E59"/>
    <w:rsid w:val="000100CD"/>
    <w:rsid w:val="00010402"/>
    <w:rsid w:val="00010521"/>
    <w:rsid w:val="000105D8"/>
    <w:rsid w:val="0001081E"/>
    <w:rsid w:val="00010C1D"/>
    <w:rsid w:val="00010F82"/>
    <w:rsid w:val="00011077"/>
    <w:rsid w:val="000110A7"/>
    <w:rsid w:val="000110E7"/>
    <w:rsid w:val="000111E0"/>
    <w:rsid w:val="000112FC"/>
    <w:rsid w:val="00011376"/>
    <w:rsid w:val="000113C5"/>
    <w:rsid w:val="00011621"/>
    <w:rsid w:val="0001167E"/>
    <w:rsid w:val="0001175D"/>
    <w:rsid w:val="00012013"/>
    <w:rsid w:val="00012366"/>
    <w:rsid w:val="0001251D"/>
    <w:rsid w:val="00012581"/>
    <w:rsid w:val="00012A97"/>
    <w:rsid w:val="00012B5E"/>
    <w:rsid w:val="0001302E"/>
    <w:rsid w:val="00013214"/>
    <w:rsid w:val="000132C1"/>
    <w:rsid w:val="0001332B"/>
    <w:rsid w:val="00013D8C"/>
    <w:rsid w:val="00013E59"/>
    <w:rsid w:val="00013ECD"/>
    <w:rsid w:val="00013EDE"/>
    <w:rsid w:val="0001407A"/>
    <w:rsid w:val="00014429"/>
    <w:rsid w:val="0001443C"/>
    <w:rsid w:val="000145D2"/>
    <w:rsid w:val="000148FD"/>
    <w:rsid w:val="000149B0"/>
    <w:rsid w:val="00014BFB"/>
    <w:rsid w:val="00015C8D"/>
    <w:rsid w:val="0001612C"/>
    <w:rsid w:val="000162DF"/>
    <w:rsid w:val="00016570"/>
    <w:rsid w:val="00016A93"/>
    <w:rsid w:val="00016EA1"/>
    <w:rsid w:val="00017285"/>
    <w:rsid w:val="00017291"/>
    <w:rsid w:val="000178DA"/>
    <w:rsid w:val="000179CC"/>
    <w:rsid w:val="00017CEA"/>
    <w:rsid w:val="00017D20"/>
    <w:rsid w:val="00017E6C"/>
    <w:rsid w:val="00017E9D"/>
    <w:rsid w:val="00017F0D"/>
    <w:rsid w:val="0002025E"/>
    <w:rsid w:val="00020714"/>
    <w:rsid w:val="000212EC"/>
    <w:rsid w:val="000216AF"/>
    <w:rsid w:val="00021CF3"/>
    <w:rsid w:val="00022105"/>
    <w:rsid w:val="000221DD"/>
    <w:rsid w:val="00022385"/>
    <w:rsid w:val="0002243F"/>
    <w:rsid w:val="00022842"/>
    <w:rsid w:val="00022B94"/>
    <w:rsid w:val="00022E05"/>
    <w:rsid w:val="00023327"/>
    <w:rsid w:val="0002370E"/>
    <w:rsid w:val="000239A8"/>
    <w:rsid w:val="00024085"/>
    <w:rsid w:val="0002426C"/>
    <w:rsid w:val="000242FD"/>
    <w:rsid w:val="00024351"/>
    <w:rsid w:val="000243BF"/>
    <w:rsid w:val="000243EF"/>
    <w:rsid w:val="0002465A"/>
    <w:rsid w:val="0002472B"/>
    <w:rsid w:val="00024C20"/>
    <w:rsid w:val="00024D63"/>
    <w:rsid w:val="000254E9"/>
    <w:rsid w:val="000257F8"/>
    <w:rsid w:val="00025865"/>
    <w:rsid w:val="00025A42"/>
    <w:rsid w:val="00025BBA"/>
    <w:rsid w:val="00025E36"/>
    <w:rsid w:val="0002615C"/>
    <w:rsid w:val="0002654E"/>
    <w:rsid w:val="00026E1B"/>
    <w:rsid w:val="0002725C"/>
    <w:rsid w:val="0002754B"/>
    <w:rsid w:val="00027BDA"/>
    <w:rsid w:val="00027C4B"/>
    <w:rsid w:val="00027FDC"/>
    <w:rsid w:val="00030182"/>
    <w:rsid w:val="0003026D"/>
    <w:rsid w:val="00030743"/>
    <w:rsid w:val="00031246"/>
    <w:rsid w:val="0003160A"/>
    <w:rsid w:val="00031928"/>
    <w:rsid w:val="00031E0F"/>
    <w:rsid w:val="00031EDE"/>
    <w:rsid w:val="00032003"/>
    <w:rsid w:val="00032CD4"/>
    <w:rsid w:val="00032E02"/>
    <w:rsid w:val="00032ECA"/>
    <w:rsid w:val="00032FEC"/>
    <w:rsid w:val="00033E53"/>
    <w:rsid w:val="0003442A"/>
    <w:rsid w:val="0003487F"/>
    <w:rsid w:val="00034D4D"/>
    <w:rsid w:val="00034D52"/>
    <w:rsid w:val="00034D6D"/>
    <w:rsid w:val="00034E7D"/>
    <w:rsid w:val="00034EFE"/>
    <w:rsid w:val="00035494"/>
    <w:rsid w:val="0003559E"/>
    <w:rsid w:val="00035646"/>
    <w:rsid w:val="00035845"/>
    <w:rsid w:val="000360E0"/>
    <w:rsid w:val="00036121"/>
    <w:rsid w:val="00036831"/>
    <w:rsid w:val="00036AB0"/>
    <w:rsid w:val="00037015"/>
    <w:rsid w:val="0003716B"/>
    <w:rsid w:val="000372FA"/>
    <w:rsid w:val="0003762B"/>
    <w:rsid w:val="000379B2"/>
    <w:rsid w:val="00037E6E"/>
    <w:rsid w:val="00037EC8"/>
    <w:rsid w:val="0004030D"/>
    <w:rsid w:val="000405DF"/>
    <w:rsid w:val="00040878"/>
    <w:rsid w:val="0004096A"/>
    <w:rsid w:val="00040B26"/>
    <w:rsid w:val="00040E30"/>
    <w:rsid w:val="0004111D"/>
    <w:rsid w:val="0004127A"/>
    <w:rsid w:val="00041704"/>
    <w:rsid w:val="00041823"/>
    <w:rsid w:val="00041B82"/>
    <w:rsid w:val="00041C72"/>
    <w:rsid w:val="0004240A"/>
    <w:rsid w:val="0004277F"/>
    <w:rsid w:val="00043092"/>
    <w:rsid w:val="00043223"/>
    <w:rsid w:val="00043423"/>
    <w:rsid w:val="00043587"/>
    <w:rsid w:val="00043A85"/>
    <w:rsid w:val="00043C13"/>
    <w:rsid w:val="00043D44"/>
    <w:rsid w:val="000440E2"/>
    <w:rsid w:val="0004446D"/>
    <w:rsid w:val="00044880"/>
    <w:rsid w:val="00044D54"/>
    <w:rsid w:val="00044E0D"/>
    <w:rsid w:val="000451A3"/>
    <w:rsid w:val="000452BD"/>
    <w:rsid w:val="0004530F"/>
    <w:rsid w:val="000454EC"/>
    <w:rsid w:val="0004562A"/>
    <w:rsid w:val="000457A0"/>
    <w:rsid w:val="00045A66"/>
    <w:rsid w:val="00045D64"/>
    <w:rsid w:val="000461BB"/>
    <w:rsid w:val="000461DC"/>
    <w:rsid w:val="00046225"/>
    <w:rsid w:val="0004627C"/>
    <w:rsid w:val="00046660"/>
    <w:rsid w:val="0004682D"/>
    <w:rsid w:val="0004682F"/>
    <w:rsid w:val="00046D24"/>
    <w:rsid w:val="00046F3D"/>
    <w:rsid w:val="000473EB"/>
    <w:rsid w:val="000473EE"/>
    <w:rsid w:val="00047446"/>
    <w:rsid w:val="00047E65"/>
    <w:rsid w:val="00050404"/>
    <w:rsid w:val="000505EA"/>
    <w:rsid w:val="000507B9"/>
    <w:rsid w:val="00050E68"/>
    <w:rsid w:val="00050EDE"/>
    <w:rsid w:val="000516B0"/>
    <w:rsid w:val="00051814"/>
    <w:rsid w:val="00051B0E"/>
    <w:rsid w:val="00051FCF"/>
    <w:rsid w:val="0005207D"/>
    <w:rsid w:val="000523BB"/>
    <w:rsid w:val="0005264C"/>
    <w:rsid w:val="0005283A"/>
    <w:rsid w:val="00052C34"/>
    <w:rsid w:val="00052CC9"/>
    <w:rsid w:val="00052DB4"/>
    <w:rsid w:val="00053886"/>
    <w:rsid w:val="00053C9D"/>
    <w:rsid w:val="00054151"/>
    <w:rsid w:val="000542A5"/>
    <w:rsid w:val="000542AB"/>
    <w:rsid w:val="00054412"/>
    <w:rsid w:val="00054735"/>
    <w:rsid w:val="00054839"/>
    <w:rsid w:val="00054C35"/>
    <w:rsid w:val="00055056"/>
    <w:rsid w:val="00055308"/>
    <w:rsid w:val="00055320"/>
    <w:rsid w:val="000557C5"/>
    <w:rsid w:val="00055825"/>
    <w:rsid w:val="000558C1"/>
    <w:rsid w:val="00055C54"/>
    <w:rsid w:val="00055F31"/>
    <w:rsid w:val="00055F86"/>
    <w:rsid w:val="00056414"/>
    <w:rsid w:val="00056694"/>
    <w:rsid w:val="00057144"/>
    <w:rsid w:val="0005756D"/>
    <w:rsid w:val="00057AD3"/>
    <w:rsid w:val="00057D64"/>
    <w:rsid w:val="000602DB"/>
    <w:rsid w:val="000603A8"/>
    <w:rsid w:val="000603F3"/>
    <w:rsid w:val="00060402"/>
    <w:rsid w:val="0006109D"/>
    <w:rsid w:val="0006138B"/>
    <w:rsid w:val="00061BCE"/>
    <w:rsid w:val="00061C5F"/>
    <w:rsid w:val="0006272A"/>
    <w:rsid w:val="00062F8C"/>
    <w:rsid w:val="00063220"/>
    <w:rsid w:val="00063869"/>
    <w:rsid w:val="000638DD"/>
    <w:rsid w:val="00063B57"/>
    <w:rsid w:val="000642E7"/>
    <w:rsid w:val="000643D9"/>
    <w:rsid w:val="000648E7"/>
    <w:rsid w:val="00064D71"/>
    <w:rsid w:val="0006506E"/>
    <w:rsid w:val="000650AD"/>
    <w:rsid w:val="0006559C"/>
    <w:rsid w:val="000656B8"/>
    <w:rsid w:val="00065CE5"/>
    <w:rsid w:val="00065DF0"/>
    <w:rsid w:val="00065F85"/>
    <w:rsid w:val="000667EF"/>
    <w:rsid w:val="00066849"/>
    <w:rsid w:val="00066CAF"/>
    <w:rsid w:val="00066F07"/>
    <w:rsid w:val="00067402"/>
    <w:rsid w:val="00067A06"/>
    <w:rsid w:val="00067EBC"/>
    <w:rsid w:val="0007011E"/>
    <w:rsid w:val="00070305"/>
    <w:rsid w:val="000708D4"/>
    <w:rsid w:val="000708F5"/>
    <w:rsid w:val="000711A6"/>
    <w:rsid w:val="000714AD"/>
    <w:rsid w:val="0007174A"/>
    <w:rsid w:val="00071907"/>
    <w:rsid w:val="000719E0"/>
    <w:rsid w:val="00071BEE"/>
    <w:rsid w:val="00071D40"/>
    <w:rsid w:val="00071DC9"/>
    <w:rsid w:val="00071EC1"/>
    <w:rsid w:val="0007228C"/>
    <w:rsid w:val="000722C9"/>
    <w:rsid w:val="0007254F"/>
    <w:rsid w:val="00072700"/>
    <w:rsid w:val="00072ACA"/>
    <w:rsid w:val="00072C7E"/>
    <w:rsid w:val="00072D8F"/>
    <w:rsid w:val="00072DA2"/>
    <w:rsid w:val="000730FF"/>
    <w:rsid w:val="000732B2"/>
    <w:rsid w:val="00073597"/>
    <w:rsid w:val="000740CA"/>
    <w:rsid w:val="000740DC"/>
    <w:rsid w:val="000740EC"/>
    <w:rsid w:val="00074206"/>
    <w:rsid w:val="000743B0"/>
    <w:rsid w:val="00074691"/>
    <w:rsid w:val="00074840"/>
    <w:rsid w:val="00074C24"/>
    <w:rsid w:val="00075720"/>
    <w:rsid w:val="0007582A"/>
    <w:rsid w:val="000758EC"/>
    <w:rsid w:val="000759E4"/>
    <w:rsid w:val="00075D68"/>
    <w:rsid w:val="00076402"/>
    <w:rsid w:val="000766B3"/>
    <w:rsid w:val="00076781"/>
    <w:rsid w:val="000767E2"/>
    <w:rsid w:val="00076ADB"/>
    <w:rsid w:val="00076BAE"/>
    <w:rsid w:val="00076EDC"/>
    <w:rsid w:val="00077116"/>
    <w:rsid w:val="0007719D"/>
    <w:rsid w:val="00077223"/>
    <w:rsid w:val="000773C5"/>
    <w:rsid w:val="0007778C"/>
    <w:rsid w:val="000779D6"/>
    <w:rsid w:val="00077B36"/>
    <w:rsid w:val="00077DA3"/>
    <w:rsid w:val="00077E35"/>
    <w:rsid w:val="000801D4"/>
    <w:rsid w:val="00080317"/>
    <w:rsid w:val="0008032C"/>
    <w:rsid w:val="000804A4"/>
    <w:rsid w:val="000808D7"/>
    <w:rsid w:val="00080B96"/>
    <w:rsid w:val="000811FF"/>
    <w:rsid w:val="00081353"/>
    <w:rsid w:val="00081520"/>
    <w:rsid w:val="00081AF1"/>
    <w:rsid w:val="00081F8A"/>
    <w:rsid w:val="00082D91"/>
    <w:rsid w:val="000830F1"/>
    <w:rsid w:val="000831A9"/>
    <w:rsid w:val="00083283"/>
    <w:rsid w:val="00083284"/>
    <w:rsid w:val="00083362"/>
    <w:rsid w:val="00083505"/>
    <w:rsid w:val="00083D05"/>
    <w:rsid w:val="000840BB"/>
    <w:rsid w:val="0008446C"/>
    <w:rsid w:val="00084835"/>
    <w:rsid w:val="0008489D"/>
    <w:rsid w:val="00084BD2"/>
    <w:rsid w:val="000850B2"/>
    <w:rsid w:val="000853E1"/>
    <w:rsid w:val="00085567"/>
    <w:rsid w:val="00085782"/>
    <w:rsid w:val="0008599E"/>
    <w:rsid w:val="00085C87"/>
    <w:rsid w:val="000862FA"/>
    <w:rsid w:val="00086B5E"/>
    <w:rsid w:val="00086E5D"/>
    <w:rsid w:val="00087018"/>
    <w:rsid w:val="0008703E"/>
    <w:rsid w:val="000871D8"/>
    <w:rsid w:val="0008763D"/>
    <w:rsid w:val="0008779F"/>
    <w:rsid w:val="00087832"/>
    <w:rsid w:val="00087B66"/>
    <w:rsid w:val="00087C9C"/>
    <w:rsid w:val="00087F8F"/>
    <w:rsid w:val="0009009B"/>
    <w:rsid w:val="000904B6"/>
    <w:rsid w:val="000906CB"/>
    <w:rsid w:val="00090884"/>
    <w:rsid w:val="00090A1E"/>
    <w:rsid w:val="00090EE4"/>
    <w:rsid w:val="00091020"/>
    <w:rsid w:val="000913DB"/>
    <w:rsid w:val="00091486"/>
    <w:rsid w:val="00091684"/>
    <w:rsid w:val="00091750"/>
    <w:rsid w:val="0009207E"/>
    <w:rsid w:val="000926A0"/>
    <w:rsid w:val="000926F5"/>
    <w:rsid w:val="0009276B"/>
    <w:rsid w:val="000927A1"/>
    <w:rsid w:val="0009288C"/>
    <w:rsid w:val="00092967"/>
    <w:rsid w:val="00092D99"/>
    <w:rsid w:val="000935B5"/>
    <w:rsid w:val="00093928"/>
    <w:rsid w:val="00093988"/>
    <w:rsid w:val="00093BD6"/>
    <w:rsid w:val="00093E30"/>
    <w:rsid w:val="00094400"/>
    <w:rsid w:val="00094435"/>
    <w:rsid w:val="000946C6"/>
    <w:rsid w:val="0009485B"/>
    <w:rsid w:val="00094EC8"/>
    <w:rsid w:val="00095203"/>
    <w:rsid w:val="00095833"/>
    <w:rsid w:val="00095B61"/>
    <w:rsid w:val="00095E29"/>
    <w:rsid w:val="00095F78"/>
    <w:rsid w:val="0009607B"/>
    <w:rsid w:val="000960F7"/>
    <w:rsid w:val="000963FD"/>
    <w:rsid w:val="00096D2A"/>
    <w:rsid w:val="00096D67"/>
    <w:rsid w:val="00097286"/>
    <w:rsid w:val="000972BE"/>
    <w:rsid w:val="000977C5"/>
    <w:rsid w:val="00097E17"/>
    <w:rsid w:val="000A00F7"/>
    <w:rsid w:val="000A0105"/>
    <w:rsid w:val="000A0203"/>
    <w:rsid w:val="000A0252"/>
    <w:rsid w:val="000A04A4"/>
    <w:rsid w:val="000A0628"/>
    <w:rsid w:val="000A06C8"/>
    <w:rsid w:val="000A0E93"/>
    <w:rsid w:val="000A13FC"/>
    <w:rsid w:val="000A144A"/>
    <w:rsid w:val="000A1501"/>
    <w:rsid w:val="000A1A1D"/>
    <w:rsid w:val="000A1E57"/>
    <w:rsid w:val="000A1E72"/>
    <w:rsid w:val="000A1FAC"/>
    <w:rsid w:val="000A2740"/>
    <w:rsid w:val="000A2797"/>
    <w:rsid w:val="000A296D"/>
    <w:rsid w:val="000A2E63"/>
    <w:rsid w:val="000A2F41"/>
    <w:rsid w:val="000A2FCF"/>
    <w:rsid w:val="000A3037"/>
    <w:rsid w:val="000A31BF"/>
    <w:rsid w:val="000A32DD"/>
    <w:rsid w:val="000A3372"/>
    <w:rsid w:val="000A33E8"/>
    <w:rsid w:val="000A3A06"/>
    <w:rsid w:val="000A3E9A"/>
    <w:rsid w:val="000A3F7D"/>
    <w:rsid w:val="000A41A8"/>
    <w:rsid w:val="000A42BB"/>
    <w:rsid w:val="000A4A75"/>
    <w:rsid w:val="000A4C72"/>
    <w:rsid w:val="000A5180"/>
    <w:rsid w:val="000A51C4"/>
    <w:rsid w:val="000A5863"/>
    <w:rsid w:val="000A6717"/>
    <w:rsid w:val="000A6B9B"/>
    <w:rsid w:val="000A6D46"/>
    <w:rsid w:val="000A7412"/>
    <w:rsid w:val="000A75D3"/>
    <w:rsid w:val="000A7EE2"/>
    <w:rsid w:val="000A7F7A"/>
    <w:rsid w:val="000B00F4"/>
    <w:rsid w:val="000B011C"/>
    <w:rsid w:val="000B0245"/>
    <w:rsid w:val="000B0368"/>
    <w:rsid w:val="000B0ABD"/>
    <w:rsid w:val="000B0B6F"/>
    <w:rsid w:val="000B0E24"/>
    <w:rsid w:val="000B1090"/>
    <w:rsid w:val="000B1484"/>
    <w:rsid w:val="000B1665"/>
    <w:rsid w:val="000B16E5"/>
    <w:rsid w:val="000B17FF"/>
    <w:rsid w:val="000B1961"/>
    <w:rsid w:val="000B1BDB"/>
    <w:rsid w:val="000B1C67"/>
    <w:rsid w:val="000B1E59"/>
    <w:rsid w:val="000B1E6D"/>
    <w:rsid w:val="000B2045"/>
    <w:rsid w:val="000B2403"/>
    <w:rsid w:val="000B2889"/>
    <w:rsid w:val="000B31F1"/>
    <w:rsid w:val="000B3C23"/>
    <w:rsid w:val="000B3C4F"/>
    <w:rsid w:val="000B430E"/>
    <w:rsid w:val="000B484C"/>
    <w:rsid w:val="000B51E9"/>
    <w:rsid w:val="000B5495"/>
    <w:rsid w:val="000B54D7"/>
    <w:rsid w:val="000B5755"/>
    <w:rsid w:val="000B5887"/>
    <w:rsid w:val="000B5C7B"/>
    <w:rsid w:val="000B5E88"/>
    <w:rsid w:val="000B6335"/>
    <w:rsid w:val="000B6345"/>
    <w:rsid w:val="000B6581"/>
    <w:rsid w:val="000B659E"/>
    <w:rsid w:val="000B67D9"/>
    <w:rsid w:val="000B6C03"/>
    <w:rsid w:val="000B6FC4"/>
    <w:rsid w:val="000B71FC"/>
    <w:rsid w:val="000B72C1"/>
    <w:rsid w:val="000B7355"/>
    <w:rsid w:val="000B7855"/>
    <w:rsid w:val="000B7BB8"/>
    <w:rsid w:val="000B7F72"/>
    <w:rsid w:val="000C02F1"/>
    <w:rsid w:val="000C0553"/>
    <w:rsid w:val="000C0C05"/>
    <w:rsid w:val="000C0DF5"/>
    <w:rsid w:val="000C0E04"/>
    <w:rsid w:val="000C0EBF"/>
    <w:rsid w:val="000C0F1B"/>
    <w:rsid w:val="000C0F2C"/>
    <w:rsid w:val="000C0F81"/>
    <w:rsid w:val="000C0FF4"/>
    <w:rsid w:val="000C148A"/>
    <w:rsid w:val="000C15BF"/>
    <w:rsid w:val="000C1694"/>
    <w:rsid w:val="000C1A7C"/>
    <w:rsid w:val="000C1B71"/>
    <w:rsid w:val="000C1D43"/>
    <w:rsid w:val="000C226F"/>
    <w:rsid w:val="000C2283"/>
    <w:rsid w:val="000C26B2"/>
    <w:rsid w:val="000C2727"/>
    <w:rsid w:val="000C27A5"/>
    <w:rsid w:val="000C27F1"/>
    <w:rsid w:val="000C2AC7"/>
    <w:rsid w:val="000C2ACE"/>
    <w:rsid w:val="000C2F24"/>
    <w:rsid w:val="000C2FEA"/>
    <w:rsid w:val="000C3DB4"/>
    <w:rsid w:val="000C3E1A"/>
    <w:rsid w:val="000C3F87"/>
    <w:rsid w:val="000C41E3"/>
    <w:rsid w:val="000C44BD"/>
    <w:rsid w:val="000C4574"/>
    <w:rsid w:val="000C478B"/>
    <w:rsid w:val="000C4B08"/>
    <w:rsid w:val="000C4C15"/>
    <w:rsid w:val="000C5018"/>
    <w:rsid w:val="000C54A2"/>
    <w:rsid w:val="000C55F4"/>
    <w:rsid w:val="000C59A4"/>
    <w:rsid w:val="000C5C30"/>
    <w:rsid w:val="000C5C4B"/>
    <w:rsid w:val="000C65DC"/>
    <w:rsid w:val="000C738A"/>
    <w:rsid w:val="000C7404"/>
    <w:rsid w:val="000C79F8"/>
    <w:rsid w:val="000C7C6E"/>
    <w:rsid w:val="000D03F2"/>
    <w:rsid w:val="000D0637"/>
    <w:rsid w:val="000D14E7"/>
    <w:rsid w:val="000D15DF"/>
    <w:rsid w:val="000D1AEC"/>
    <w:rsid w:val="000D241A"/>
    <w:rsid w:val="000D27AA"/>
    <w:rsid w:val="000D2AEE"/>
    <w:rsid w:val="000D2B3E"/>
    <w:rsid w:val="000D3112"/>
    <w:rsid w:val="000D315B"/>
    <w:rsid w:val="000D3294"/>
    <w:rsid w:val="000D3542"/>
    <w:rsid w:val="000D35EE"/>
    <w:rsid w:val="000D374D"/>
    <w:rsid w:val="000D3DE4"/>
    <w:rsid w:val="000D3E62"/>
    <w:rsid w:val="000D419C"/>
    <w:rsid w:val="000D425C"/>
    <w:rsid w:val="000D4671"/>
    <w:rsid w:val="000D48CE"/>
    <w:rsid w:val="000D4A9E"/>
    <w:rsid w:val="000D4D31"/>
    <w:rsid w:val="000D4EC2"/>
    <w:rsid w:val="000D5932"/>
    <w:rsid w:val="000D5959"/>
    <w:rsid w:val="000D5C42"/>
    <w:rsid w:val="000D6029"/>
    <w:rsid w:val="000D64D8"/>
    <w:rsid w:val="000D66A6"/>
    <w:rsid w:val="000D66EC"/>
    <w:rsid w:val="000D67DC"/>
    <w:rsid w:val="000D68F0"/>
    <w:rsid w:val="000D6960"/>
    <w:rsid w:val="000D6DA5"/>
    <w:rsid w:val="000D6E58"/>
    <w:rsid w:val="000D6FC9"/>
    <w:rsid w:val="000D7003"/>
    <w:rsid w:val="000D722D"/>
    <w:rsid w:val="000D7261"/>
    <w:rsid w:val="000D7285"/>
    <w:rsid w:val="000D72E0"/>
    <w:rsid w:val="000D763A"/>
    <w:rsid w:val="000D774F"/>
    <w:rsid w:val="000D780A"/>
    <w:rsid w:val="000D7C01"/>
    <w:rsid w:val="000E00AC"/>
    <w:rsid w:val="000E028E"/>
    <w:rsid w:val="000E05AF"/>
    <w:rsid w:val="000E09F9"/>
    <w:rsid w:val="000E0AB1"/>
    <w:rsid w:val="000E0C6C"/>
    <w:rsid w:val="000E0E69"/>
    <w:rsid w:val="000E12BF"/>
    <w:rsid w:val="000E15FB"/>
    <w:rsid w:val="000E1685"/>
    <w:rsid w:val="000E176A"/>
    <w:rsid w:val="000E17A3"/>
    <w:rsid w:val="000E19CF"/>
    <w:rsid w:val="000E1E18"/>
    <w:rsid w:val="000E1FEC"/>
    <w:rsid w:val="000E20B1"/>
    <w:rsid w:val="000E267F"/>
    <w:rsid w:val="000E27E6"/>
    <w:rsid w:val="000E2968"/>
    <w:rsid w:val="000E2D2C"/>
    <w:rsid w:val="000E2DE1"/>
    <w:rsid w:val="000E2E85"/>
    <w:rsid w:val="000E3381"/>
    <w:rsid w:val="000E3475"/>
    <w:rsid w:val="000E35D1"/>
    <w:rsid w:val="000E37BC"/>
    <w:rsid w:val="000E3A47"/>
    <w:rsid w:val="000E3CB3"/>
    <w:rsid w:val="000E3D85"/>
    <w:rsid w:val="000E3D9A"/>
    <w:rsid w:val="000E3FCE"/>
    <w:rsid w:val="000E44EE"/>
    <w:rsid w:val="000E491B"/>
    <w:rsid w:val="000E49B2"/>
    <w:rsid w:val="000E4BFD"/>
    <w:rsid w:val="000E4E2C"/>
    <w:rsid w:val="000E519C"/>
    <w:rsid w:val="000E525B"/>
    <w:rsid w:val="000E5477"/>
    <w:rsid w:val="000E57B3"/>
    <w:rsid w:val="000E5B15"/>
    <w:rsid w:val="000E5E61"/>
    <w:rsid w:val="000E617E"/>
    <w:rsid w:val="000E629C"/>
    <w:rsid w:val="000E6576"/>
    <w:rsid w:val="000E6A8E"/>
    <w:rsid w:val="000E7067"/>
    <w:rsid w:val="000E70F4"/>
    <w:rsid w:val="000E71E8"/>
    <w:rsid w:val="000E7309"/>
    <w:rsid w:val="000E7375"/>
    <w:rsid w:val="000E74DD"/>
    <w:rsid w:val="000E754E"/>
    <w:rsid w:val="000E7658"/>
    <w:rsid w:val="000E7B23"/>
    <w:rsid w:val="000E7C41"/>
    <w:rsid w:val="000F03FA"/>
    <w:rsid w:val="000F0501"/>
    <w:rsid w:val="000F096F"/>
    <w:rsid w:val="000F1158"/>
    <w:rsid w:val="000F16D1"/>
    <w:rsid w:val="000F1979"/>
    <w:rsid w:val="000F1CA0"/>
    <w:rsid w:val="000F2184"/>
    <w:rsid w:val="000F2285"/>
    <w:rsid w:val="000F26E0"/>
    <w:rsid w:val="000F2BC7"/>
    <w:rsid w:val="000F2D8C"/>
    <w:rsid w:val="000F306E"/>
    <w:rsid w:val="000F3157"/>
    <w:rsid w:val="000F3487"/>
    <w:rsid w:val="000F4159"/>
    <w:rsid w:val="000F41F9"/>
    <w:rsid w:val="000F4B66"/>
    <w:rsid w:val="000F4D0F"/>
    <w:rsid w:val="000F4DAC"/>
    <w:rsid w:val="000F4F07"/>
    <w:rsid w:val="000F5264"/>
    <w:rsid w:val="000F545E"/>
    <w:rsid w:val="000F5688"/>
    <w:rsid w:val="000F647F"/>
    <w:rsid w:val="000F690F"/>
    <w:rsid w:val="000F6C7C"/>
    <w:rsid w:val="000F74B4"/>
    <w:rsid w:val="000F74E7"/>
    <w:rsid w:val="000F77A5"/>
    <w:rsid w:val="000F78FD"/>
    <w:rsid w:val="000F7CB7"/>
    <w:rsid w:val="000F7D3E"/>
    <w:rsid w:val="000F7DF3"/>
    <w:rsid w:val="00100235"/>
    <w:rsid w:val="001003EF"/>
    <w:rsid w:val="001006F6"/>
    <w:rsid w:val="00101248"/>
    <w:rsid w:val="001016D5"/>
    <w:rsid w:val="001018DC"/>
    <w:rsid w:val="00101954"/>
    <w:rsid w:val="00101B61"/>
    <w:rsid w:val="00101C1A"/>
    <w:rsid w:val="00101E91"/>
    <w:rsid w:val="001021CD"/>
    <w:rsid w:val="00102837"/>
    <w:rsid w:val="001028B1"/>
    <w:rsid w:val="00102939"/>
    <w:rsid w:val="00102C98"/>
    <w:rsid w:val="00102E76"/>
    <w:rsid w:val="00103046"/>
    <w:rsid w:val="001039DD"/>
    <w:rsid w:val="00103A22"/>
    <w:rsid w:val="00103AB8"/>
    <w:rsid w:val="00103BE3"/>
    <w:rsid w:val="00103D2B"/>
    <w:rsid w:val="00103D39"/>
    <w:rsid w:val="00103D64"/>
    <w:rsid w:val="00103E82"/>
    <w:rsid w:val="00103FC4"/>
    <w:rsid w:val="00104183"/>
    <w:rsid w:val="00104B14"/>
    <w:rsid w:val="001050C4"/>
    <w:rsid w:val="001050E7"/>
    <w:rsid w:val="001054FC"/>
    <w:rsid w:val="0010550C"/>
    <w:rsid w:val="00105972"/>
    <w:rsid w:val="00105E83"/>
    <w:rsid w:val="00105FA3"/>
    <w:rsid w:val="0010634D"/>
    <w:rsid w:val="00106494"/>
    <w:rsid w:val="001067E6"/>
    <w:rsid w:val="00106A0D"/>
    <w:rsid w:val="00106C41"/>
    <w:rsid w:val="00107210"/>
    <w:rsid w:val="00107706"/>
    <w:rsid w:val="001078AF"/>
    <w:rsid w:val="00107A09"/>
    <w:rsid w:val="00107A63"/>
    <w:rsid w:val="00107DBB"/>
    <w:rsid w:val="00107EBD"/>
    <w:rsid w:val="00107FAB"/>
    <w:rsid w:val="00110119"/>
    <w:rsid w:val="001102A6"/>
    <w:rsid w:val="001102F3"/>
    <w:rsid w:val="00110373"/>
    <w:rsid w:val="00110467"/>
    <w:rsid w:val="001105F0"/>
    <w:rsid w:val="00110607"/>
    <w:rsid w:val="00111568"/>
    <w:rsid w:val="00111738"/>
    <w:rsid w:val="001117B6"/>
    <w:rsid w:val="00111A0F"/>
    <w:rsid w:val="00111EC2"/>
    <w:rsid w:val="00112333"/>
    <w:rsid w:val="00112436"/>
    <w:rsid w:val="0011254E"/>
    <w:rsid w:val="001131CC"/>
    <w:rsid w:val="001132D9"/>
    <w:rsid w:val="00113BB2"/>
    <w:rsid w:val="00113F44"/>
    <w:rsid w:val="001143D9"/>
    <w:rsid w:val="001145D6"/>
    <w:rsid w:val="001146EA"/>
    <w:rsid w:val="00114829"/>
    <w:rsid w:val="0011484B"/>
    <w:rsid w:val="001148D2"/>
    <w:rsid w:val="00114EF9"/>
    <w:rsid w:val="001153D0"/>
    <w:rsid w:val="001155C0"/>
    <w:rsid w:val="001158F0"/>
    <w:rsid w:val="00115A7C"/>
    <w:rsid w:val="0011614F"/>
    <w:rsid w:val="00116404"/>
    <w:rsid w:val="00116786"/>
    <w:rsid w:val="001167C3"/>
    <w:rsid w:val="0011690E"/>
    <w:rsid w:val="00116C55"/>
    <w:rsid w:val="00116E51"/>
    <w:rsid w:val="00117091"/>
    <w:rsid w:val="001170A6"/>
    <w:rsid w:val="0011710E"/>
    <w:rsid w:val="00117497"/>
    <w:rsid w:val="001174DB"/>
    <w:rsid w:val="001177CB"/>
    <w:rsid w:val="00117E21"/>
    <w:rsid w:val="00117FDB"/>
    <w:rsid w:val="001204FC"/>
    <w:rsid w:val="00120B5C"/>
    <w:rsid w:val="00120BC4"/>
    <w:rsid w:val="00120D37"/>
    <w:rsid w:val="001210D6"/>
    <w:rsid w:val="001211B7"/>
    <w:rsid w:val="00121352"/>
    <w:rsid w:val="0012172F"/>
    <w:rsid w:val="001217BE"/>
    <w:rsid w:val="00121C16"/>
    <w:rsid w:val="001228E0"/>
    <w:rsid w:val="00122B1F"/>
    <w:rsid w:val="00122D61"/>
    <w:rsid w:val="00122E10"/>
    <w:rsid w:val="00122EED"/>
    <w:rsid w:val="0012361B"/>
    <w:rsid w:val="0012370B"/>
    <w:rsid w:val="00123807"/>
    <w:rsid w:val="00123849"/>
    <w:rsid w:val="00123B82"/>
    <w:rsid w:val="00124174"/>
    <w:rsid w:val="0012418D"/>
    <w:rsid w:val="0012465E"/>
    <w:rsid w:val="001248EB"/>
    <w:rsid w:val="00124A71"/>
    <w:rsid w:val="00124AF4"/>
    <w:rsid w:val="00124C2D"/>
    <w:rsid w:val="00124C6C"/>
    <w:rsid w:val="00124DC1"/>
    <w:rsid w:val="0012502E"/>
    <w:rsid w:val="001250EF"/>
    <w:rsid w:val="00125231"/>
    <w:rsid w:val="0012525A"/>
    <w:rsid w:val="00125515"/>
    <w:rsid w:val="00125688"/>
    <w:rsid w:val="001256B5"/>
    <w:rsid w:val="00125751"/>
    <w:rsid w:val="00125C02"/>
    <w:rsid w:val="00125C03"/>
    <w:rsid w:val="0012603D"/>
    <w:rsid w:val="001270D4"/>
    <w:rsid w:val="0012743A"/>
    <w:rsid w:val="0012761A"/>
    <w:rsid w:val="001279EC"/>
    <w:rsid w:val="001305A7"/>
    <w:rsid w:val="00130726"/>
    <w:rsid w:val="00130D62"/>
    <w:rsid w:val="00130EB1"/>
    <w:rsid w:val="00131904"/>
    <w:rsid w:val="0013197B"/>
    <w:rsid w:val="001319AC"/>
    <w:rsid w:val="00131B3B"/>
    <w:rsid w:val="00131D20"/>
    <w:rsid w:val="00131E7C"/>
    <w:rsid w:val="00131E91"/>
    <w:rsid w:val="0013220F"/>
    <w:rsid w:val="00132284"/>
    <w:rsid w:val="001322F1"/>
    <w:rsid w:val="00132308"/>
    <w:rsid w:val="00132371"/>
    <w:rsid w:val="0013271D"/>
    <w:rsid w:val="00132A95"/>
    <w:rsid w:val="00132D60"/>
    <w:rsid w:val="001331B3"/>
    <w:rsid w:val="001333CA"/>
    <w:rsid w:val="00133830"/>
    <w:rsid w:val="00133834"/>
    <w:rsid w:val="00133B22"/>
    <w:rsid w:val="00133E60"/>
    <w:rsid w:val="00133F64"/>
    <w:rsid w:val="00133FAA"/>
    <w:rsid w:val="0013418E"/>
    <w:rsid w:val="001341AD"/>
    <w:rsid w:val="00134C4A"/>
    <w:rsid w:val="00135146"/>
    <w:rsid w:val="001353FA"/>
    <w:rsid w:val="001355CB"/>
    <w:rsid w:val="001355D9"/>
    <w:rsid w:val="0013596B"/>
    <w:rsid w:val="00135A96"/>
    <w:rsid w:val="00135E32"/>
    <w:rsid w:val="001360FB"/>
    <w:rsid w:val="001362D6"/>
    <w:rsid w:val="0013636A"/>
    <w:rsid w:val="00136555"/>
    <w:rsid w:val="001365DF"/>
    <w:rsid w:val="0013674F"/>
    <w:rsid w:val="00136837"/>
    <w:rsid w:val="00136957"/>
    <w:rsid w:val="00136A11"/>
    <w:rsid w:val="00136A51"/>
    <w:rsid w:val="00136FC3"/>
    <w:rsid w:val="001372A3"/>
    <w:rsid w:val="00137355"/>
    <w:rsid w:val="00137370"/>
    <w:rsid w:val="001374DE"/>
    <w:rsid w:val="0013772B"/>
    <w:rsid w:val="00137C4A"/>
    <w:rsid w:val="00137DEE"/>
    <w:rsid w:val="00140618"/>
    <w:rsid w:val="00140907"/>
    <w:rsid w:val="00140974"/>
    <w:rsid w:val="001412B0"/>
    <w:rsid w:val="00141340"/>
    <w:rsid w:val="00141613"/>
    <w:rsid w:val="00141CD2"/>
    <w:rsid w:val="00141E85"/>
    <w:rsid w:val="001421B9"/>
    <w:rsid w:val="00142351"/>
    <w:rsid w:val="0014257B"/>
    <w:rsid w:val="00142A07"/>
    <w:rsid w:val="00142C0D"/>
    <w:rsid w:val="00142E8B"/>
    <w:rsid w:val="001431D7"/>
    <w:rsid w:val="0014329C"/>
    <w:rsid w:val="00143733"/>
    <w:rsid w:val="0014377B"/>
    <w:rsid w:val="00143805"/>
    <w:rsid w:val="00143E26"/>
    <w:rsid w:val="001440EF"/>
    <w:rsid w:val="0014424D"/>
    <w:rsid w:val="001447E0"/>
    <w:rsid w:val="001450F8"/>
    <w:rsid w:val="00145369"/>
    <w:rsid w:val="001455DF"/>
    <w:rsid w:val="001457FB"/>
    <w:rsid w:val="00145A3C"/>
    <w:rsid w:val="00145B6B"/>
    <w:rsid w:val="00145BFE"/>
    <w:rsid w:val="00145DD0"/>
    <w:rsid w:val="00146043"/>
    <w:rsid w:val="001460DA"/>
    <w:rsid w:val="00146222"/>
    <w:rsid w:val="001463A8"/>
    <w:rsid w:val="001463DC"/>
    <w:rsid w:val="00146480"/>
    <w:rsid w:val="001464CD"/>
    <w:rsid w:val="00146989"/>
    <w:rsid w:val="00146B31"/>
    <w:rsid w:val="00146B55"/>
    <w:rsid w:val="00146C17"/>
    <w:rsid w:val="001473AC"/>
    <w:rsid w:val="001476EE"/>
    <w:rsid w:val="00147C67"/>
    <w:rsid w:val="00147E82"/>
    <w:rsid w:val="00147EC8"/>
    <w:rsid w:val="00150D70"/>
    <w:rsid w:val="00150DD8"/>
    <w:rsid w:val="001511E6"/>
    <w:rsid w:val="00151516"/>
    <w:rsid w:val="0015278E"/>
    <w:rsid w:val="00152F87"/>
    <w:rsid w:val="001532B7"/>
    <w:rsid w:val="00153427"/>
    <w:rsid w:val="0015353A"/>
    <w:rsid w:val="00153AD7"/>
    <w:rsid w:val="00153D1F"/>
    <w:rsid w:val="00153EAC"/>
    <w:rsid w:val="00153EE3"/>
    <w:rsid w:val="001541D7"/>
    <w:rsid w:val="00154464"/>
    <w:rsid w:val="0015498C"/>
    <w:rsid w:val="00154B06"/>
    <w:rsid w:val="00154DBF"/>
    <w:rsid w:val="00154F97"/>
    <w:rsid w:val="0015506E"/>
    <w:rsid w:val="00155175"/>
    <w:rsid w:val="001558D6"/>
    <w:rsid w:val="00155B1A"/>
    <w:rsid w:val="00155B47"/>
    <w:rsid w:val="00155FC5"/>
    <w:rsid w:val="001564EA"/>
    <w:rsid w:val="00156509"/>
    <w:rsid w:val="001566BA"/>
    <w:rsid w:val="00156840"/>
    <w:rsid w:val="00156981"/>
    <w:rsid w:val="001569B8"/>
    <w:rsid w:val="00156AF7"/>
    <w:rsid w:val="00156E90"/>
    <w:rsid w:val="0015757D"/>
    <w:rsid w:val="001575A9"/>
    <w:rsid w:val="001576CF"/>
    <w:rsid w:val="00157B16"/>
    <w:rsid w:val="00160586"/>
    <w:rsid w:val="0016063F"/>
    <w:rsid w:val="001606EA"/>
    <w:rsid w:val="00160B18"/>
    <w:rsid w:val="00161807"/>
    <w:rsid w:val="00161F4F"/>
    <w:rsid w:val="00162CC1"/>
    <w:rsid w:val="00162DA3"/>
    <w:rsid w:val="00162EBF"/>
    <w:rsid w:val="0016301D"/>
    <w:rsid w:val="0016356A"/>
    <w:rsid w:val="0016398B"/>
    <w:rsid w:val="001639D0"/>
    <w:rsid w:val="00163AB6"/>
    <w:rsid w:val="001641A3"/>
    <w:rsid w:val="001644EB"/>
    <w:rsid w:val="0016458E"/>
    <w:rsid w:val="00164B68"/>
    <w:rsid w:val="0016524F"/>
    <w:rsid w:val="001653E8"/>
    <w:rsid w:val="00165876"/>
    <w:rsid w:val="00165C4D"/>
    <w:rsid w:val="00165D34"/>
    <w:rsid w:val="00165F1F"/>
    <w:rsid w:val="0016643F"/>
    <w:rsid w:val="00166552"/>
    <w:rsid w:val="00166987"/>
    <w:rsid w:val="00166EC4"/>
    <w:rsid w:val="001672C0"/>
    <w:rsid w:val="001672DC"/>
    <w:rsid w:val="001673EC"/>
    <w:rsid w:val="001673F0"/>
    <w:rsid w:val="0016744F"/>
    <w:rsid w:val="00167AE4"/>
    <w:rsid w:val="00170311"/>
    <w:rsid w:val="001704CF"/>
    <w:rsid w:val="00170669"/>
    <w:rsid w:val="00170845"/>
    <w:rsid w:val="00170C13"/>
    <w:rsid w:val="00170EB7"/>
    <w:rsid w:val="00170ED0"/>
    <w:rsid w:val="00171003"/>
    <w:rsid w:val="00172299"/>
    <w:rsid w:val="001723AD"/>
    <w:rsid w:val="001724D6"/>
    <w:rsid w:val="00172957"/>
    <w:rsid w:val="0017315D"/>
    <w:rsid w:val="001731C6"/>
    <w:rsid w:val="00173A94"/>
    <w:rsid w:val="00173B52"/>
    <w:rsid w:val="00174010"/>
    <w:rsid w:val="00174258"/>
    <w:rsid w:val="00174CBC"/>
    <w:rsid w:val="00174F9F"/>
    <w:rsid w:val="00175131"/>
    <w:rsid w:val="001753E6"/>
    <w:rsid w:val="0017544D"/>
    <w:rsid w:val="00175577"/>
    <w:rsid w:val="00175B10"/>
    <w:rsid w:val="001761CD"/>
    <w:rsid w:val="0017626E"/>
    <w:rsid w:val="00176291"/>
    <w:rsid w:val="001765DF"/>
    <w:rsid w:val="00176638"/>
    <w:rsid w:val="0017674F"/>
    <w:rsid w:val="0017698B"/>
    <w:rsid w:val="00177144"/>
    <w:rsid w:val="001772DE"/>
    <w:rsid w:val="00177315"/>
    <w:rsid w:val="00177321"/>
    <w:rsid w:val="0017746B"/>
    <w:rsid w:val="0017749C"/>
    <w:rsid w:val="00177582"/>
    <w:rsid w:val="00177583"/>
    <w:rsid w:val="001777E9"/>
    <w:rsid w:val="00177AB9"/>
    <w:rsid w:val="00177D83"/>
    <w:rsid w:val="00177D9C"/>
    <w:rsid w:val="00177E68"/>
    <w:rsid w:val="001800A9"/>
    <w:rsid w:val="001808A4"/>
    <w:rsid w:val="0018149A"/>
    <w:rsid w:val="001817E2"/>
    <w:rsid w:val="001826AB"/>
    <w:rsid w:val="001828F0"/>
    <w:rsid w:val="00182D04"/>
    <w:rsid w:val="00183480"/>
    <w:rsid w:val="001834B3"/>
    <w:rsid w:val="00183628"/>
    <w:rsid w:val="001837BE"/>
    <w:rsid w:val="00183938"/>
    <w:rsid w:val="00183A97"/>
    <w:rsid w:val="00183D36"/>
    <w:rsid w:val="00183D5D"/>
    <w:rsid w:val="00183DEE"/>
    <w:rsid w:val="0018445F"/>
    <w:rsid w:val="00184783"/>
    <w:rsid w:val="00184AE9"/>
    <w:rsid w:val="00184C31"/>
    <w:rsid w:val="0018596F"/>
    <w:rsid w:val="00185A09"/>
    <w:rsid w:val="00186019"/>
    <w:rsid w:val="00186039"/>
    <w:rsid w:val="001862FB"/>
    <w:rsid w:val="0018665E"/>
    <w:rsid w:val="00186836"/>
    <w:rsid w:val="00186F3A"/>
    <w:rsid w:val="001875E7"/>
    <w:rsid w:val="001876A1"/>
    <w:rsid w:val="0018770D"/>
    <w:rsid w:val="001877FF"/>
    <w:rsid w:val="00187A3F"/>
    <w:rsid w:val="00187BAC"/>
    <w:rsid w:val="00187DFC"/>
    <w:rsid w:val="00187F48"/>
    <w:rsid w:val="00190005"/>
    <w:rsid w:val="001906F1"/>
    <w:rsid w:val="00190A32"/>
    <w:rsid w:val="00190EC9"/>
    <w:rsid w:val="0019158D"/>
    <w:rsid w:val="001915EF"/>
    <w:rsid w:val="001919C0"/>
    <w:rsid w:val="00191E70"/>
    <w:rsid w:val="00191F44"/>
    <w:rsid w:val="00191FE2"/>
    <w:rsid w:val="001921DF"/>
    <w:rsid w:val="001922B5"/>
    <w:rsid w:val="0019244C"/>
    <w:rsid w:val="00192DD6"/>
    <w:rsid w:val="001934B1"/>
    <w:rsid w:val="00193648"/>
    <w:rsid w:val="001936CC"/>
    <w:rsid w:val="00193ADE"/>
    <w:rsid w:val="00193B22"/>
    <w:rsid w:val="0019412E"/>
    <w:rsid w:val="001944F3"/>
    <w:rsid w:val="0019478E"/>
    <w:rsid w:val="00194A6E"/>
    <w:rsid w:val="00194B2E"/>
    <w:rsid w:val="00194C8C"/>
    <w:rsid w:val="00194D64"/>
    <w:rsid w:val="00194D6F"/>
    <w:rsid w:val="00194EBF"/>
    <w:rsid w:val="0019500E"/>
    <w:rsid w:val="00195AE2"/>
    <w:rsid w:val="00195B30"/>
    <w:rsid w:val="00195E9E"/>
    <w:rsid w:val="00195F0D"/>
    <w:rsid w:val="00196011"/>
    <w:rsid w:val="0019655F"/>
    <w:rsid w:val="00196702"/>
    <w:rsid w:val="001967FE"/>
    <w:rsid w:val="0019697C"/>
    <w:rsid w:val="00196BB5"/>
    <w:rsid w:val="00196D33"/>
    <w:rsid w:val="00196D9C"/>
    <w:rsid w:val="00196EBD"/>
    <w:rsid w:val="00196F0D"/>
    <w:rsid w:val="001970A4"/>
    <w:rsid w:val="00197426"/>
    <w:rsid w:val="00197756"/>
    <w:rsid w:val="00197790"/>
    <w:rsid w:val="001978BB"/>
    <w:rsid w:val="0019797F"/>
    <w:rsid w:val="001979CA"/>
    <w:rsid w:val="00197AC2"/>
    <w:rsid w:val="001A00F8"/>
    <w:rsid w:val="001A068D"/>
    <w:rsid w:val="001A09D3"/>
    <w:rsid w:val="001A1068"/>
    <w:rsid w:val="001A1123"/>
    <w:rsid w:val="001A126B"/>
    <w:rsid w:val="001A1B1B"/>
    <w:rsid w:val="001A1B84"/>
    <w:rsid w:val="001A1F80"/>
    <w:rsid w:val="001A2443"/>
    <w:rsid w:val="001A250F"/>
    <w:rsid w:val="001A29A6"/>
    <w:rsid w:val="001A3142"/>
    <w:rsid w:val="001A3A99"/>
    <w:rsid w:val="001A3F82"/>
    <w:rsid w:val="001A3FFC"/>
    <w:rsid w:val="001A43F3"/>
    <w:rsid w:val="001A4559"/>
    <w:rsid w:val="001A4EC2"/>
    <w:rsid w:val="001A5138"/>
    <w:rsid w:val="001A5509"/>
    <w:rsid w:val="001A5648"/>
    <w:rsid w:val="001A5947"/>
    <w:rsid w:val="001A5DD5"/>
    <w:rsid w:val="001A6019"/>
    <w:rsid w:val="001A666B"/>
    <w:rsid w:val="001A66C2"/>
    <w:rsid w:val="001A66E7"/>
    <w:rsid w:val="001A6C66"/>
    <w:rsid w:val="001A6C8E"/>
    <w:rsid w:val="001A716F"/>
    <w:rsid w:val="001A717B"/>
    <w:rsid w:val="001A71BD"/>
    <w:rsid w:val="001A7298"/>
    <w:rsid w:val="001A7A20"/>
    <w:rsid w:val="001A7D89"/>
    <w:rsid w:val="001B02AC"/>
    <w:rsid w:val="001B0781"/>
    <w:rsid w:val="001B0B41"/>
    <w:rsid w:val="001B0D76"/>
    <w:rsid w:val="001B1731"/>
    <w:rsid w:val="001B1861"/>
    <w:rsid w:val="001B1B95"/>
    <w:rsid w:val="001B249E"/>
    <w:rsid w:val="001B24BB"/>
    <w:rsid w:val="001B2CC1"/>
    <w:rsid w:val="001B2D08"/>
    <w:rsid w:val="001B308E"/>
    <w:rsid w:val="001B3158"/>
    <w:rsid w:val="001B31A6"/>
    <w:rsid w:val="001B33E5"/>
    <w:rsid w:val="001B3537"/>
    <w:rsid w:val="001B3556"/>
    <w:rsid w:val="001B3576"/>
    <w:rsid w:val="001B359D"/>
    <w:rsid w:val="001B3772"/>
    <w:rsid w:val="001B37C8"/>
    <w:rsid w:val="001B3E33"/>
    <w:rsid w:val="001B400E"/>
    <w:rsid w:val="001B4376"/>
    <w:rsid w:val="001B44C1"/>
    <w:rsid w:val="001B472D"/>
    <w:rsid w:val="001B47BC"/>
    <w:rsid w:val="001B489F"/>
    <w:rsid w:val="001B48B8"/>
    <w:rsid w:val="001B5145"/>
    <w:rsid w:val="001B537C"/>
    <w:rsid w:val="001B552E"/>
    <w:rsid w:val="001B56BB"/>
    <w:rsid w:val="001B5DDF"/>
    <w:rsid w:val="001B5FEF"/>
    <w:rsid w:val="001B5FF9"/>
    <w:rsid w:val="001B615A"/>
    <w:rsid w:val="001B6169"/>
    <w:rsid w:val="001B671A"/>
    <w:rsid w:val="001B6791"/>
    <w:rsid w:val="001B68F7"/>
    <w:rsid w:val="001B6A7A"/>
    <w:rsid w:val="001B6AD1"/>
    <w:rsid w:val="001B6B4C"/>
    <w:rsid w:val="001B6CF2"/>
    <w:rsid w:val="001B6E93"/>
    <w:rsid w:val="001B6E94"/>
    <w:rsid w:val="001B6F7E"/>
    <w:rsid w:val="001B731B"/>
    <w:rsid w:val="001B73A4"/>
    <w:rsid w:val="001B7A22"/>
    <w:rsid w:val="001B7B91"/>
    <w:rsid w:val="001B7D11"/>
    <w:rsid w:val="001C0212"/>
    <w:rsid w:val="001C047C"/>
    <w:rsid w:val="001C050C"/>
    <w:rsid w:val="001C06E9"/>
    <w:rsid w:val="001C0B95"/>
    <w:rsid w:val="001C0C98"/>
    <w:rsid w:val="001C0CDF"/>
    <w:rsid w:val="001C0EAC"/>
    <w:rsid w:val="001C12A3"/>
    <w:rsid w:val="001C1791"/>
    <w:rsid w:val="001C17FC"/>
    <w:rsid w:val="001C1AB1"/>
    <w:rsid w:val="001C1B8D"/>
    <w:rsid w:val="001C1CDE"/>
    <w:rsid w:val="001C1F66"/>
    <w:rsid w:val="001C21CA"/>
    <w:rsid w:val="001C2621"/>
    <w:rsid w:val="001C274C"/>
    <w:rsid w:val="001C290F"/>
    <w:rsid w:val="001C3102"/>
    <w:rsid w:val="001C310A"/>
    <w:rsid w:val="001C39C2"/>
    <w:rsid w:val="001C3BDD"/>
    <w:rsid w:val="001C3F97"/>
    <w:rsid w:val="001C406B"/>
    <w:rsid w:val="001C4202"/>
    <w:rsid w:val="001C42AC"/>
    <w:rsid w:val="001C42E2"/>
    <w:rsid w:val="001C4BD8"/>
    <w:rsid w:val="001C4CAD"/>
    <w:rsid w:val="001C5142"/>
    <w:rsid w:val="001C5614"/>
    <w:rsid w:val="001C56FA"/>
    <w:rsid w:val="001C581F"/>
    <w:rsid w:val="001C59A7"/>
    <w:rsid w:val="001C5EB0"/>
    <w:rsid w:val="001C6203"/>
    <w:rsid w:val="001C640C"/>
    <w:rsid w:val="001C646D"/>
    <w:rsid w:val="001C6505"/>
    <w:rsid w:val="001C663E"/>
    <w:rsid w:val="001C6904"/>
    <w:rsid w:val="001C6F26"/>
    <w:rsid w:val="001C72FA"/>
    <w:rsid w:val="001C742F"/>
    <w:rsid w:val="001C7738"/>
    <w:rsid w:val="001C7740"/>
    <w:rsid w:val="001C7BD2"/>
    <w:rsid w:val="001C7D0C"/>
    <w:rsid w:val="001C7FE4"/>
    <w:rsid w:val="001C7FEC"/>
    <w:rsid w:val="001D07D8"/>
    <w:rsid w:val="001D08E5"/>
    <w:rsid w:val="001D1178"/>
    <w:rsid w:val="001D1656"/>
    <w:rsid w:val="001D1E97"/>
    <w:rsid w:val="001D1EAF"/>
    <w:rsid w:val="001D223E"/>
    <w:rsid w:val="001D247A"/>
    <w:rsid w:val="001D29C5"/>
    <w:rsid w:val="001D2EC7"/>
    <w:rsid w:val="001D377B"/>
    <w:rsid w:val="001D3808"/>
    <w:rsid w:val="001D3CEA"/>
    <w:rsid w:val="001D3FF6"/>
    <w:rsid w:val="001D42DB"/>
    <w:rsid w:val="001D4576"/>
    <w:rsid w:val="001D4C64"/>
    <w:rsid w:val="001D4DB2"/>
    <w:rsid w:val="001D4EDE"/>
    <w:rsid w:val="001D55A4"/>
    <w:rsid w:val="001D5769"/>
    <w:rsid w:val="001D6230"/>
    <w:rsid w:val="001D63C6"/>
    <w:rsid w:val="001D65FC"/>
    <w:rsid w:val="001D6A77"/>
    <w:rsid w:val="001D6A7E"/>
    <w:rsid w:val="001D6A82"/>
    <w:rsid w:val="001D6B25"/>
    <w:rsid w:val="001D6E2A"/>
    <w:rsid w:val="001D75E3"/>
    <w:rsid w:val="001D77F7"/>
    <w:rsid w:val="001D7DE5"/>
    <w:rsid w:val="001D7E27"/>
    <w:rsid w:val="001E038A"/>
    <w:rsid w:val="001E03C5"/>
    <w:rsid w:val="001E0470"/>
    <w:rsid w:val="001E05B9"/>
    <w:rsid w:val="001E09C5"/>
    <w:rsid w:val="001E09D5"/>
    <w:rsid w:val="001E0C8C"/>
    <w:rsid w:val="001E0F5E"/>
    <w:rsid w:val="001E11F2"/>
    <w:rsid w:val="001E14F7"/>
    <w:rsid w:val="001E1DC1"/>
    <w:rsid w:val="001E21BF"/>
    <w:rsid w:val="001E23FC"/>
    <w:rsid w:val="001E295D"/>
    <w:rsid w:val="001E29E6"/>
    <w:rsid w:val="001E2A0C"/>
    <w:rsid w:val="001E2B09"/>
    <w:rsid w:val="001E2C83"/>
    <w:rsid w:val="001E2D91"/>
    <w:rsid w:val="001E3099"/>
    <w:rsid w:val="001E30EB"/>
    <w:rsid w:val="001E310D"/>
    <w:rsid w:val="001E3168"/>
    <w:rsid w:val="001E3504"/>
    <w:rsid w:val="001E3570"/>
    <w:rsid w:val="001E35B4"/>
    <w:rsid w:val="001E38AC"/>
    <w:rsid w:val="001E42CC"/>
    <w:rsid w:val="001E4813"/>
    <w:rsid w:val="001E49C7"/>
    <w:rsid w:val="001E4CE9"/>
    <w:rsid w:val="001E4D18"/>
    <w:rsid w:val="001E50ED"/>
    <w:rsid w:val="001E57B2"/>
    <w:rsid w:val="001E5A20"/>
    <w:rsid w:val="001E5B5A"/>
    <w:rsid w:val="001E5F66"/>
    <w:rsid w:val="001E6077"/>
    <w:rsid w:val="001E6179"/>
    <w:rsid w:val="001E6696"/>
    <w:rsid w:val="001E6711"/>
    <w:rsid w:val="001E6966"/>
    <w:rsid w:val="001E7493"/>
    <w:rsid w:val="001E7653"/>
    <w:rsid w:val="001E78E8"/>
    <w:rsid w:val="001E7FAA"/>
    <w:rsid w:val="001F0461"/>
    <w:rsid w:val="001F050F"/>
    <w:rsid w:val="001F0A76"/>
    <w:rsid w:val="001F0DAB"/>
    <w:rsid w:val="001F142D"/>
    <w:rsid w:val="001F156F"/>
    <w:rsid w:val="001F1669"/>
    <w:rsid w:val="001F18E3"/>
    <w:rsid w:val="001F1AB7"/>
    <w:rsid w:val="001F1AE8"/>
    <w:rsid w:val="001F1F1A"/>
    <w:rsid w:val="001F207D"/>
    <w:rsid w:val="001F21E7"/>
    <w:rsid w:val="001F23DD"/>
    <w:rsid w:val="001F24BD"/>
    <w:rsid w:val="001F271F"/>
    <w:rsid w:val="001F2794"/>
    <w:rsid w:val="001F29AA"/>
    <w:rsid w:val="001F2C2A"/>
    <w:rsid w:val="001F2C3B"/>
    <w:rsid w:val="001F336B"/>
    <w:rsid w:val="001F39F7"/>
    <w:rsid w:val="001F3BBA"/>
    <w:rsid w:val="001F3DC4"/>
    <w:rsid w:val="001F3E59"/>
    <w:rsid w:val="001F4177"/>
    <w:rsid w:val="001F4329"/>
    <w:rsid w:val="001F444B"/>
    <w:rsid w:val="001F44BC"/>
    <w:rsid w:val="001F45F6"/>
    <w:rsid w:val="001F4B1D"/>
    <w:rsid w:val="001F4C91"/>
    <w:rsid w:val="001F54D6"/>
    <w:rsid w:val="001F5574"/>
    <w:rsid w:val="001F5725"/>
    <w:rsid w:val="001F5E0A"/>
    <w:rsid w:val="001F5FDB"/>
    <w:rsid w:val="001F639A"/>
    <w:rsid w:val="001F6753"/>
    <w:rsid w:val="001F6F38"/>
    <w:rsid w:val="001F6F4A"/>
    <w:rsid w:val="001F7032"/>
    <w:rsid w:val="001F7211"/>
    <w:rsid w:val="001F73EF"/>
    <w:rsid w:val="001F74CF"/>
    <w:rsid w:val="001F767F"/>
    <w:rsid w:val="001F77FF"/>
    <w:rsid w:val="001F78B7"/>
    <w:rsid w:val="001F78CE"/>
    <w:rsid w:val="001F7C71"/>
    <w:rsid w:val="001F7D58"/>
    <w:rsid w:val="001F7E11"/>
    <w:rsid w:val="001F7E15"/>
    <w:rsid w:val="002003B4"/>
    <w:rsid w:val="0020071E"/>
    <w:rsid w:val="002007A4"/>
    <w:rsid w:val="002008A4"/>
    <w:rsid w:val="00200CAC"/>
    <w:rsid w:val="00200DEC"/>
    <w:rsid w:val="00201295"/>
    <w:rsid w:val="00201483"/>
    <w:rsid w:val="00201706"/>
    <w:rsid w:val="00202682"/>
    <w:rsid w:val="00202794"/>
    <w:rsid w:val="002028C3"/>
    <w:rsid w:val="00203401"/>
    <w:rsid w:val="0020340E"/>
    <w:rsid w:val="0020359D"/>
    <w:rsid w:val="00203D64"/>
    <w:rsid w:val="00204386"/>
    <w:rsid w:val="002047DC"/>
    <w:rsid w:val="0020498F"/>
    <w:rsid w:val="00204CD6"/>
    <w:rsid w:val="00204D1B"/>
    <w:rsid w:val="00205130"/>
    <w:rsid w:val="0020544C"/>
    <w:rsid w:val="002055CD"/>
    <w:rsid w:val="0020561D"/>
    <w:rsid w:val="00205B34"/>
    <w:rsid w:val="0020617E"/>
    <w:rsid w:val="002061A8"/>
    <w:rsid w:val="0020672C"/>
    <w:rsid w:val="00206D4B"/>
    <w:rsid w:val="00206E5C"/>
    <w:rsid w:val="00206F69"/>
    <w:rsid w:val="00206F6C"/>
    <w:rsid w:val="002070C1"/>
    <w:rsid w:val="0020731C"/>
    <w:rsid w:val="002076F3"/>
    <w:rsid w:val="00207821"/>
    <w:rsid w:val="00210161"/>
    <w:rsid w:val="00210187"/>
    <w:rsid w:val="00210414"/>
    <w:rsid w:val="00210502"/>
    <w:rsid w:val="00210C6C"/>
    <w:rsid w:val="00210CB7"/>
    <w:rsid w:val="00210F21"/>
    <w:rsid w:val="00210F3D"/>
    <w:rsid w:val="00211201"/>
    <w:rsid w:val="00211A15"/>
    <w:rsid w:val="00211A3B"/>
    <w:rsid w:val="00211DF7"/>
    <w:rsid w:val="00211FF3"/>
    <w:rsid w:val="002121EB"/>
    <w:rsid w:val="0021271C"/>
    <w:rsid w:val="00212833"/>
    <w:rsid w:val="00212A4C"/>
    <w:rsid w:val="00213178"/>
    <w:rsid w:val="0021348B"/>
    <w:rsid w:val="0021349C"/>
    <w:rsid w:val="002134B5"/>
    <w:rsid w:val="00213753"/>
    <w:rsid w:val="00213882"/>
    <w:rsid w:val="002138E0"/>
    <w:rsid w:val="00213D1E"/>
    <w:rsid w:val="00213E15"/>
    <w:rsid w:val="00214155"/>
    <w:rsid w:val="00214CC9"/>
    <w:rsid w:val="00214E50"/>
    <w:rsid w:val="00215111"/>
    <w:rsid w:val="0021530F"/>
    <w:rsid w:val="002158C0"/>
    <w:rsid w:val="00215B39"/>
    <w:rsid w:val="002161A8"/>
    <w:rsid w:val="00216A29"/>
    <w:rsid w:val="00216CA0"/>
    <w:rsid w:val="00216D58"/>
    <w:rsid w:val="00216F97"/>
    <w:rsid w:val="00217277"/>
    <w:rsid w:val="002173D7"/>
    <w:rsid w:val="00217452"/>
    <w:rsid w:val="002176C5"/>
    <w:rsid w:val="002177DE"/>
    <w:rsid w:val="0021788B"/>
    <w:rsid w:val="002178DD"/>
    <w:rsid w:val="00217A14"/>
    <w:rsid w:val="00217DD5"/>
    <w:rsid w:val="00217F29"/>
    <w:rsid w:val="00220016"/>
    <w:rsid w:val="0022074B"/>
    <w:rsid w:val="00220B15"/>
    <w:rsid w:val="00220C1A"/>
    <w:rsid w:val="00220CB3"/>
    <w:rsid w:val="002213A9"/>
    <w:rsid w:val="002215D7"/>
    <w:rsid w:val="0022196D"/>
    <w:rsid w:val="00221D0D"/>
    <w:rsid w:val="002220C4"/>
    <w:rsid w:val="00222311"/>
    <w:rsid w:val="00222343"/>
    <w:rsid w:val="0022241C"/>
    <w:rsid w:val="002226B8"/>
    <w:rsid w:val="002227E9"/>
    <w:rsid w:val="00222830"/>
    <w:rsid w:val="00222BD3"/>
    <w:rsid w:val="00222BE5"/>
    <w:rsid w:val="00222CD7"/>
    <w:rsid w:val="00223162"/>
    <w:rsid w:val="00223D94"/>
    <w:rsid w:val="00223EDA"/>
    <w:rsid w:val="0022415B"/>
    <w:rsid w:val="0022453F"/>
    <w:rsid w:val="0022475B"/>
    <w:rsid w:val="00224C0D"/>
    <w:rsid w:val="00224D5D"/>
    <w:rsid w:val="00224EA7"/>
    <w:rsid w:val="002252CA"/>
    <w:rsid w:val="00225412"/>
    <w:rsid w:val="002255CA"/>
    <w:rsid w:val="002259BF"/>
    <w:rsid w:val="00225F6A"/>
    <w:rsid w:val="00226338"/>
    <w:rsid w:val="00226716"/>
    <w:rsid w:val="002267DD"/>
    <w:rsid w:val="0022680C"/>
    <w:rsid w:val="002268D7"/>
    <w:rsid w:val="00226A7A"/>
    <w:rsid w:val="00226D23"/>
    <w:rsid w:val="00226F9D"/>
    <w:rsid w:val="00227027"/>
    <w:rsid w:val="00227039"/>
    <w:rsid w:val="0022733E"/>
    <w:rsid w:val="002276DA"/>
    <w:rsid w:val="002278E5"/>
    <w:rsid w:val="00227A8E"/>
    <w:rsid w:val="00227D7D"/>
    <w:rsid w:val="002302E7"/>
    <w:rsid w:val="002304B2"/>
    <w:rsid w:val="00231DCB"/>
    <w:rsid w:val="00231E2E"/>
    <w:rsid w:val="00231E2F"/>
    <w:rsid w:val="00231E99"/>
    <w:rsid w:val="002320EF"/>
    <w:rsid w:val="002324A3"/>
    <w:rsid w:val="0023259B"/>
    <w:rsid w:val="002325D4"/>
    <w:rsid w:val="00232660"/>
    <w:rsid w:val="002327FD"/>
    <w:rsid w:val="00232814"/>
    <w:rsid w:val="00232949"/>
    <w:rsid w:val="00232B24"/>
    <w:rsid w:val="00232B8B"/>
    <w:rsid w:val="00232DB6"/>
    <w:rsid w:val="00233A32"/>
    <w:rsid w:val="00233B5E"/>
    <w:rsid w:val="00233E3B"/>
    <w:rsid w:val="0023412A"/>
    <w:rsid w:val="00234283"/>
    <w:rsid w:val="002343DC"/>
    <w:rsid w:val="00234581"/>
    <w:rsid w:val="00234B86"/>
    <w:rsid w:val="00235238"/>
    <w:rsid w:val="002353FC"/>
    <w:rsid w:val="002354B5"/>
    <w:rsid w:val="00235D98"/>
    <w:rsid w:val="0023602B"/>
    <w:rsid w:val="00236184"/>
    <w:rsid w:val="002361BD"/>
    <w:rsid w:val="00236359"/>
    <w:rsid w:val="0023642B"/>
    <w:rsid w:val="00236A2D"/>
    <w:rsid w:val="00236BC9"/>
    <w:rsid w:val="00236DCE"/>
    <w:rsid w:val="0023703C"/>
    <w:rsid w:val="00237318"/>
    <w:rsid w:val="002374E2"/>
    <w:rsid w:val="00237622"/>
    <w:rsid w:val="0023790E"/>
    <w:rsid w:val="00237EEE"/>
    <w:rsid w:val="002400F0"/>
    <w:rsid w:val="00240554"/>
    <w:rsid w:val="002406D5"/>
    <w:rsid w:val="002408C9"/>
    <w:rsid w:val="00240B62"/>
    <w:rsid w:val="00240ECE"/>
    <w:rsid w:val="002410CC"/>
    <w:rsid w:val="00241214"/>
    <w:rsid w:val="002413C8"/>
    <w:rsid w:val="002415F8"/>
    <w:rsid w:val="00241BD8"/>
    <w:rsid w:val="00241E56"/>
    <w:rsid w:val="002422F4"/>
    <w:rsid w:val="00242442"/>
    <w:rsid w:val="0024251A"/>
    <w:rsid w:val="0024252B"/>
    <w:rsid w:val="002429AD"/>
    <w:rsid w:val="00242B77"/>
    <w:rsid w:val="00242BF4"/>
    <w:rsid w:val="00242FA3"/>
    <w:rsid w:val="002430EA"/>
    <w:rsid w:val="002435D7"/>
    <w:rsid w:val="002439C6"/>
    <w:rsid w:val="00243A71"/>
    <w:rsid w:val="00243E50"/>
    <w:rsid w:val="00243FE1"/>
    <w:rsid w:val="0024401F"/>
    <w:rsid w:val="00244256"/>
    <w:rsid w:val="0024427B"/>
    <w:rsid w:val="00244395"/>
    <w:rsid w:val="00244A5D"/>
    <w:rsid w:val="00244EEB"/>
    <w:rsid w:val="00245090"/>
    <w:rsid w:val="0024537F"/>
    <w:rsid w:val="002453EA"/>
    <w:rsid w:val="00245466"/>
    <w:rsid w:val="00245AE0"/>
    <w:rsid w:val="00245CEC"/>
    <w:rsid w:val="00245F9E"/>
    <w:rsid w:val="002460EF"/>
    <w:rsid w:val="00247037"/>
    <w:rsid w:val="0024708D"/>
    <w:rsid w:val="00247BF8"/>
    <w:rsid w:val="0025002D"/>
    <w:rsid w:val="002507F4"/>
    <w:rsid w:val="002509D6"/>
    <w:rsid w:val="00250D8A"/>
    <w:rsid w:val="002512BA"/>
    <w:rsid w:val="00251425"/>
    <w:rsid w:val="002518D1"/>
    <w:rsid w:val="00251EFD"/>
    <w:rsid w:val="002522F2"/>
    <w:rsid w:val="00252386"/>
    <w:rsid w:val="002523E3"/>
    <w:rsid w:val="002524B4"/>
    <w:rsid w:val="00252E2F"/>
    <w:rsid w:val="00252E4B"/>
    <w:rsid w:val="00252F5C"/>
    <w:rsid w:val="00253562"/>
    <w:rsid w:val="00253A6F"/>
    <w:rsid w:val="00253A80"/>
    <w:rsid w:val="00253B4A"/>
    <w:rsid w:val="00254477"/>
    <w:rsid w:val="002545B2"/>
    <w:rsid w:val="002546A4"/>
    <w:rsid w:val="002546E8"/>
    <w:rsid w:val="00254915"/>
    <w:rsid w:val="00254C3A"/>
    <w:rsid w:val="00254C8B"/>
    <w:rsid w:val="002554A0"/>
    <w:rsid w:val="00255555"/>
    <w:rsid w:val="002561EE"/>
    <w:rsid w:val="00256260"/>
    <w:rsid w:val="0025685D"/>
    <w:rsid w:val="00256CD4"/>
    <w:rsid w:val="0025701C"/>
    <w:rsid w:val="00257659"/>
    <w:rsid w:val="00257789"/>
    <w:rsid w:val="002579FD"/>
    <w:rsid w:val="00257BCE"/>
    <w:rsid w:val="00257CA5"/>
    <w:rsid w:val="00260062"/>
    <w:rsid w:val="002601C4"/>
    <w:rsid w:val="002601DA"/>
    <w:rsid w:val="002608EE"/>
    <w:rsid w:val="00260C87"/>
    <w:rsid w:val="00261431"/>
    <w:rsid w:val="00261838"/>
    <w:rsid w:val="00261C03"/>
    <w:rsid w:val="00261C97"/>
    <w:rsid w:val="00262065"/>
    <w:rsid w:val="0026232E"/>
    <w:rsid w:val="00262331"/>
    <w:rsid w:val="00262550"/>
    <w:rsid w:val="00262742"/>
    <w:rsid w:val="00262AA9"/>
    <w:rsid w:val="00262C87"/>
    <w:rsid w:val="00262F3D"/>
    <w:rsid w:val="00263254"/>
    <w:rsid w:val="00263257"/>
    <w:rsid w:val="00263479"/>
    <w:rsid w:val="00263BB2"/>
    <w:rsid w:val="002640A0"/>
    <w:rsid w:val="002642C5"/>
    <w:rsid w:val="002642D2"/>
    <w:rsid w:val="002643B7"/>
    <w:rsid w:val="002644A1"/>
    <w:rsid w:val="002644EB"/>
    <w:rsid w:val="0026459C"/>
    <w:rsid w:val="00264BD8"/>
    <w:rsid w:val="00264D02"/>
    <w:rsid w:val="0026508D"/>
    <w:rsid w:val="002651A9"/>
    <w:rsid w:val="00265319"/>
    <w:rsid w:val="00265356"/>
    <w:rsid w:val="0026556C"/>
    <w:rsid w:val="00265E79"/>
    <w:rsid w:val="0026603A"/>
    <w:rsid w:val="00266224"/>
    <w:rsid w:val="002664DF"/>
    <w:rsid w:val="00266CD6"/>
    <w:rsid w:val="00266D1C"/>
    <w:rsid w:val="00266E25"/>
    <w:rsid w:val="00267197"/>
    <w:rsid w:val="002671C3"/>
    <w:rsid w:val="002676C5"/>
    <w:rsid w:val="002677C8"/>
    <w:rsid w:val="00267E67"/>
    <w:rsid w:val="00270058"/>
    <w:rsid w:val="00270333"/>
    <w:rsid w:val="00270384"/>
    <w:rsid w:val="00270732"/>
    <w:rsid w:val="002709D2"/>
    <w:rsid w:val="00270CEE"/>
    <w:rsid w:val="00270F7A"/>
    <w:rsid w:val="00271477"/>
    <w:rsid w:val="00271784"/>
    <w:rsid w:val="002717A9"/>
    <w:rsid w:val="00271A8D"/>
    <w:rsid w:val="00271A99"/>
    <w:rsid w:val="002721B4"/>
    <w:rsid w:val="002722FC"/>
    <w:rsid w:val="00272856"/>
    <w:rsid w:val="002735FF"/>
    <w:rsid w:val="0027380A"/>
    <w:rsid w:val="00273971"/>
    <w:rsid w:val="00273CEF"/>
    <w:rsid w:val="00273EC1"/>
    <w:rsid w:val="00274233"/>
    <w:rsid w:val="00274297"/>
    <w:rsid w:val="002745F4"/>
    <w:rsid w:val="00274C57"/>
    <w:rsid w:val="00274EC0"/>
    <w:rsid w:val="0027534A"/>
    <w:rsid w:val="00275489"/>
    <w:rsid w:val="0027551C"/>
    <w:rsid w:val="0027592A"/>
    <w:rsid w:val="00275C5C"/>
    <w:rsid w:val="00275DC2"/>
    <w:rsid w:val="002761DD"/>
    <w:rsid w:val="002763DB"/>
    <w:rsid w:val="0027675D"/>
    <w:rsid w:val="00276891"/>
    <w:rsid w:val="00276908"/>
    <w:rsid w:val="00276D05"/>
    <w:rsid w:val="0027702A"/>
    <w:rsid w:val="0027733A"/>
    <w:rsid w:val="0027755F"/>
    <w:rsid w:val="002776A9"/>
    <w:rsid w:val="002776F4"/>
    <w:rsid w:val="00277743"/>
    <w:rsid w:val="00277893"/>
    <w:rsid w:val="002778D8"/>
    <w:rsid w:val="0027790D"/>
    <w:rsid w:val="00277989"/>
    <w:rsid w:val="002779DB"/>
    <w:rsid w:val="00277E9C"/>
    <w:rsid w:val="00277FB9"/>
    <w:rsid w:val="00280063"/>
    <w:rsid w:val="002800B3"/>
    <w:rsid w:val="00280262"/>
    <w:rsid w:val="00280427"/>
    <w:rsid w:val="00280BC5"/>
    <w:rsid w:val="00280CC0"/>
    <w:rsid w:val="00280E29"/>
    <w:rsid w:val="00281159"/>
    <w:rsid w:val="00281401"/>
    <w:rsid w:val="00281530"/>
    <w:rsid w:val="0028173D"/>
    <w:rsid w:val="002819F5"/>
    <w:rsid w:val="00281A6F"/>
    <w:rsid w:val="00281A7E"/>
    <w:rsid w:val="00281BA4"/>
    <w:rsid w:val="00281C69"/>
    <w:rsid w:val="00282079"/>
    <w:rsid w:val="00282428"/>
    <w:rsid w:val="00282510"/>
    <w:rsid w:val="0028268E"/>
    <w:rsid w:val="002826B4"/>
    <w:rsid w:val="00282777"/>
    <w:rsid w:val="00282A59"/>
    <w:rsid w:val="00282B53"/>
    <w:rsid w:val="00283073"/>
    <w:rsid w:val="002833F9"/>
    <w:rsid w:val="002834C7"/>
    <w:rsid w:val="0028384D"/>
    <w:rsid w:val="00283B49"/>
    <w:rsid w:val="0028411D"/>
    <w:rsid w:val="0028465F"/>
    <w:rsid w:val="00284946"/>
    <w:rsid w:val="00284A3C"/>
    <w:rsid w:val="00284A67"/>
    <w:rsid w:val="00284A90"/>
    <w:rsid w:val="0028568D"/>
    <w:rsid w:val="00285B23"/>
    <w:rsid w:val="00285C67"/>
    <w:rsid w:val="00285D9A"/>
    <w:rsid w:val="00285DDB"/>
    <w:rsid w:val="00285FA9"/>
    <w:rsid w:val="002862CB"/>
    <w:rsid w:val="002862FC"/>
    <w:rsid w:val="0028631E"/>
    <w:rsid w:val="0028676F"/>
    <w:rsid w:val="00286B49"/>
    <w:rsid w:val="00286BB2"/>
    <w:rsid w:val="00286C41"/>
    <w:rsid w:val="00286DC1"/>
    <w:rsid w:val="00286E5F"/>
    <w:rsid w:val="00286F4D"/>
    <w:rsid w:val="00287033"/>
    <w:rsid w:val="0028729A"/>
    <w:rsid w:val="00287334"/>
    <w:rsid w:val="00287402"/>
    <w:rsid w:val="0028775A"/>
    <w:rsid w:val="0028780E"/>
    <w:rsid w:val="002878C3"/>
    <w:rsid w:val="00287F33"/>
    <w:rsid w:val="00290188"/>
    <w:rsid w:val="002906F1"/>
    <w:rsid w:val="0029096F"/>
    <w:rsid w:val="00290B64"/>
    <w:rsid w:val="00290B65"/>
    <w:rsid w:val="00290FE7"/>
    <w:rsid w:val="00291255"/>
    <w:rsid w:val="0029134B"/>
    <w:rsid w:val="00291362"/>
    <w:rsid w:val="002914D5"/>
    <w:rsid w:val="002914F3"/>
    <w:rsid w:val="0029153C"/>
    <w:rsid w:val="00291C2D"/>
    <w:rsid w:val="00292025"/>
    <w:rsid w:val="002922AB"/>
    <w:rsid w:val="002926AC"/>
    <w:rsid w:val="002927E3"/>
    <w:rsid w:val="00292A1E"/>
    <w:rsid w:val="00292BFE"/>
    <w:rsid w:val="00292C95"/>
    <w:rsid w:val="00292DA5"/>
    <w:rsid w:val="0029311E"/>
    <w:rsid w:val="00293270"/>
    <w:rsid w:val="002932CA"/>
    <w:rsid w:val="00293838"/>
    <w:rsid w:val="00293C06"/>
    <w:rsid w:val="00293D18"/>
    <w:rsid w:val="002940E6"/>
    <w:rsid w:val="00294374"/>
    <w:rsid w:val="00294375"/>
    <w:rsid w:val="0029460B"/>
    <w:rsid w:val="00294687"/>
    <w:rsid w:val="00294711"/>
    <w:rsid w:val="00294808"/>
    <w:rsid w:val="002949F2"/>
    <w:rsid w:val="002949FC"/>
    <w:rsid w:val="00294BA8"/>
    <w:rsid w:val="00295306"/>
    <w:rsid w:val="002956B2"/>
    <w:rsid w:val="00295F74"/>
    <w:rsid w:val="00295FAE"/>
    <w:rsid w:val="002963A7"/>
    <w:rsid w:val="0029644A"/>
    <w:rsid w:val="00296581"/>
    <w:rsid w:val="00296F2A"/>
    <w:rsid w:val="00297164"/>
    <w:rsid w:val="0029724E"/>
    <w:rsid w:val="0029752C"/>
    <w:rsid w:val="002975BB"/>
    <w:rsid w:val="002976D0"/>
    <w:rsid w:val="00297AE1"/>
    <w:rsid w:val="00297C92"/>
    <w:rsid w:val="002A0043"/>
    <w:rsid w:val="002A0077"/>
    <w:rsid w:val="002A0088"/>
    <w:rsid w:val="002A014B"/>
    <w:rsid w:val="002A069D"/>
    <w:rsid w:val="002A0760"/>
    <w:rsid w:val="002A0890"/>
    <w:rsid w:val="002A0AB6"/>
    <w:rsid w:val="002A0DBE"/>
    <w:rsid w:val="002A10A0"/>
    <w:rsid w:val="002A1136"/>
    <w:rsid w:val="002A1150"/>
    <w:rsid w:val="002A1760"/>
    <w:rsid w:val="002A17A2"/>
    <w:rsid w:val="002A187A"/>
    <w:rsid w:val="002A187F"/>
    <w:rsid w:val="002A1AB9"/>
    <w:rsid w:val="002A1C72"/>
    <w:rsid w:val="002A1D37"/>
    <w:rsid w:val="002A1F1E"/>
    <w:rsid w:val="002A1F3E"/>
    <w:rsid w:val="002A2103"/>
    <w:rsid w:val="002A27C6"/>
    <w:rsid w:val="002A2814"/>
    <w:rsid w:val="002A2BC9"/>
    <w:rsid w:val="002A2E84"/>
    <w:rsid w:val="002A3529"/>
    <w:rsid w:val="002A38B6"/>
    <w:rsid w:val="002A398F"/>
    <w:rsid w:val="002A3BFB"/>
    <w:rsid w:val="002A3C04"/>
    <w:rsid w:val="002A3CE8"/>
    <w:rsid w:val="002A3E25"/>
    <w:rsid w:val="002A3F4C"/>
    <w:rsid w:val="002A42C6"/>
    <w:rsid w:val="002A44F6"/>
    <w:rsid w:val="002A48B8"/>
    <w:rsid w:val="002A4A3B"/>
    <w:rsid w:val="002A50F6"/>
    <w:rsid w:val="002A55A2"/>
    <w:rsid w:val="002A56D7"/>
    <w:rsid w:val="002A5A1B"/>
    <w:rsid w:val="002A5A29"/>
    <w:rsid w:val="002A5DA6"/>
    <w:rsid w:val="002A6375"/>
    <w:rsid w:val="002A695F"/>
    <w:rsid w:val="002A6C77"/>
    <w:rsid w:val="002A7075"/>
    <w:rsid w:val="002A70FE"/>
    <w:rsid w:val="002A71B5"/>
    <w:rsid w:val="002A774F"/>
    <w:rsid w:val="002A7955"/>
    <w:rsid w:val="002B09DA"/>
    <w:rsid w:val="002B0A27"/>
    <w:rsid w:val="002B0B97"/>
    <w:rsid w:val="002B0C6A"/>
    <w:rsid w:val="002B15E1"/>
    <w:rsid w:val="002B19A1"/>
    <w:rsid w:val="002B1D76"/>
    <w:rsid w:val="002B1DA4"/>
    <w:rsid w:val="002B1F58"/>
    <w:rsid w:val="002B1FD1"/>
    <w:rsid w:val="002B20E6"/>
    <w:rsid w:val="002B223D"/>
    <w:rsid w:val="002B2C3D"/>
    <w:rsid w:val="002B2C82"/>
    <w:rsid w:val="002B312A"/>
    <w:rsid w:val="002B3297"/>
    <w:rsid w:val="002B34FD"/>
    <w:rsid w:val="002B3840"/>
    <w:rsid w:val="002B3F98"/>
    <w:rsid w:val="002B4536"/>
    <w:rsid w:val="002B460F"/>
    <w:rsid w:val="002B489F"/>
    <w:rsid w:val="002B4C65"/>
    <w:rsid w:val="002B4F1B"/>
    <w:rsid w:val="002B5096"/>
    <w:rsid w:val="002B52C1"/>
    <w:rsid w:val="002B5722"/>
    <w:rsid w:val="002B5A7C"/>
    <w:rsid w:val="002B5C7C"/>
    <w:rsid w:val="002B5F85"/>
    <w:rsid w:val="002B617A"/>
    <w:rsid w:val="002B62B2"/>
    <w:rsid w:val="002B64E9"/>
    <w:rsid w:val="002B6BC5"/>
    <w:rsid w:val="002B6C27"/>
    <w:rsid w:val="002B715E"/>
    <w:rsid w:val="002B774F"/>
    <w:rsid w:val="002B775A"/>
    <w:rsid w:val="002B77F5"/>
    <w:rsid w:val="002B7937"/>
    <w:rsid w:val="002C0498"/>
    <w:rsid w:val="002C0909"/>
    <w:rsid w:val="002C1565"/>
    <w:rsid w:val="002C1938"/>
    <w:rsid w:val="002C204C"/>
    <w:rsid w:val="002C207C"/>
    <w:rsid w:val="002C20B9"/>
    <w:rsid w:val="002C25A6"/>
    <w:rsid w:val="002C25CD"/>
    <w:rsid w:val="002C276C"/>
    <w:rsid w:val="002C2947"/>
    <w:rsid w:val="002C29FC"/>
    <w:rsid w:val="002C30CC"/>
    <w:rsid w:val="002C364B"/>
    <w:rsid w:val="002C3A54"/>
    <w:rsid w:val="002C4304"/>
    <w:rsid w:val="002C4509"/>
    <w:rsid w:val="002C45C5"/>
    <w:rsid w:val="002C462C"/>
    <w:rsid w:val="002C4CBA"/>
    <w:rsid w:val="002C4F94"/>
    <w:rsid w:val="002C511E"/>
    <w:rsid w:val="002C517A"/>
    <w:rsid w:val="002C591F"/>
    <w:rsid w:val="002C5C2D"/>
    <w:rsid w:val="002C5CA4"/>
    <w:rsid w:val="002C5CE6"/>
    <w:rsid w:val="002C5E0B"/>
    <w:rsid w:val="002C5E0C"/>
    <w:rsid w:val="002C61A5"/>
    <w:rsid w:val="002C6356"/>
    <w:rsid w:val="002C6A17"/>
    <w:rsid w:val="002C6B89"/>
    <w:rsid w:val="002C6D41"/>
    <w:rsid w:val="002C6F39"/>
    <w:rsid w:val="002C7044"/>
    <w:rsid w:val="002C72B7"/>
    <w:rsid w:val="002C777B"/>
    <w:rsid w:val="002C7818"/>
    <w:rsid w:val="002C7C44"/>
    <w:rsid w:val="002C7C94"/>
    <w:rsid w:val="002C7CA9"/>
    <w:rsid w:val="002D0237"/>
    <w:rsid w:val="002D052A"/>
    <w:rsid w:val="002D0537"/>
    <w:rsid w:val="002D08E7"/>
    <w:rsid w:val="002D095C"/>
    <w:rsid w:val="002D096B"/>
    <w:rsid w:val="002D0BBD"/>
    <w:rsid w:val="002D0C32"/>
    <w:rsid w:val="002D154C"/>
    <w:rsid w:val="002D1577"/>
    <w:rsid w:val="002D16B8"/>
    <w:rsid w:val="002D1923"/>
    <w:rsid w:val="002D1AB2"/>
    <w:rsid w:val="002D1DC8"/>
    <w:rsid w:val="002D2006"/>
    <w:rsid w:val="002D20BD"/>
    <w:rsid w:val="002D2352"/>
    <w:rsid w:val="002D2422"/>
    <w:rsid w:val="002D26D0"/>
    <w:rsid w:val="002D2DBC"/>
    <w:rsid w:val="002D2DEF"/>
    <w:rsid w:val="002D2EBD"/>
    <w:rsid w:val="002D2EF4"/>
    <w:rsid w:val="002D30B9"/>
    <w:rsid w:val="002D3879"/>
    <w:rsid w:val="002D38C6"/>
    <w:rsid w:val="002D3D60"/>
    <w:rsid w:val="002D4495"/>
    <w:rsid w:val="002D4536"/>
    <w:rsid w:val="002D49AC"/>
    <w:rsid w:val="002D49FD"/>
    <w:rsid w:val="002D4A0B"/>
    <w:rsid w:val="002D4BF4"/>
    <w:rsid w:val="002D4C5E"/>
    <w:rsid w:val="002D4DEA"/>
    <w:rsid w:val="002D4E3B"/>
    <w:rsid w:val="002D5225"/>
    <w:rsid w:val="002D570F"/>
    <w:rsid w:val="002D5B4E"/>
    <w:rsid w:val="002D5F90"/>
    <w:rsid w:val="002D6058"/>
    <w:rsid w:val="002D62D6"/>
    <w:rsid w:val="002D676A"/>
    <w:rsid w:val="002D692C"/>
    <w:rsid w:val="002D6A86"/>
    <w:rsid w:val="002D6A94"/>
    <w:rsid w:val="002D6CA1"/>
    <w:rsid w:val="002D6F09"/>
    <w:rsid w:val="002D75C5"/>
    <w:rsid w:val="002D7625"/>
    <w:rsid w:val="002D769C"/>
    <w:rsid w:val="002E04D2"/>
    <w:rsid w:val="002E0662"/>
    <w:rsid w:val="002E0758"/>
    <w:rsid w:val="002E0797"/>
    <w:rsid w:val="002E0BB3"/>
    <w:rsid w:val="002E0DA5"/>
    <w:rsid w:val="002E0E1C"/>
    <w:rsid w:val="002E0F1A"/>
    <w:rsid w:val="002E1266"/>
    <w:rsid w:val="002E1518"/>
    <w:rsid w:val="002E16D6"/>
    <w:rsid w:val="002E1810"/>
    <w:rsid w:val="002E1ABF"/>
    <w:rsid w:val="002E1FF6"/>
    <w:rsid w:val="002E21AC"/>
    <w:rsid w:val="002E2CFE"/>
    <w:rsid w:val="002E2FC0"/>
    <w:rsid w:val="002E31EE"/>
    <w:rsid w:val="002E346E"/>
    <w:rsid w:val="002E351A"/>
    <w:rsid w:val="002E364F"/>
    <w:rsid w:val="002E366C"/>
    <w:rsid w:val="002E37FE"/>
    <w:rsid w:val="002E39E8"/>
    <w:rsid w:val="002E3FDC"/>
    <w:rsid w:val="002E4234"/>
    <w:rsid w:val="002E4526"/>
    <w:rsid w:val="002E4555"/>
    <w:rsid w:val="002E46E1"/>
    <w:rsid w:val="002E4756"/>
    <w:rsid w:val="002E5303"/>
    <w:rsid w:val="002E59AC"/>
    <w:rsid w:val="002E5B44"/>
    <w:rsid w:val="002E5FC6"/>
    <w:rsid w:val="002E6498"/>
    <w:rsid w:val="002E6595"/>
    <w:rsid w:val="002E6687"/>
    <w:rsid w:val="002E687C"/>
    <w:rsid w:val="002E6A60"/>
    <w:rsid w:val="002E6A8E"/>
    <w:rsid w:val="002E6D1B"/>
    <w:rsid w:val="002E6E30"/>
    <w:rsid w:val="002E6EC3"/>
    <w:rsid w:val="002E6F26"/>
    <w:rsid w:val="002E734F"/>
    <w:rsid w:val="002E74C3"/>
    <w:rsid w:val="002E7831"/>
    <w:rsid w:val="002E7848"/>
    <w:rsid w:val="002E7942"/>
    <w:rsid w:val="002E7AEB"/>
    <w:rsid w:val="002F0BFD"/>
    <w:rsid w:val="002F1344"/>
    <w:rsid w:val="002F14A8"/>
    <w:rsid w:val="002F1579"/>
    <w:rsid w:val="002F1882"/>
    <w:rsid w:val="002F1EC5"/>
    <w:rsid w:val="002F1FD7"/>
    <w:rsid w:val="002F2742"/>
    <w:rsid w:val="002F2770"/>
    <w:rsid w:val="002F289B"/>
    <w:rsid w:val="002F2ABE"/>
    <w:rsid w:val="002F315F"/>
    <w:rsid w:val="002F3272"/>
    <w:rsid w:val="002F3326"/>
    <w:rsid w:val="002F33AF"/>
    <w:rsid w:val="002F37DA"/>
    <w:rsid w:val="002F3A12"/>
    <w:rsid w:val="002F3DC5"/>
    <w:rsid w:val="002F3FA1"/>
    <w:rsid w:val="002F4377"/>
    <w:rsid w:val="002F46A6"/>
    <w:rsid w:val="002F48F0"/>
    <w:rsid w:val="002F4A0B"/>
    <w:rsid w:val="002F4A11"/>
    <w:rsid w:val="002F4BE5"/>
    <w:rsid w:val="002F53EE"/>
    <w:rsid w:val="002F55C5"/>
    <w:rsid w:val="002F5754"/>
    <w:rsid w:val="002F5A0F"/>
    <w:rsid w:val="002F5AC5"/>
    <w:rsid w:val="002F5C01"/>
    <w:rsid w:val="002F5CB2"/>
    <w:rsid w:val="002F5F15"/>
    <w:rsid w:val="002F60D7"/>
    <w:rsid w:val="002F63A0"/>
    <w:rsid w:val="002F6501"/>
    <w:rsid w:val="002F65F4"/>
    <w:rsid w:val="002F67F9"/>
    <w:rsid w:val="002F6A36"/>
    <w:rsid w:val="002F6AE2"/>
    <w:rsid w:val="002F714E"/>
    <w:rsid w:val="002F7333"/>
    <w:rsid w:val="002F7470"/>
    <w:rsid w:val="002F78B2"/>
    <w:rsid w:val="002F7BE6"/>
    <w:rsid w:val="002F7C01"/>
    <w:rsid w:val="002F7C2B"/>
    <w:rsid w:val="002F7E29"/>
    <w:rsid w:val="0030001B"/>
    <w:rsid w:val="00300072"/>
    <w:rsid w:val="003003AB"/>
    <w:rsid w:val="0030049E"/>
    <w:rsid w:val="00300647"/>
    <w:rsid w:val="0030081D"/>
    <w:rsid w:val="00300D0C"/>
    <w:rsid w:val="00300ECE"/>
    <w:rsid w:val="00300F5D"/>
    <w:rsid w:val="003010C1"/>
    <w:rsid w:val="00301279"/>
    <w:rsid w:val="003013E7"/>
    <w:rsid w:val="00301681"/>
    <w:rsid w:val="00301CC0"/>
    <w:rsid w:val="00301CE8"/>
    <w:rsid w:val="003026E0"/>
    <w:rsid w:val="00302780"/>
    <w:rsid w:val="003027A9"/>
    <w:rsid w:val="003029B7"/>
    <w:rsid w:val="00302AB5"/>
    <w:rsid w:val="00302C6A"/>
    <w:rsid w:val="00302EBE"/>
    <w:rsid w:val="00302F71"/>
    <w:rsid w:val="0030320D"/>
    <w:rsid w:val="00303297"/>
    <w:rsid w:val="003032AF"/>
    <w:rsid w:val="00303354"/>
    <w:rsid w:val="003033B4"/>
    <w:rsid w:val="00303400"/>
    <w:rsid w:val="003035D3"/>
    <w:rsid w:val="00303AC1"/>
    <w:rsid w:val="00303EEB"/>
    <w:rsid w:val="00303FA2"/>
    <w:rsid w:val="003040FC"/>
    <w:rsid w:val="00304757"/>
    <w:rsid w:val="00304967"/>
    <w:rsid w:val="00304C65"/>
    <w:rsid w:val="003050DE"/>
    <w:rsid w:val="00305437"/>
    <w:rsid w:val="00305578"/>
    <w:rsid w:val="003058C5"/>
    <w:rsid w:val="00305FE0"/>
    <w:rsid w:val="003061B8"/>
    <w:rsid w:val="0030678F"/>
    <w:rsid w:val="00306F7C"/>
    <w:rsid w:val="00307154"/>
    <w:rsid w:val="00307278"/>
    <w:rsid w:val="003072BA"/>
    <w:rsid w:val="003073D1"/>
    <w:rsid w:val="003075D5"/>
    <w:rsid w:val="0030775A"/>
    <w:rsid w:val="00307895"/>
    <w:rsid w:val="0030790E"/>
    <w:rsid w:val="00307C08"/>
    <w:rsid w:val="00307C09"/>
    <w:rsid w:val="00307C5A"/>
    <w:rsid w:val="00307D27"/>
    <w:rsid w:val="00307D73"/>
    <w:rsid w:val="00307EFE"/>
    <w:rsid w:val="003108FA"/>
    <w:rsid w:val="00310907"/>
    <w:rsid w:val="0031146C"/>
    <w:rsid w:val="00311B24"/>
    <w:rsid w:val="0031207A"/>
    <w:rsid w:val="003120E1"/>
    <w:rsid w:val="00312426"/>
    <w:rsid w:val="003126B5"/>
    <w:rsid w:val="00312A47"/>
    <w:rsid w:val="00312AB8"/>
    <w:rsid w:val="00312F1D"/>
    <w:rsid w:val="003132C2"/>
    <w:rsid w:val="0031337C"/>
    <w:rsid w:val="00313626"/>
    <w:rsid w:val="00313696"/>
    <w:rsid w:val="003139AF"/>
    <w:rsid w:val="003139FF"/>
    <w:rsid w:val="00313A2A"/>
    <w:rsid w:val="00313C6F"/>
    <w:rsid w:val="00313DF7"/>
    <w:rsid w:val="003145D3"/>
    <w:rsid w:val="00314744"/>
    <w:rsid w:val="003147CE"/>
    <w:rsid w:val="0031499F"/>
    <w:rsid w:val="00314B49"/>
    <w:rsid w:val="00314CFC"/>
    <w:rsid w:val="00314EAA"/>
    <w:rsid w:val="003151EC"/>
    <w:rsid w:val="00315232"/>
    <w:rsid w:val="0031525F"/>
    <w:rsid w:val="0031542A"/>
    <w:rsid w:val="00315512"/>
    <w:rsid w:val="003155F6"/>
    <w:rsid w:val="00315E0A"/>
    <w:rsid w:val="00315EF7"/>
    <w:rsid w:val="00315F09"/>
    <w:rsid w:val="0031652E"/>
    <w:rsid w:val="0031658C"/>
    <w:rsid w:val="00316659"/>
    <w:rsid w:val="00316663"/>
    <w:rsid w:val="003167B3"/>
    <w:rsid w:val="003169F9"/>
    <w:rsid w:val="00316A82"/>
    <w:rsid w:val="00316A9E"/>
    <w:rsid w:val="0031723A"/>
    <w:rsid w:val="003174BF"/>
    <w:rsid w:val="00317FED"/>
    <w:rsid w:val="003201BA"/>
    <w:rsid w:val="003208A6"/>
    <w:rsid w:val="00320D14"/>
    <w:rsid w:val="00320FDE"/>
    <w:rsid w:val="0032177C"/>
    <w:rsid w:val="003218FC"/>
    <w:rsid w:val="00321E69"/>
    <w:rsid w:val="0032281F"/>
    <w:rsid w:val="0032287A"/>
    <w:rsid w:val="00323174"/>
    <w:rsid w:val="003232F9"/>
    <w:rsid w:val="003238AF"/>
    <w:rsid w:val="00323B94"/>
    <w:rsid w:val="00323C44"/>
    <w:rsid w:val="00323CC9"/>
    <w:rsid w:val="00323DCA"/>
    <w:rsid w:val="00323E2F"/>
    <w:rsid w:val="003241C6"/>
    <w:rsid w:val="0032481A"/>
    <w:rsid w:val="00324931"/>
    <w:rsid w:val="00324CAD"/>
    <w:rsid w:val="00324CFC"/>
    <w:rsid w:val="003250F0"/>
    <w:rsid w:val="00325232"/>
    <w:rsid w:val="003257E4"/>
    <w:rsid w:val="0032586E"/>
    <w:rsid w:val="0032597D"/>
    <w:rsid w:val="00325F39"/>
    <w:rsid w:val="00326274"/>
    <w:rsid w:val="00326363"/>
    <w:rsid w:val="0032696E"/>
    <w:rsid w:val="00326FDB"/>
    <w:rsid w:val="00327096"/>
    <w:rsid w:val="003275F9"/>
    <w:rsid w:val="00327D11"/>
    <w:rsid w:val="00327E06"/>
    <w:rsid w:val="00327E89"/>
    <w:rsid w:val="00330169"/>
    <w:rsid w:val="003303CA"/>
    <w:rsid w:val="003303DA"/>
    <w:rsid w:val="00330CA8"/>
    <w:rsid w:val="00330E0B"/>
    <w:rsid w:val="003313AD"/>
    <w:rsid w:val="00331431"/>
    <w:rsid w:val="003314D9"/>
    <w:rsid w:val="00332F97"/>
    <w:rsid w:val="00333228"/>
    <w:rsid w:val="00333682"/>
    <w:rsid w:val="0033399F"/>
    <w:rsid w:val="00333A88"/>
    <w:rsid w:val="00333AB4"/>
    <w:rsid w:val="00333B57"/>
    <w:rsid w:val="00333C61"/>
    <w:rsid w:val="0033422B"/>
    <w:rsid w:val="0033496C"/>
    <w:rsid w:val="00334A67"/>
    <w:rsid w:val="003352BB"/>
    <w:rsid w:val="003355F0"/>
    <w:rsid w:val="0033589A"/>
    <w:rsid w:val="003358A2"/>
    <w:rsid w:val="00335DE9"/>
    <w:rsid w:val="00335E1F"/>
    <w:rsid w:val="00335F8D"/>
    <w:rsid w:val="00336049"/>
    <w:rsid w:val="003360BA"/>
    <w:rsid w:val="003361C7"/>
    <w:rsid w:val="0033622D"/>
    <w:rsid w:val="00336320"/>
    <w:rsid w:val="00336446"/>
    <w:rsid w:val="003367DD"/>
    <w:rsid w:val="00336AC7"/>
    <w:rsid w:val="00336C72"/>
    <w:rsid w:val="00336CCF"/>
    <w:rsid w:val="00336E6B"/>
    <w:rsid w:val="00336EA8"/>
    <w:rsid w:val="00336ED3"/>
    <w:rsid w:val="00337083"/>
    <w:rsid w:val="0033713C"/>
    <w:rsid w:val="0033756B"/>
    <w:rsid w:val="00337669"/>
    <w:rsid w:val="003377B4"/>
    <w:rsid w:val="00337BB9"/>
    <w:rsid w:val="0034051D"/>
    <w:rsid w:val="0034135B"/>
    <w:rsid w:val="003413A5"/>
    <w:rsid w:val="00341463"/>
    <w:rsid w:val="0034146A"/>
    <w:rsid w:val="00341476"/>
    <w:rsid w:val="003414FC"/>
    <w:rsid w:val="0034186D"/>
    <w:rsid w:val="00341CE8"/>
    <w:rsid w:val="00341E50"/>
    <w:rsid w:val="00341FE2"/>
    <w:rsid w:val="00342841"/>
    <w:rsid w:val="00342E54"/>
    <w:rsid w:val="00342F03"/>
    <w:rsid w:val="00342F10"/>
    <w:rsid w:val="00342F2A"/>
    <w:rsid w:val="00342F8A"/>
    <w:rsid w:val="00343009"/>
    <w:rsid w:val="003433BF"/>
    <w:rsid w:val="00343F79"/>
    <w:rsid w:val="0034451A"/>
    <w:rsid w:val="0034456B"/>
    <w:rsid w:val="00344680"/>
    <w:rsid w:val="00344AE1"/>
    <w:rsid w:val="00345286"/>
    <w:rsid w:val="003453A8"/>
    <w:rsid w:val="0034568A"/>
    <w:rsid w:val="003457B3"/>
    <w:rsid w:val="0034580C"/>
    <w:rsid w:val="00345A38"/>
    <w:rsid w:val="00346127"/>
    <w:rsid w:val="00346665"/>
    <w:rsid w:val="00347103"/>
    <w:rsid w:val="00347187"/>
    <w:rsid w:val="003474CE"/>
    <w:rsid w:val="00347616"/>
    <w:rsid w:val="0034762D"/>
    <w:rsid w:val="00347882"/>
    <w:rsid w:val="00347915"/>
    <w:rsid w:val="00347E19"/>
    <w:rsid w:val="00347E1C"/>
    <w:rsid w:val="00347E1E"/>
    <w:rsid w:val="003502FA"/>
    <w:rsid w:val="0035056E"/>
    <w:rsid w:val="003508F1"/>
    <w:rsid w:val="00350981"/>
    <w:rsid w:val="00350C1D"/>
    <w:rsid w:val="003511CB"/>
    <w:rsid w:val="00351313"/>
    <w:rsid w:val="00351612"/>
    <w:rsid w:val="0035198C"/>
    <w:rsid w:val="00351BFE"/>
    <w:rsid w:val="00351E8F"/>
    <w:rsid w:val="00351ECB"/>
    <w:rsid w:val="00352149"/>
    <w:rsid w:val="003523B2"/>
    <w:rsid w:val="003524D8"/>
    <w:rsid w:val="00352994"/>
    <w:rsid w:val="00352BA9"/>
    <w:rsid w:val="00352C44"/>
    <w:rsid w:val="0035337B"/>
    <w:rsid w:val="00353457"/>
    <w:rsid w:val="003537AE"/>
    <w:rsid w:val="00353C6E"/>
    <w:rsid w:val="00353D12"/>
    <w:rsid w:val="00353DDB"/>
    <w:rsid w:val="00353DF0"/>
    <w:rsid w:val="0035436F"/>
    <w:rsid w:val="00354505"/>
    <w:rsid w:val="00354760"/>
    <w:rsid w:val="0035503C"/>
    <w:rsid w:val="00355101"/>
    <w:rsid w:val="00355400"/>
    <w:rsid w:val="00355649"/>
    <w:rsid w:val="00355F13"/>
    <w:rsid w:val="0035603E"/>
    <w:rsid w:val="003560DB"/>
    <w:rsid w:val="00356808"/>
    <w:rsid w:val="00356C0A"/>
    <w:rsid w:val="00356C60"/>
    <w:rsid w:val="00356FEC"/>
    <w:rsid w:val="003575C9"/>
    <w:rsid w:val="0035767E"/>
    <w:rsid w:val="00357851"/>
    <w:rsid w:val="00357935"/>
    <w:rsid w:val="00357B00"/>
    <w:rsid w:val="00360149"/>
    <w:rsid w:val="00360299"/>
    <w:rsid w:val="003603BC"/>
    <w:rsid w:val="00360ABA"/>
    <w:rsid w:val="00360AFD"/>
    <w:rsid w:val="00360B87"/>
    <w:rsid w:val="00360E3C"/>
    <w:rsid w:val="00360E5E"/>
    <w:rsid w:val="00360E89"/>
    <w:rsid w:val="0036139A"/>
    <w:rsid w:val="003613F8"/>
    <w:rsid w:val="00361556"/>
    <w:rsid w:val="003615BB"/>
    <w:rsid w:val="00361715"/>
    <w:rsid w:val="003619B9"/>
    <w:rsid w:val="00361E0E"/>
    <w:rsid w:val="00361E41"/>
    <w:rsid w:val="00362102"/>
    <w:rsid w:val="0036214B"/>
    <w:rsid w:val="003627AC"/>
    <w:rsid w:val="003629F6"/>
    <w:rsid w:val="00362E98"/>
    <w:rsid w:val="00362EF4"/>
    <w:rsid w:val="00363659"/>
    <w:rsid w:val="00363D2E"/>
    <w:rsid w:val="00363D7A"/>
    <w:rsid w:val="00363F52"/>
    <w:rsid w:val="00363FB8"/>
    <w:rsid w:val="003640CE"/>
    <w:rsid w:val="0036426F"/>
    <w:rsid w:val="00364557"/>
    <w:rsid w:val="0036471F"/>
    <w:rsid w:val="00364875"/>
    <w:rsid w:val="00364A38"/>
    <w:rsid w:val="00364C6F"/>
    <w:rsid w:val="003652A2"/>
    <w:rsid w:val="00366724"/>
    <w:rsid w:val="00366826"/>
    <w:rsid w:val="00367256"/>
    <w:rsid w:val="00367435"/>
    <w:rsid w:val="0036769C"/>
    <w:rsid w:val="003676BB"/>
    <w:rsid w:val="00367727"/>
    <w:rsid w:val="0037022C"/>
    <w:rsid w:val="003702E0"/>
    <w:rsid w:val="003704A9"/>
    <w:rsid w:val="003707BD"/>
    <w:rsid w:val="00370A36"/>
    <w:rsid w:val="00370FC1"/>
    <w:rsid w:val="0037109B"/>
    <w:rsid w:val="0037157C"/>
    <w:rsid w:val="00372207"/>
    <w:rsid w:val="00372358"/>
    <w:rsid w:val="0037245D"/>
    <w:rsid w:val="00372794"/>
    <w:rsid w:val="00372BAE"/>
    <w:rsid w:val="00372BDD"/>
    <w:rsid w:val="00372FCA"/>
    <w:rsid w:val="00373284"/>
    <w:rsid w:val="00373A36"/>
    <w:rsid w:val="00373B99"/>
    <w:rsid w:val="00373DD7"/>
    <w:rsid w:val="00374025"/>
    <w:rsid w:val="0037431A"/>
    <w:rsid w:val="003748A9"/>
    <w:rsid w:val="00374ACE"/>
    <w:rsid w:val="00374C8D"/>
    <w:rsid w:val="00375151"/>
    <w:rsid w:val="00375332"/>
    <w:rsid w:val="00375845"/>
    <w:rsid w:val="003758A7"/>
    <w:rsid w:val="00375F84"/>
    <w:rsid w:val="00375FA0"/>
    <w:rsid w:val="00376CF6"/>
    <w:rsid w:val="00377017"/>
    <w:rsid w:val="00377027"/>
    <w:rsid w:val="0037706C"/>
    <w:rsid w:val="00377570"/>
    <w:rsid w:val="00377C66"/>
    <w:rsid w:val="00377C8C"/>
    <w:rsid w:val="00377EAC"/>
    <w:rsid w:val="00380CBA"/>
    <w:rsid w:val="00380DFC"/>
    <w:rsid w:val="00380FBB"/>
    <w:rsid w:val="00381055"/>
    <w:rsid w:val="00381105"/>
    <w:rsid w:val="00381471"/>
    <w:rsid w:val="00381C88"/>
    <w:rsid w:val="00381D67"/>
    <w:rsid w:val="00382192"/>
    <w:rsid w:val="0038220F"/>
    <w:rsid w:val="003824EC"/>
    <w:rsid w:val="003827FD"/>
    <w:rsid w:val="00382CEC"/>
    <w:rsid w:val="00382F70"/>
    <w:rsid w:val="003830CE"/>
    <w:rsid w:val="003833DE"/>
    <w:rsid w:val="00383445"/>
    <w:rsid w:val="0038344B"/>
    <w:rsid w:val="00383758"/>
    <w:rsid w:val="00383925"/>
    <w:rsid w:val="00383BF7"/>
    <w:rsid w:val="00383C00"/>
    <w:rsid w:val="0038426E"/>
    <w:rsid w:val="003846FA"/>
    <w:rsid w:val="00384A04"/>
    <w:rsid w:val="00384C07"/>
    <w:rsid w:val="00385BCF"/>
    <w:rsid w:val="00385C63"/>
    <w:rsid w:val="00385E37"/>
    <w:rsid w:val="00386093"/>
    <w:rsid w:val="00386244"/>
    <w:rsid w:val="003869D4"/>
    <w:rsid w:val="00386A5D"/>
    <w:rsid w:val="00386CB3"/>
    <w:rsid w:val="00386D01"/>
    <w:rsid w:val="00386E1B"/>
    <w:rsid w:val="003873F0"/>
    <w:rsid w:val="003874CD"/>
    <w:rsid w:val="003877A1"/>
    <w:rsid w:val="00387FB0"/>
    <w:rsid w:val="0039010A"/>
    <w:rsid w:val="00390515"/>
    <w:rsid w:val="00390651"/>
    <w:rsid w:val="003908EB"/>
    <w:rsid w:val="00390926"/>
    <w:rsid w:val="00390A57"/>
    <w:rsid w:val="00390DF9"/>
    <w:rsid w:val="00390EE1"/>
    <w:rsid w:val="00390F54"/>
    <w:rsid w:val="00391630"/>
    <w:rsid w:val="00391ABA"/>
    <w:rsid w:val="00391BD3"/>
    <w:rsid w:val="00391F76"/>
    <w:rsid w:val="00392201"/>
    <w:rsid w:val="003924BE"/>
    <w:rsid w:val="003927B8"/>
    <w:rsid w:val="003928B0"/>
    <w:rsid w:val="003928C5"/>
    <w:rsid w:val="003929A6"/>
    <w:rsid w:val="00392DD8"/>
    <w:rsid w:val="003934F2"/>
    <w:rsid w:val="00393843"/>
    <w:rsid w:val="00393B4D"/>
    <w:rsid w:val="00393D88"/>
    <w:rsid w:val="00393D96"/>
    <w:rsid w:val="00393F56"/>
    <w:rsid w:val="00394190"/>
    <w:rsid w:val="003945A8"/>
    <w:rsid w:val="00394F80"/>
    <w:rsid w:val="00395500"/>
    <w:rsid w:val="003955AD"/>
    <w:rsid w:val="00395721"/>
    <w:rsid w:val="00395730"/>
    <w:rsid w:val="00395A23"/>
    <w:rsid w:val="00395FFC"/>
    <w:rsid w:val="00396419"/>
    <w:rsid w:val="00396723"/>
    <w:rsid w:val="00396801"/>
    <w:rsid w:val="00396ADE"/>
    <w:rsid w:val="00396B2A"/>
    <w:rsid w:val="00396DFD"/>
    <w:rsid w:val="00397032"/>
    <w:rsid w:val="00397051"/>
    <w:rsid w:val="003971AC"/>
    <w:rsid w:val="003973FF"/>
    <w:rsid w:val="003974B6"/>
    <w:rsid w:val="0039752D"/>
    <w:rsid w:val="00397539"/>
    <w:rsid w:val="0039788B"/>
    <w:rsid w:val="00397BCA"/>
    <w:rsid w:val="00397C98"/>
    <w:rsid w:val="00397CB9"/>
    <w:rsid w:val="00397F15"/>
    <w:rsid w:val="003A005F"/>
    <w:rsid w:val="003A0685"/>
    <w:rsid w:val="003A06D7"/>
    <w:rsid w:val="003A07D6"/>
    <w:rsid w:val="003A0876"/>
    <w:rsid w:val="003A092E"/>
    <w:rsid w:val="003A0936"/>
    <w:rsid w:val="003A0A55"/>
    <w:rsid w:val="003A0AA3"/>
    <w:rsid w:val="003A1148"/>
    <w:rsid w:val="003A11A7"/>
    <w:rsid w:val="003A11CA"/>
    <w:rsid w:val="003A1749"/>
    <w:rsid w:val="003A1AEF"/>
    <w:rsid w:val="003A1D97"/>
    <w:rsid w:val="003A2226"/>
    <w:rsid w:val="003A22DD"/>
    <w:rsid w:val="003A2424"/>
    <w:rsid w:val="003A2B56"/>
    <w:rsid w:val="003A2EF6"/>
    <w:rsid w:val="003A360C"/>
    <w:rsid w:val="003A36B0"/>
    <w:rsid w:val="003A372A"/>
    <w:rsid w:val="003A3770"/>
    <w:rsid w:val="003A3CEB"/>
    <w:rsid w:val="003A3D61"/>
    <w:rsid w:val="003A3D82"/>
    <w:rsid w:val="003A3DA7"/>
    <w:rsid w:val="003A4380"/>
    <w:rsid w:val="003A4565"/>
    <w:rsid w:val="003A49C7"/>
    <w:rsid w:val="003A4A22"/>
    <w:rsid w:val="003A525B"/>
    <w:rsid w:val="003A5550"/>
    <w:rsid w:val="003A5896"/>
    <w:rsid w:val="003A5C47"/>
    <w:rsid w:val="003A5D9A"/>
    <w:rsid w:val="003A5DFF"/>
    <w:rsid w:val="003A5F74"/>
    <w:rsid w:val="003A5F82"/>
    <w:rsid w:val="003A62C4"/>
    <w:rsid w:val="003A6BC4"/>
    <w:rsid w:val="003A6EEC"/>
    <w:rsid w:val="003A7071"/>
    <w:rsid w:val="003A717B"/>
    <w:rsid w:val="003A7403"/>
    <w:rsid w:val="003A7467"/>
    <w:rsid w:val="003A77FE"/>
    <w:rsid w:val="003A7A80"/>
    <w:rsid w:val="003A7B9D"/>
    <w:rsid w:val="003A7D29"/>
    <w:rsid w:val="003A7DAF"/>
    <w:rsid w:val="003A7DFF"/>
    <w:rsid w:val="003A7F55"/>
    <w:rsid w:val="003B0AF0"/>
    <w:rsid w:val="003B0C37"/>
    <w:rsid w:val="003B1221"/>
    <w:rsid w:val="003B159E"/>
    <w:rsid w:val="003B15A2"/>
    <w:rsid w:val="003B15FA"/>
    <w:rsid w:val="003B165A"/>
    <w:rsid w:val="003B16B1"/>
    <w:rsid w:val="003B1C1D"/>
    <w:rsid w:val="003B1FCD"/>
    <w:rsid w:val="003B25A0"/>
    <w:rsid w:val="003B29B4"/>
    <w:rsid w:val="003B2CC0"/>
    <w:rsid w:val="003B2E58"/>
    <w:rsid w:val="003B2F10"/>
    <w:rsid w:val="003B30FE"/>
    <w:rsid w:val="003B334F"/>
    <w:rsid w:val="003B3978"/>
    <w:rsid w:val="003B39D8"/>
    <w:rsid w:val="003B3D67"/>
    <w:rsid w:val="003B4466"/>
    <w:rsid w:val="003B482E"/>
    <w:rsid w:val="003B4B02"/>
    <w:rsid w:val="003B4B8D"/>
    <w:rsid w:val="003B5306"/>
    <w:rsid w:val="003B5384"/>
    <w:rsid w:val="003B53E2"/>
    <w:rsid w:val="003B596A"/>
    <w:rsid w:val="003B6247"/>
    <w:rsid w:val="003B6324"/>
    <w:rsid w:val="003B66AF"/>
    <w:rsid w:val="003B6774"/>
    <w:rsid w:val="003B6B19"/>
    <w:rsid w:val="003B6B26"/>
    <w:rsid w:val="003B71C5"/>
    <w:rsid w:val="003B7359"/>
    <w:rsid w:val="003C057E"/>
    <w:rsid w:val="003C0A52"/>
    <w:rsid w:val="003C0AD3"/>
    <w:rsid w:val="003C0C5A"/>
    <w:rsid w:val="003C0CE2"/>
    <w:rsid w:val="003C12A8"/>
    <w:rsid w:val="003C1A14"/>
    <w:rsid w:val="003C2096"/>
    <w:rsid w:val="003C20E7"/>
    <w:rsid w:val="003C24D6"/>
    <w:rsid w:val="003C2BE6"/>
    <w:rsid w:val="003C2C46"/>
    <w:rsid w:val="003C3337"/>
    <w:rsid w:val="003C349D"/>
    <w:rsid w:val="003C35ED"/>
    <w:rsid w:val="003C378E"/>
    <w:rsid w:val="003C3881"/>
    <w:rsid w:val="003C3D45"/>
    <w:rsid w:val="003C3DBF"/>
    <w:rsid w:val="003C419E"/>
    <w:rsid w:val="003C441C"/>
    <w:rsid w:val="003C4662"/>
    <w:rsid w:val="003C49C6"/>
    <w:rsid w:val="003C4A56"/>
    <w:rsid w:val="003C4B87"/>
    <w:rsid w:val="003C4CF4"/>
    <w:rsid w:val="003C4E54"/>
    <w:rsid w:val="003C53F8"/>
    <w:rsid w:val="003C57BF"/>
    <w:rsid w:val="003C5805"/>
    <w:rsid w:val="003C5991"/>
    <w:rsid w:val="003C5A12"/>
    <w:rsid w:val="003C5CB1"/>
    <w:rsid w:val="003C6418"/>
    <w:rsid w:val="003C66BE"/>
    <w:rsid w:val="003C68C0"/>
    <w:rsid w:val="003C6B36"/>
    <w:rsid w:val="003C7FDB"/>
    <w:rsid w:val="003D07D5"/>
    <w:rsid w:val="003D0A30"/>
    <w:rsid w:val="003D0A4F"/>
    <w:rsid w:val="003D0D39"/>
    <w:rsid w:val="003D0D8F"/>
    <w:rsid w:val="003D0E03"/>
    <w:rsid w:val="003D121E"/>
    <w:rsid w:val="003D1380"/>
    <w:rsid w:val="003D13DC"/>
    <w:rsid w:val="003D1657"/>
    <w:rsid w:val="003D187E"/>
    <w:rsid w:val="003D1985"/>
    <w:rsid w:val="003D1C12"/>
    <w:rsid w:val="003D1D4D"/>
    <w:rsid w:val="003D1E03"/>
    <w:rsid w:val="003D2213"/>
    <w:rsid w:val="003D29BF"/>
    <w:rsid w:val="003D2B00"/>
    <w:rsid w:val="003D2BCF"/>
    <w:rsid w:val="003D2C95"/>
    <w:rsid w:val="003D34E9"/>
    <w:rsid w:val="003D36F4"/>
    <w:rsid w:val="003D37A5"/>
    <w:rsid w:val="003D3D5F"/>
    <w:rsid w:val="003D3E6D"/>
    <w:rsid w:val="003D3FD4"/>
    <w:rsid w:val="003D3FEF"/>
    <w:rsid w:val="003D4017"/>
    <w:rsid w:val="003D41F2"/>
    <w:rsid w:val="003D43B8"/>
    <w:rsid w:val="003D46E4"/>
    <w:rsid w:val="003D46E9"/>
    <w:rsid w:val="003D476C"/>
    <w:rsid w:val="003D4777"/>
    <w:rsid w:val="003D4CAB"/>
    <w:rsid w:val="003D4FAC"/>
    <w:rsid w:val="003D500C"/>
    <w:rsid w:val="003D5037"/>
    <w:rsid w:val="003D5BDC"/>
    <w:rsid w:val="003D5BFF"/>
    <w:rsid w:val="003D5E68"/>
    <w:rsid w:val="003D5FEA"/>
    <w:rsid w:val="003D6097"/>
    <w:rsid w:val="003D615A"/>
    <w:rsid w:val="003D64C0"/>
    <w:rsid w:val="003D6653"/>
    <w:rsid w:val="003D6783"/>
    <w:rsid w:val="003D678E"/>
    <w:rsid w:val="003D6A33"/>
    <w:rsid w:val="003D6DF8"/>
    <w:rsid w:val="003D708F"/>
    <w:rsid w:val="003D71E7"/>
    <w:rsid w:val="003D772C"/>
    <w:rsid w:val="003E002F"/>
    <w:rsid w:val="003E034F"/>
    <w:rsid w:val="003E0982"/>
    <w:rsid w:val="003E148D"/>
    <w:rsid w:val="003E14CF"/>
    <w:rsid w:val="003E1C00"/>
    <w:rsid w:val="003E2D36"/>
    <w:rsid w:val="003E2EED"/>
    <w:rsid w:val="003E3164"/>
    <w:rsid w:val="003E3282"/>
    <w:rsid w:val="003E38D2"/>
    <w:rsid w:val="003E3907"/>
    <w:rsid w:val="003E4A9C"/>
    <w:rsid w:val="003E4B5F"/>
    <w:rsid w:val="003E4EC6"/>
    <w:rsid w:val="003E51CC"/>
    <w:rsid w:val="003E53FA"/>
    <w:rsid w:val="003E5A02"/>
    <w:rsid w:val="003E5BE1"/>
    <w:rsid w:val="003E5D7B"/>
    <w:rsid w:val="003E5E3B"/>
    <w:rsid w:val="003E5EDF"/>
    <w:rsid w:val="003E643F"/>
    <w:rsid w:val="003E6471"/>
    <w:rsid w:val="003E6617"/>
    <w:rsid w:val="003E674E"/>
    <w:rsid w:val="003E6BCB"/>
    <w:rsid w:val="003E7731"/>
    <w:rsid w:val="003F0169"/>
    <w:rsid w:val="003F0177"/>
    <w:rsid w:val="003F0346"/>
    <w:rsid w:val="003F0B7A"/>
    <w:rsid w:val="003F0C99"/>
    <w:rsid w:val="003F1006"/>
    <w:rsid w:val="003F1172"/>
    <w:rsid w:val="003F1726"/>
    <w:rsid w:val="003F1A18"/>
    <w:rsid w:val="003F1A56"/>
    <w:rsid w:val="003F1EC0"/>
    <w:rsid w:val="003F2020"/>
    <w:rsid w:val="003F2E36"/>
    <w:rsid w:val="003F2EA4"/>
    <w:rsid w:val="003F3165"/>
    <w:rsid w:val="003F35DD"/>
    <w:rsid w:val="003F38F2"/>
    <w:rsid w:val="003F3A21"/>
    <w:rsid w:val="003F3AEB"/>
    <w:rsid w:val="003F3B98"/>
    <w:rsid w:val="003F3D15"/>
    <w:rsid w:val="003F3E5C"/>
    <w:rsid w:val="003F47FC"/>
    <w:rsid w:val="003F4ABA"/>
    <w:rsid w:val="003F4B7C"/>
    <w:rsid w:val="003F4ED1"/>
    <w:rsid w:val="003F52A2"/>
    <w:rsid w:val="003F52B4"/>
    <w:rsid w:val="003F5332"/>
    <w:rsid w:val="003F5C24"/>
    <w:rsid w:val="003F5CA0"/>
    <w:rsid w:val="003F6090"/>
    <w:rsid w:val="003F60BB"/>
    <w:rsid w:val="003F617C"/>
    <w:rsid w:val="003F6430"/>
    <w:rsid w:val="003F65F2"/>
    <w:rsid w:val="003F6A49"/>
    <w:rsid w:val="003F6B5F"/>
    <w:rsid w:val="003F6DAC"/>
    <w:rsid w:val="003F74E3"/>
    <w:rsid w:val="003F7853"/>
    <w:rsid w:val="003F792D"/>
    <w:rsid w:val="003F7DE4"/>
    <w:rsid w:val="003F7FB6"/>
    <w:rsid w:val="003F7FBE"/>
    <w:rsid w:val="00400185"/>
    <w:rsid w:val="004007B9"/>
    <w:rsid w:val="004008DF"/>
    <w:rsid w:val="0040090B"/>
    <w:rsid w:val="004011AF"/>
    <w:rsid w:val="004011DA"/>
    <w:rsid w:val="004011E5"/>
    <w:rsid w:val="004012F2"/>
    <w:rsid w:val="0040172A"/>
    <w:rsid w:val="004017F2"/>
    <w:rsid w:val="00401B41"/>
    <w:rsid w:val="00401EBC"/>
    <w:rsid w:val="004022FA"/>
    <w:rsid w:val="00402652"/>
    <w:rsid w:val="00402808"/>
    <w:rsid w:val="004028AB"/>
    <w:rsid w:val="00402934"/>
    <w:rsid w:val="004029F7"/>
    <w:rsid w:val="00402A54"/>
    <w:rsid w:val="00402CA3"/>
    <w:rsid w:val="00402E41"/>
    <w:rsid w:val="00403146"/>
    <w:rsid w:val="004031E3"/>
    <w:rsid w:val="00403466"/>
    <w:rsid w:val="004037D9"/>
    <w:rsid w:val="00403C56"/>
    <w:rsid w:val="00403C6A"/>
    <w:rsid w:val="0040482B"/>
    <w:rsid w:val="00404A28"/>
    <w:rsid w:val="00404D29"/>
    <w:rsid w:val="00404D42"/>
    <w:rsid w:val="00404DD8"/>
    <w:rsid w:val="00405688"/>
    <w:rsid w:val="004057B3"/>
    <w:rsid w:val="00405B74"/>
    <w:rsid w:val="00405B7F"/>
    <w:rsid w:val="00405B9A"/>
    <w:rsid w:val="00405C67"/>
    <w:rsid w:val="00405E80"/>
    <w:rsid w:val="00406208"/>
    <w:rsid w:val="004069A8"/>
    <w:rsid w:val="00406D0A"/>
    <w:rsid w:val="00406DD4"/>
    <w:rsid w:val="004076EC"/>
    <w:rsid w:val="004076EF"/>
    <w:rsid w:val="00407983"/>
    <w:rsid w:val="00407AEA"/>
    <w:rsid w:val="0041058C"/>
    <w:rsid w:val="00410B4D"/>
    <w:rsid w:val="00410DCC"/>
    <w:rsid w:val="00410F64"/>
    <w:rsid w:val="00410F84"/>
    <w:rsid w:val="00411317"/>
    <w:rsid w:val="00411528"/>
    <w:rsid w:val="00411713"/>
    <w:rsid w:val="004118CA"/>
    <w:rsid w:val="00411A61"/>
    <w:rsid w:val="00411A92"/>
    <w:rsid w:val="00411D1D"/>
    <w:rsid w:val="00411DBF"/>
    <w:rsid w:val="004127C0"/>
    <w:rsid w:val="00413446"/>
    <w:rsid w:val="00413A04"/>
    <w:rsid w:val="00413D8A"/>
    <w:rsid w:val="00413DB9"/>
    <w:rsid w:val="00413FE2"/>
    <w:rsid w:val="004140F3"/>
    <w:rsid w:val="0041410F"/>
    <w:rsid w:val="00414298"/>
    <w:rsid w:val="004144E3"/>
    <w:rsid w:val="004146BF"/>
    <w:rsid w:val="004147F5"/>
    <w:rsid w:val="00414EA3"/>
    <w:rsid w:val="00414F99"/>
    <w:rsid w:val="0041514D"/>
    <w:rsid w:val="00415581"/>
    <w:rsid w:val="00415594"/>
    <w:rsid w:val="00415C50"/>
    <w:rsid w:val="00415CBA"/>
    <w:rsid w:val="00415E7B"/>
    <w:rsid w:val="00416103"/>
    <w:rsid w:val="004161BB"/>
    <w:rsid w:val="004168C4"/>
    <w:rsid w:val="00416EDF"/>
    <w:rsid w:val="00416FB6"/>
    <w:rsid w:val="0041716E"/>
    <w:rsid w:val="00417273"/>
    <w:rsid w:val="0041740A"/>
    <w:rsid w:val="004174BE"/>
    <w:rsid w:val="004175EE"/>
    <w:rsid w:val="00417739"/>
    <w:rsid w:val="00417981"/>
    <w:rsid w:val="00417A76"/>
    <w:rsid w:val="00417E18"/>
    <w:rsid w:val="00420244"/>
    <w:rsid w:val="004206D7"/>
    <w:rsid w:val="004208AC"/>
    <w:rsid w:val="004209AE"/>
    <w:rsid w:val="00420D1C"/>
    <w:rsid w:val="00420DAE"/>
    <w:rsid w:val="00420E90"/>
    <w:rsid w:val="004218E9"/>
    <w:rsid w:val="00421954"/>
    <w:rsid w:val="00421ABB"/>
    <w:rsid w:val="00421AFD"/>
    <w:rsid w:val="00421FA1"/>
    <w:rsid w:val="00422488"/>
    <w:rsid w:val="00422514"/>
    <w:rsid w:val="00422529"/>
    <w:rsid w:val="00422A4F"/>
    <w:rsid w:val="00422B35"/>
    <w:rsid w:val="00423020"/>
    <w:rsid w:val="00423259"/>
    <w:rsid w:val="0042336C"/>
    <w:rsid w:val="0042392B"/>
    <w:rsid w:val="00424737"/>
    <w:rsid w:val="004248EC"/>
    <w:rsid w:val="00424C87"/>
    <w:rsid w:val="00424C99"/>
    <w:rsid w:val="00424CA0"/>
    <w:rsid w:val="00425150"/>
    <w:rsid w:val="00425341"/>
    <w:rsid w:val="0042552C"/>
    <w:rsid w:val="004256B9"/>
    <w:rsid w:val="00425813"/>
    <w:rsid w:val="00425D85"/>
    <w:rsid w:val="00425DA5"/>
    <w:rsid w:val="004260B4"/>
    <w:rsid w:val="0042684F"/>
    <w:rsid w:val="00426D9D"/>
    <w:rsid w:val="00426FF3"/>
    <w:rsid w:val="004271E1"/>
    <w:rsid w:val="004271FA"/>
    <w:rsid w:val="0042728C"/>
    <w:rsid w:val="00427319"/>
    <w:rsid w:val="004273D6"/>
    <w:rsid w:val="00427BB2"/>
    <w:rsid w:val="00430A9D"/>
    <w:rsid w:val="00430EEB"/>
    <w:rsid w:val="00431606"/>
    <w:rsid w:val="00431C53"/>
    <w:rsid w:val="00431D7A"/>
    <w:rsid w:val="00431F44"/>
    <w:rsid w:val="00432090"/>
    <w:rsid w:val="004321D0"/>
    <w:rsid w:val="004322A9"/>
    <w:rsid w:val="00432496"/>
    <w:rsid w:val="00432813"/>
    <w:rsid w:val="00432CE7"/>
    <w:rsid w:val="00432F1B"/>
    <w:rsid w:val="0043326C"/>
    <w:rsid w:val="0043351F"/>
    <w:rsid w:val="004335DE"/>
    <w:rsid w:val="00433798"/>
    <w:rsid w:val="004339C8"/>
    <w:rsid w:val="00433BD3"/>
    <w:rsid w:val="004342F2"/>
    <w:rsid w:val="004346BA"/>
    <w:rsid w:val="0043485F"/>
    <w:rsid w:val="00434CCD"/>
    <w:rsid w:val="00434DB6"/>
    <w:rsid w:val="00434EEC"/>
    <w:rsid w:val="00435113"/>
    <w:rsid w:val="0043514C"/>
    <w:rsid w:val="004351EA"/>
    <w:rsid w:val="0043533B"/>
    <w:rsid w:val="0043555A"/>
    <w:rsid w:val="00435844"/>
    <w:rsid w:val="00435890"/>
    <w:rsid w:val="004358EB"/>
    <w:rsid w:val="00435AF9"/>
    <w:rsid w:val="00435D23"/>
    <w:rsid w:val="00435D7C"/>
    <w:rsid w:val="0043660C"/>
    <w:rsid w:val="00436C50"/>
    <w:rsid w:val="00436C94"/>
    <w:rsid w:val="00436CFF"/>
    <w:rsid w:val="00436D46"/>
    <w:rsid w:val="0043705A"/>
    <w:rsid w:val="00437222"/>
    <w:rsid w:val="004373A7"/>
    <w:rsid w:val="00437781"/>
    <w:rsid w:val="00437A02"/>
    <w:rsid w:val="00437DE3"/>
    <w:rsid w:val="004400F4"/>
    <w:rsid w:val="00440236"/>
    <w:rsid w:val="00440307"/>
    <w:rsid w:val="00440B18"/>
    <w:rsid w:val="00440CAA"/>
    <w:rsid w:val="00441134"/>
    <w:rsid w:val="00441605"/>
    <w:rsid w:val="00441849"/>
    <w:rsid w:val="004419D3"/>
    <w:rsid w:val="0044226B"/>
    <w:rsid w:val="00442487"/>
    <w:rsid w:val="00442618"/>
    <w:rsid w:val="00442C1F"/>
    <w:rsid w:val="00442DC3"/>
    <w:rsid w:val="00442EA2"/>
    <w:rsid w:val="00442FBD"/>
    <w:rsid w:val="004433E5"/>
    <w:rsid w:val="00443547"/>
    <w:rsid w:val="004436F5"/>
    <w:rsid w:val="004438DC"/>
    <w:rsid w:val="004439C7"/>
    <w:rsid w:val="00443BE1"/>
    <w:rsid w:val="00443C35"/>
    <w:rsid w:val="00443E2D"/>
    <w:rsid w:val="0044413E"/>
    <w:rsid w:val="00444332"/>
    <w:rsid w:val="00444796"/>
    <w:rsid w:val="00444B83"/>
    <w:rsid w:val="00444FB3"/>
    <w:rsid w:val="00445100"/>
    <w:rsid w:val="00445122"/>
    <w:rsid w:val="0044537E"/>
    <w:rsid w:val="00445517"/>
    <w:rsid w:val="00445AD8"/>
    <w:rsid w:val="00445C0B"/>
    <w:rsid w:val="00445D13"/>
    <w:rsid w:val="00445F22"/>
    <w:rsid w:val="00445F24"/>
    <w:rsid w:val="00445F8F"/>
    <w:rsid w:val="00446273"/>
    <w:rsid w:val="004463C2"/>
    <w:rsid w:val="004463ED"/>
    <w:rsid w:val="004470D5"/>
    <w:rsid w:val="004474AC"/>
    <w:rsid w:val="0044759D"/>
    <w:rsid w:val="00447BE9"/>
    <w:rsid w:val="00447DF8"/>
    <w:rsid w:val="00450456"/>
    <w:rsid w:val="004506A0"/>
    <w:rsid w:val="00450EDF"/>
    <w:rsid w:val="004510CB"/>
    <w:rsid w:val="0045124D"/>
    <w:rsid w:val="0045138A"/>
    <w:rsid w:val="004518D3"/>
    <w:rsid w:val="00451A9E"/>
    <w:rsid w:val="00451B96"/>
    <w:rsid w:val="00451E72"/>
    <w:rsid w:val="00452252"/>
    <w:rsid w:val="004525ED"/>
    <w:rsid w:val="0045270A"/>
    <w:rsid w:val="00452A56"/>
    <w:rsid w:val="00452E33"/>
    <w:rsid w:val="00452E37"/>
    <w:rsid w:val="00452F3D"/>
    <w:rsid w:val="00453014"/>
    <w:rsid w:val="00453077"/>
    <w:rsid w:val="0045340A"/>
    <w:rsid w:val="004534AC"/>
    <w:rsid w:val="004535D2"/>
    <w:rsid w:val="004536CB"/>
    <w:rsid w:val="00453783"/>
    <w:rsid w:val="0045387E"/>
    <w:rsid w:val="004539F9"/>
    <w:rsid w:val="00454457"/>
    <w:rsid w:val="0045458A"/>
    <w:rsid w:val="00454967"/>
    <w:rsid w:val="00454B11"/>
    <w:rsid w:val="00454FAC"/>
    <w:rsid w:val="004550A0"/>
    <w:rsid w:val="004550C3"/>
    <w:rsid w:val="00455179"/>
    <w:rsid w:val="004556D8"/>
    <w:rsid w:val="00455B16"/>
    <w:rsid w:val="00455BB4"/>
    <w:rsid w:val="00455C28"/>
    <w:rsid w:val="00455ECB"/>
    <w:rsid w:val="00455F5D"/>
    <w:rsid w:val="00455F7D"/>
    <w:rsid w:val="0045653A"/>
    <w:rsid w:val="004565ED"/>
    <w:rsid w:val="00456936"/>
    <w:rsid w:val="00456E26"/>
    <w:rsid w:val="00456F6E"/>
    <w:rsid w:val="00456FEA"/>
    <w:rsid w:val="0045735F"/>
    <w:rsid w:val="004573AC"/>
    <w:rsid w:val="004574A6"/>
    <w:rsid w:val="00457643"/>
    <w:rsid w:val="00457AFC"/>
    <w:rsid w:val="004601AA"/>
    <w:rsid w:val="0046087B"/>
    <w:rsid w:val="00460AE2"/>
    <w:rsid w:val="00460CC5"/>
    <w:rsid w:val="00460E57"/>
    <w:rsid w:val="0046124C"/>
    <w:rsid w:val="00461664"/>
    <w:rsid w:val="00461934"/>
    <w:rsid w:val="00461E10"/>
    <w:rsid w:val="004620C0"/>
    <w:rsid w:val="004624FD"/>
    <w:rsid w:val="0046250C"/>
    <w:rsid w:val="0046264B"/>
    <w:rsid w:val="00462D10"/>
    <w:rsid w:val="00462EDA"/>
    <w:rsid w:val="00463345"/>
    <w:rsid w:val="004634C7"/>
    <w:rsid w:val="004638E1"/>
    <w:rsid w:val="00463E89"/>
    <w:rsid w:val="00464523"/>
    <w:rsid w:val="00464669"/>
    <w:rsid w:val="00464675"/>
    <w:rsid w:val="004646B2"/>
    <w:rsid w:val="004646EE"/>
    <w:rsid w:val="00464804"/>
    <w:rsid w:val="0046481F"/>
    <w:rsid w:val="0046482E"/>
    <w:rsid w:val="0046504F"/>
    <w:rsid w:val="004650D1"/>
    <w:rsid w:val="004651B8"/>
    <w:rsid w:val="0046523E"/>
    <w:rsid w:val="004652B8"/>
    <w:rsid w:val="004655B7"/>
    <w:rsid w:val="00465708"/>
    <w:rsid w:val="0046627B"/>
    <w:rsid w:val="004663B5"/>
    <w:rsid w:val="0046693A"/>
    <w:rsid w:val="00466AA9"/>
    <w:rsid w:val="00466B55"/>
    <w:rsid w:val="00466D6B"/>
    <w:rsid w:val="00467827"/>
    <w:rsid w:val="00467859"/>
    <w:rsid w:val="00467902"/>
    <w:rsid w:val="00467DEE"/>
    <w:rsid w:val="00467F81"/>
    <w:rsid w:val="00470009"/>
    <w:rsid w:val="004702A9"/>
    <w:rsid w:val="0047095C"/>
    <w:rsid w:val="0047095F"/>
    <w:rsid w:val="00470979"/>
    <w:rsid w:val="0047119E"/>
    <w:rsid w:val="0047151D"/>
    <w:rsid w:val="00471967"/>
    <w:rsid w:val="00471CCA"/>
    <w:rsid w:val="0047204A"/>
    <w:rsid w:val="00472F1B"/>
    <w:rsid w:val="00472F49"/>
    <w:rsid w:val="0047326D"/>
    <w:rsid w:val="004732AD"/>
    <w:rsid w:val="0047403C"/>
    <w:rsid w:val="0047411C"/>
    <w:rsid w:val="00474139"/>
    <w:rsid w:val="00474233"/>
    <w:rsid w:val="0047428F"/>
    <w:rsid w:val="004742AB"/>
    <w:rsid w:val="0047592E"/>
    <w:rsid w:val="00475975"/>
    <w:rsid w:val="00475AA6"/>
    <w:rsid w:val="00475AC2"/>
    <w:rsid w:val="00475C41"/>
    <w:rsid w:val="0047610F"/>
    <w:rsid w:val="0047639B"/>
    <w:rsid w:val="004763C0"/>
    <w:rsid w:val="0047652B"/>
    <w:rsid w:val="00476689"/>
    <w:rsid w:val="00476B54"/>
    <w:rsid w:val="0047765E"/>
    <w:rsid w:val="0047787C"/>
    <w:rsid w:val="00477AF0"/>
    <w:rsid w:val="00477B63"/>
    <w:rsid w:val="00477C80"/>
    <w:rsid w:val="0048001A"/>
    <w:rsid w:val="004800FC"/>
    <w:rsid w:val="00480A43"/>
    <w:rsid w:val="00480CF9"/>
    <w:rsid w:val="00481086"/>
    <w:rsid w:val="004812B5"/>
    <w:rsid w:val="004812D5"/>
    <w:rsid w:val="00481517"/>
    <w:rsid w:val="004816EA"/>
    <w:rsid w:val="00481AC2"/>
    <w:rsid w:val="00481B04"/>
    <w:rsid w:val="00481C35"/>
    <w:rsid w:val="00481C6A"/>
    <w:rsid w:val="00481D8A"/>
    <w:rsid w:val="00481F00"/>
    <w:rsid w:val="004827D6"/>
    <w:rsid w:val="0048285F"/>
    <w:rsid w:val="00482B05"/>
    <w:rsid w:val="00483362"/>
    <w:rsid w:val="00483367"/>
    <w:rsid w:val="00483488"/>
    <w:rsid w:val="004836AA"/>
    <w:rsid w:val="0048373D"/>
    <w:rsid w:val="0048381F"/>
    <w:rsid w:val="00484133"/>
    <w:rsid w:val="0048440B"/>
    <w:rsid w:val="00484A23"/>
    <w:rsid w:val="00484F25"/>
    <w:rsid w:val="00485506"/>
    <w:rsid w:val="00485A24"/>
    <w:rsid w:val="00485B2B"/>
    <w:rsid w:val="00485B62"/>
    <w:rsid w:val="00485C0D"/>
    <w:rsid w:val="00485E5B"/>
    <w:rsid w:val="00485FED"/>
    <w:rsid w:val="00486459"/>
    <w:rsid w:val="004864CD"/>
    <w:rsid w:val="00486E93"/>
    <w:rsid w:val="004870A2"/>
    <w:rsid w:val="00487723"/>
    <w:rsid w:val="00487A70"/>
    <w:rsid w:val="00487D24"/>
    <w:rsid w:val="00487F61"/>
    <w:rsid w:val="004900E9"/>
    <w:rsid w:val="00490212"/>
    <w:rsid w:val="0049053C"/>
    <w:rsid w:val="0049090E"/>
    <w:rsid w:val="00490BA2"/>
    <w:rsid w:val="004911B3"/>
    <w:rsid w:val="0049143A"/>
    <w:rsid w:val="00491902"/>
    <w:rsid w:val="00491CFE"/>
    <w:rsid w:val="00491E1B"/>
    <w:rsid w:val="00491EF9"/>
    <w:rsid w:val="0049224E"/>
    <w:rsid w:val="00492809"/>
    <w:rsid w:val="00492C66"/>
    <w:rsid w:val="00492E0A"/>
    <w:rsid w:val="004932C7"/>
    <w:rsid w:val="00493502"/>
    <w:rsid w:val="004935C4"/>
    <w:rsid w:val="0049382D"/>
    <w:rsid w:val="00493A48"/>
    <w:rsid w:val="00493D64"/>
    <w:rsid w:val="00493E04"/>
    <w:rsid w:val="00493EC7"/>
    <w:rsid w:val="00493ED9"/>
    <w:rsid w:val="00493F11"/>
    <w:rsid w:val="00494144"/>
    <w:rsid w:val="004941E6"/>
    <w:rsid w:val="00494332"/>
    <w:rsid w:val="00494B1E"/>
    <w:rsid w:val="00494E1C"/>
    <w:rsid w:val="004952BA"/>
    <w:rsid w:val="00495331"/>
    <w:rsid w:val="0049556C"/>
    <w:rsid w:val="004955F5"/>
    <w:rsid w:val="004958BC"/>
    <w:rsid w:val="00495C6C"/>
    <w:rsid w:val="00495E70"/>
    <w:rsid w:val="00495FCB"/>
    <w:rsid w:val="00496091"/>
    <w:rsid w:val="0049615A"/>
    <w:rsid w:val="00496261"/>
    <w:rsid w:val="00496369"/>
    <w:rsid w:val="0049643B"/>
    <w:rsid w:val="00496699"/>
    <w:rsid w:val="0049692A"/>
    <w:rsid w:val="00496A0A"/>
    <w:rsid w:val="00496E2A"/>
    <w:rsid w:val="004973D4"/>
    <w:rsid w:val="004974E5"/>
    <w:rsid w:val="00497562"/>
    <w:rsid w:val="004976CB"/>
    <w:rsid w:val="00497AA7"/>
    <w:rsid w:val="00497CD5"/>
    <w:rsid w:val="00497D6D"/>
    <w:rsid w:val="004A0453"/>
    <w:rsid w:val="004A0709"/>
    <w:rsid w:val="004A0807"/>
    <w:rsid w:val="004A0883"/>
    <w:rsid w:val="004A0952"/>
    <w:rsid w:val="004A0A5C"/>
    <w:rsid w:val="004A0BB6"/>
    <w:rsid w:val="004A12C5"/>
    <w:rsid w:val="004A1532"/>
    <w:rsid w:val="004A161B"/>
    <w:rsid w:val="004A16F2"/>
    <w:rsid w:val="004A1C0E"/>
    <w:rsid w:val="004A1ED9"/>
    <w:rsid w:val="004A1F0D"/>
    <w:rsid w:val="004A2063"/>
    <w:rsid w:val="004A21FE"/>
    <w:rsid w:val="004A2629"/>
    <w:rsid w:val="004A26A7"/>
    <w:rsid w:val="004A2C4C"/>
    <w:rsid w:val="004A2C51"/>
    <w:rsid w:val="004A2F3F"/>
    <w:rsid w:val="004A32A4"/>
    <w:rsid w:val="004A3425"/>
    <w:rsid w:val="004A34FC"/>
    <w:rsid w:val="004A365C"/>
    <w:rsid w:val="004A3782"/>
    <w:rsid w:val="004A3E7C"/>
    <w:rsid w:val="004A3FCB"/>
    <w:rsid w:val="004A4132"/>
    <w:rsid w:val="004A44C6"/>
    <w:rsid w:val="004A4775"/>
    <w:rsid w:val="004A48A2"/>
    <w:rsid w:val="004A4A35"/>
    <w:rsid w:val="004A4E42"/>
    <w:rsid w:val="004A50B1"/>
    <w:rsid w:val="004A52B6"/>
    <w:rsid w:val="004A55EF"/>
    <w:rsid w:val="004A56E2"/>
    <w:rsid w:val="004A5C69"/>
    <w:rsid w:val="004A6773"/>
    <w:rsid w:val="004A6A5E"/>
    <w:rsid w:val="004A7088"/>
    <w:rsid w:val="004A73B9"/>
    <w:rsid w:val="004A74C7"/>
    <w:rsid w:val="004A7655"/>
    <w:rsid w:val="004A7925"/>
    <w:rsid w:val="004A7A49"/>
    <w:rsid w:val="004A7B21"/>
    <w:rsid w:val="004A7B57"/>
    <w:rsid w:val="004A7B75"/>
    <w:rsid w:val="004B015E"/>
    <w:rsid w:val="004B0766"/>
    <w:rsid w:val="004B08DB"/>
    <w:rsid w:val="004B0B85"/>
    <w:rsid w:val="004B0DDB"/>
    <w:rsid w:val="004B0E1A"/>
    <w:rsid w:val="004B0F1B"/>
    <w:rsid w:val="004B175A"/>
    <w:rsid w:val="004B184E"/>
    <w:rsid w:val="004B1AB6"/>
    <w:rsid w:val="004B1BD8"/>
    <w:rsid w:val="004B1FAA"/>
    <w:rsid w:val="004B2410"/>
    <w:rsid w:val="004B2456"/>
    <w:rsid w:val="004B24E3"/>
    <w:rsid w:val="004B25B9"/>
    <w:rsid w:val="004B2761"/>
    <w:rsid w:val="004B37A2"/>
    <w:rsid w:val="004B3AB8"/>
    <w:rsid w:val="004B3C04"/>
    <w:rsid w:val="004B3CD1"/>
    <w:rsid w:val="004B3D5D"/>
    <w:rsid w:val="004B3D82"/>
    <w:rsid w:val="004B42D9"/>
    <w:rsid w:val="004B450D"/>
    <w:rsid w:val="004B46A4"/>
    <w:rsid w:val="004B4BFB"/>
    <w:rsid w:val="004B501E"/>
    <w:rsid w:val="004B506B"/>
    <w:rsid w:val="004B5362"/>
    <w:rsid w:val="004B56D8"/>
    <w:rsid w:val="004B580F"/>
    <w:rsid w:val="004B58F1"/>
    <w:rsid w:val="004B5E28"/>
    <w:rsid w:val="004B5FD1"/>
    <w:rsid w:val="004B62D0"/>
    <w:rsid w:val="004B6A4C"/>
    <w:rsid w:val="004B6E72"/>
    <w:rsid w:val="004B77A0"/>
    <w:rsid w:val="004B78A7"/>
    <w:rsid w:val="004B7C2C"/>
    <w:rsid w:val="004C044A"/>
    <w:rsid w:val="004C076F"/>
    <w:rsid w:val="004C08C7"/>
    <w:rsid w:val="004C0D8B"/>
    <w:rsid w:val="004C1474"/>
    <w:rsid w:val="004C1526"/>
    <w:rsid w:val="004C1CD4"/>
    <w:rsid w:val="004C2057"/>
    <w:rsid w:val="004C21F8"/>
    <w:rsid w:val="004C2794"/>
    <w:rsid w:val="004C2886"/>
    <w:rsid w:val="004C28EA"/>
    <w:rsid w:val="004C29C6"/>
    <w:rsid w:val="004C2A46"/>
    <w:rsid w:val="004C2BC8"/>
    <w:rsid w:val="004C3144"/>
    <w:rsid w:val="004C3240"/>
    <w:rsid w:val="004C32B6"/>
    <w:rsid w:val="004C3895"/>
    <w:rsid w:val="004C399F"/>
    <w:rsid w:val="004C39F1"/>
    <w:rsid w:val="004C3E5B"/>
    <w:rsid w:val="004C41C9"/>
    <w:rsid w:val="004C43A3"/>
    <w:rsid w:val="004C45D4"/>
    <w:rsid w:val="004C5136"/>
    <w:rsid w:val="004C51A4"/>
    <w:rsid w:val="004C5A89"/>
    <w:rsid w:val="004C5E84"/>
    <w:rsid w:val="004C636E"/>
    <w:rsid w:val="004C64D7"/>
    <w:rsid w:val="004C67C4"/>
    <w:rsid w:val="004C6862"/>
    <w:rsid w:val="004C6968"/>
    <w:rsid w:val="004C6B21"/>
    <w:rsid w:val="004C6FBE"/>
    <w:rsid w:val="004C72B3"/>
    <w:rsid w:val="004C72D8"/>
    <w:rsid w:val="004C74A5"/>
    <w:rsid w:val="004C75FD"/>
    <w:rsid w:val="004C78CF"/>
    <w:rsid w:val="004C795D"/>
    <w:rsid w:val="004C795F"/>
    <w:rsid w:val="004C7B3E"/>
    <w:rsid w:val="004C7C63"/>
    <w:rsid w:val="004C7CE5"/>
    <w:rsid w:val="004C7E47"/>
    <w:rsid w:val="004D0223"/>
    <w:rsid w:val="004D0752"/>
    <w:rsid w:val="004D15AC"/>
    <w:rsid w:val="004D172A"/>
    <w:rsid w:val="004D1C85"/>
    <w:rsid w:val="004D23BF"/>
    <w:rsid w:val="004D254C"/>
    <w:rsid w:val="004D2552"/>
    <w:rsid w:val="004D2636"/>
    <w:rsid w:val="004D2684"/>
    <w:rsid w:val="004D26F5"/>
    <w:rsid w:val="004D2CC0"/>
    <w:rsid w:val="004D2E00"/>
    <w:rsid w:val="004D30B7"/>
    <w:rsid w:val="004D383F"/>
    <w:rsid w:val="004D3857"/>
    <w:rsid w:val="004D388A"/>
    <w:rsid w:val="004D3AE8"/>
    <w:rsid w:val="004D3F67"/>
    <w:rsid w:val="004D4FCA"/>
    <w:rsid w:val="004D501C"/>
    <w:rsid w:val="004D517A"/>
    <w:rsid w:val="004D521C"/>
    <w:rsid w:val="004D52B5"/>
    <w:rsid w:val="004D541E"/>
    <w:rsid w:val="004D545F"/>
    <w:rsid w:val="004D54AD"/>
    <w:rsid w:val="004D57B6"/>
    <w:rsid w:val="004D58DE"/>
    <w:rsid w:val="004D6074"/>
    <w:rsid w:val="004D60D1"/>
    <w:rsid w:val="004D642B"/>
    <w:rsid w:val="004D66F0"/>
    <w:rsid w:val="004D6A3D"/>
    <w:rsid w:val="004D6E0F"/>
    <w:rsid w:val="004D6EE8"/>
    <w:rsid w:val="004D7538"/>
    <w:rsid w:val="004E0236"/>
    <w:rsid w:val="004E07BD"/>
    <w:rsid w:val="004E13C6"/>
    <w:rsid w:val="004E1951"/>
    <w:rsid w:val="004E1B7A"/>
    <w:rsid w:val="004E1E95"/>
    <w:rsid w:val="004E213E"/>
    <w:rsid w:val="004E234B"/>
    <w:rsid w:val="004E23C9"/>
    <w:rsid w:val="004E241E"/>
    <w:rsid w:val="004E250A"/>
    <w:rsid w:val="004E29C3"/>
    <w:rsid w:val="004E2C00"/>
    <w:rsid w:val="004E2C85"/>
    <w:rsid w:val="004E2D8A"/>
    <w:rsid w:val="004E2E80"/>
    <w:rsid w:val="004E2F07"/>
    <w:rsid w:val="004E3184"/>
    <w:rsid w:val="004E35F7"/>
    <w:rsid w:val="004E3CAB"/>
    <w:rsid w:val="004E43F6"/>
    <w:rsid w:val="004E448C"/>
    <w:rsid w:val="004E44E0"/>
    <w:rsid w:val="004E45FF"/>
    <w:rsid w:val="004E4C6C"/>
    <w:rsid w:val="004E4CE6"/>
    <w:rsid w:val="004E4D79"/>
    <w:rsid w:val="004E4DF1"/>
    <w:rsid w:val="004E4E8E"/>
    <w:rsid w:val="004E4EA6"/>
    <w:rsid w:val="004E6695"/>
    <w:rsid w:val="004E67A1"/>
    <w:rsid w:val="004E6A70"/>
    <w:rsid w:val="004E6B42"/>
    <w:rsid w:val="004E6B4D"/>
    <w:rsid w:val="004E6CA1"/>
    <w:rsid w:val="004E731F"/>
    <w:rsid w:val="004E7A91"/>
    <w:rsid w:val="004E7CC8"/>
    <w:rsid w:val="004E7DB6"/>
    <w:rsid w:val="004F00B5"/>
    <w:rsid w:val="004F014A"/>
    <w:rsid w:val="004F04B7"/>
    <w:rsid w:val="004F09AB"/>
    <w:rsid w:val="004F0D41"/>
    <w:rsid w:val="004F0EF9"/>
    <w:rsid w:val="004F0F83"/>
    <w:rsid w:val="004F11C1"/>
    <w:rsid w:val="004F1882"/>
    <w:rsid w:val="004F1AE9"/>
    <w:rsid w:val="004F1B76"/>
    <w:rsid w:val="004F29A1"/>
    <w:rsid w:val="004F2B64"/>
    <w:rsid w:val="004F2B8E"/>
    <w:rsid w:val="004F2EDF"/>
    <w:rsid w:val="004F313A"/>
    <w:rsid w:val="004F32B1"/>
    <w:rsid w:val="004F357F"/>
    <w:rsid w:val="004F36CD"/>
    <w:rsid w:val="004F377F"/>
    <w:rsid w:val="004F37E9"/>
    <w:rsid w:val="004F3C4E"/>
    <w:rsid w:val="004F4502"/>
    <w:rsid w:val="004F48A1"/>
    <w:rsid w:val="004F499D"/>
    <w:rsid w:val="004F49BA"/>
    <w:rsid w:val="004F4D86"/>
    <w:rsid w:val="004F4F39"/>
    <w:rsid w:val="004F57F5"/>
    <w:rsid w:val="004F6B75"/>
    <w:rsid w:val="004F7298"/>
    <w:rsid w:val="004F7355"/>
    <w:rsid w:val="004F7643"/>
    <w:rsid w:val="004F774D"/>
    <w:rsid w:val="004F77BD"/>
    <w:rsid w:val="004F7973"/>
    <w:rsid w:val="004F7976"/>
    <w:rsid w:val="004F7CBE"/>
    <w:rsid w:val="004F7F97"/>
    <w:rsid w:val="00500010"/>
    <w:rsid w:val="005004BE"/>
    <w:rsid w:val="0050091E"/>
    <w:rsid w:val="005009F7"/>
    <w:rsid w:val="00500B02"/>
    <w:rsid w:val="00500DB8"/>
    <w:rsid w:val="00500E1C"/>
    <w:rsid w:val="00500EDA"/>
    <w:rsid w:val="005013A6"/>
    <w:rsid w:val="00501EFA"/>
    <w:rsid w:val="0050205E"/>
    <w:rsid w:val="00502184"/>
    <w:rsid w:val="0050249B"/>
    <w:rsid w:val="005025C4"/>
    <w:rsid w:val="00502B14"/>
    <w:rsid w:val="00502B2F"/>
    <w:rsid w:val="0050339F"/>
    <w:rsid w:val="005033DF"/>
    <w:rsid w:val="0050395F"/>
    <w:rsid w:val="00503F08"/>
    <w:rsid w:val="0050462B"/>
    <w:rsid w:val="0050487B"/>
    <w:rsid w:val="0050495D"/>
    <w:rsid w:val="00504BD9"/>
    <w:rsid w:val="0050503B"/>
    <w:rsid w:val="005057B1"/>
    <w:rsid w:val="00505C1F"/>
    <w:rsid w:val="0050600E"/>
    <w:rsid w:val="00506207"/>
    <w:rsid w:val="005062DF"/>
    <w:rsid w:val="005065EB"/>
    <w:rsid w:val="00506648"/>
    <w:rsid w:val="005068D0"/>
    <w:rsid w:val="005069D5"/>
    <w:rsid w:val="005072D1"/>
    <w:rsid w:val="0050769D"/>
    <w:rsid w:val="00507C3E"/>
    <w:rsid w:val="00507DB8"/>
    <w:rsid w:val="00507DCB"/>
    <w:rsid w:val="00507ED1"/>
    <w:rsid w:val="00507FDC"/>
    <w:rsid w:val="00510104"/>
    <w:rsid w:val="0051051D"/>
    <w:rsid w:val="00510A3E"/>
    <w:rsid w:val="00510CB7"/>
    <w:rsid w:val="00510CE2"/>
    <w:rsid w:val="00510D62"/>
    <w:rsid w:val="00511418"/>
    <w:rsid w:val="005114FD"/>
    <w:rsid w:val="0051152F"/>
    <w:rsid w:val="00511721"/>
    <w:rsid w:val="00511996"/>
    <w:rsid w:val="00511AB2"/>
    <w:rsid w:val="00511BFE"/>
    <w:rsid w:val="00511F2D"/>
    <w:rsid w:val="00511F93"/>
    <w:rsid w:val="0051208F"/>
    <w:rsid w:val="0051211C"/>
    <w:rsid w:val="00512146"/>
    <w:rsid w:val="0051231E"/>
    <w:rsid w:val="00512646"/>
    <w:rsid w:val="00512D69"/>
    <w:rsid w:val="005130CA"/>
    <w:rsid w:val="0051312C"/>
    <w:rsid w:val="0051315F"/>
    <w:rsid w:val="0051417E"/>
    <w:rsid w:val="00514188"/>
    <w:rsid w:val="005149D5"/>
    <w:rsid w:val="00514A4B"/>
    <w:rsid w:val="00514A8B"/>
    <w:rsid w:val="00514E56"/>
    <w:rsid w:val="0051551C"/>
    <w:rsid w:val="005157D2"/>
    <w:rsid w:val="00515AA9"/>
    <w:rsid w:val="00515C3B"/>
    <w:rsid w:val="00515FD3"/>
    <w:rsid w:val="0051600C"/>
    <w:rsid w:val="00516270"/>
    <w:rsid w:val="005163C9"/>
    <w:rsid w:val="00516D13"/>
    <w:rsid w:val="00516DB2"/>
    <w:rsid w:val="00516E52"/>
    <w:rsid w:val="00517077"/>
    <w:rsid w:val="005171EC"/>
    <w:rsid w:val="00517290"/>
    <w:rsid w:val="00517310"/>
    <w:rsid w:val="00517354"/>
    <w:rsid w:val="00517C12"/>
    <w:rsid w:val="00517CDF"/>
    <w:rsid w:val="00517D7B"/>
    <w:rsid w:val="00517FD6"/>
    <w:rsid w:val="005202C9"/>
    <w:rsid w:val="005207EB"/>
    <w:rsid w:val="00520A04"/>
    <w:rsid w:val="00520C0C"/>
    <w:rsid w:val="00520F23"/>
    <w:rsid w:val="00520F45"/>
    <w:rsid w:val="00521922"/>
    <w:rsid w:val="00521F90"/>
    <w:rsid w:val="00521FAA"/>
    <w:rsid w:val="00522003"/>
    <w:rsid w:val="0052253D"/>
    <w:rsid w:val="00522603"/>
    <w:rsid w:val="0052264C"/>
    <w:rsid w:val="00522711"/>
    <w:rsid w:val="005227EF"/>
    <w:rsid w:val="00522920"/>
    <w:rsid w:val="005229A7"/>
    <w:rsid w:val="00522CE0"/>
    <w:rsid w:val="00522EBA"/>
    <w:rsid w:val="00522EE4"/>
    <w:rsid w:val="00522FDE"/>
    <w:rsid w:val="005230C4"/>
    <w:rsid w:val="005230CE"/>
    <w:rsid w:val="005231BE"/>
    <w:rsid w:val="0052330F"/>
    <w:rsid w:val="00523596"/>
    <w:rsid w:val="00523935"/>
    <w:rsid w:val="00523D4B"/>
    <w:rsid w:val="005244B8"/>
    <w:rsid w:val="00524632"/>
    <w:rsid w:val="005253E5"/>
    <w:rsid w:val="00525472"/>
    <w:rsid w:val="005255DE"/>
    <w:rsid w:val="00525794"/>
    <w:rsid w:val="00525839"/>
    <w:rsid w:val="00525897"/>
    <w:rsid w:val="00525A28"/>
    <w:rsid w:val="00525E5A"/>
    <w:rsid w:val="00525FAA"/>
    <w:rsid w:val="00526661"/>
    <w:rsid w:val="0052676B"/>
    <w:rsid w:val="005269C8"/>
    <w:rsid w:val="00526E3E"/>
    <w:rsid w:val="0052739E"/>
    <w:rsid w:val="0052741F"/>
    <w:rsid w:val="0052754C"/>
    <w:rsid w:val="00527760"/>
    <w:rsid w:val="00527E9E"/>
    <w:rsid w:val="0053013B"/>
    <w:rsid w:val="00530393"/>
    <w:rsid w:val="005303EA"/>
    <w:rsid w:val="005306E7"/>
    <w:rsid w:val="005308CF"/>
    <w:rsid w:val="00530954"/>
    <w:rsid w:val="00530DD1"/>
    <w:rsid w:val="00531151"/>
    <w:rsid w:val="0053167D"/>
    <w:rsid w:val="005317AC"/>
    <w:rsid w:val="005317CE"/>
    <w:rsid w:val="005317F2"/>
    <w:rsid w:val="0053183A"/>
    <w:rsid w:val="005318C9"/>
    <w:rsid w:val="00531DDB"/>
    <w:rsid w:val="00531F83"/>
    <w:rsid w:val="00531FCF"/>
    <w:rsid w:val="005323F4"/>
    <w:rsid w:val="00532498"/>
    <w:rsid w:val="00532944"/>
    <w:rsid w:val="005329B1"/>
    <w:rsid w:val="00532AEB"/>
    <w:rsid w:val="00532E56"/>
    <w:rsid w:val="0053313F"/>
    <w:rsid w:val="0053352F"/>
    <w:rsid w:val="0053371C"/>
    <w:rsid w:val="005338C3"/>
    <w:rsid w:val="00533B28"/>
    <w:rsid w:val="0053409D"/>
    <w:rsid w:val="0053444F"/>
    <w:rsid w:val="00534D70"/>
    <w:rsid w:val="00534F47"/>
    <w:rsid w:val="005350A0"/>
    <w:rsid w:val="00535323"/>
    <w:rsid w:val="0053563F"/>
    <w:rsid w:val="00535ADA"/>
    <w:rsid w:val="00535DE9"/>
    <w:rsid w:val="00536097"/>
    <w:rsid w:val="005361ED"/>
    <w:rsid w:val="00536A03"/>
    <w:rsid w:val="00536CF7"/>
    <w:rsid w:val="00536ECC"/>
    <w:rsid w:val="005375CB"/>
    <w:rsid w:val="00537757"/>
    <w:rsid w:val="005377C2"/>
    <w:rsid w:val="005377F3"/>
    <w:rsid w:val="0053787E"/>
    <w:rsid w:val="00537B18"/>
    <w:rsid w:val="00537B37"/>
    <w:rsid w:val="00537B81"/>
    <w:rsid w:val="00537FE3"/>
    <w:rsid w:val="0054004F"/>
    <w:rsid w:val="00540056"/>
    <w:rsid w:val="005407BF"/>
    <w:rsid w:val="005408C5"/>
    <w:rsid w:val="005408DF"/>
    <w:rsid w:val="00540920"/>
    <w:rsid w:val="00540B87"/>
    <w:rsid w:val="00540BFF"/>
    <w:rsid w:val="005418AB"/>
    <w:rsid w:val="00541BEC"/>
    <w:rsid w:val="005420E5"/>
    <w:rsid w:val="00542382"/>
    <w:rsid w:val="005423EE"/>
    <w:rsid w:val="00542792"/>
    <w:rsid w:val="005427B2"/>
    <w:rsid w:val="00543442"/>
    <w:rsid w:val="0054346B"/>
    <w:rsid w:val="00543761"/>
    <w:rsid w:val="005437E0"/>
    <w:rsid w:val="0054397E"/>
    <w:rsid w:val="0054399D"/>
    <w:rsid w:val="00543CF1"/>
    <w:rsid w:val="00543DA3"/>
    <w:rsid w:val="00543E58"/>
    <w:rsid w:val="00543F8B"/>
    <w:rsid w:val="00544025"/>
    <w:rsid w:val="00544124"/>
    <w:rsid w:val="00544C21"/>
    <w:rsid w:val="00544D1D"/>
    <w:rsid w:val="00544DF4"/>
    <w:rsid w:val="00545128"/>
    <w:rsid w:val="005451B3"/>
    <w:rsid w:val="005452AE"/>
    <w:rsid w:val="0054550D"/>
    <w:rsid w:val="00545548"/>
    <w:rsid w:val="00545726"/>
    <w:rsid w:val="00545B07"/>
    <w:rsid w:val="00546282"/>
    <w:rsid w:val="005464A2"/>
    <w:rsid w:val="005466D5"/>
    <w:rsid w:val="005468A1"/>
    <w:rsid w:val="00546AA4"/>
    <w:rsid w:val="00546ED5"/>
    <w:rsid w:val="00546FBB"/>
    <w:rsid w:val="005470D9"/>
    <w:rsid w:val="0054711B"/>
    <w:rsid w:val="00547462"/>
    <w:rsid w:val="005476BF"/>
    <w:rsid w:val="005477A0"/>
    <w:rsid w:val="005477BD"/>
    <w:rsid w:val="00547E70"/>
    <w:rsid w:val="005500AC"/>
    <w:rsid w:val="005501EC"/>
    <w:rsid w:val="005504B2"/>
    <w:rsid w:val="005505AF"/>
    <w:rsid w:val="0055084D"/>
    <w:rsid w:val="00550E76"/>
    <w:rsid w:val="00551638"/>
    <w:rsid w:val="005518C1"/>
    <w:rsid w:val="00551B16"/>
    <w:rsid w:val="00551EB2"/>
    <w:rsid w:val="0055226E"/>
    <w:rsid w:val="00552518"/>
    <w:rsid w:val="0055294D"/>
    <w:rsid w:val="00552A28"/>
    <w:rsid w:val="00552B40"/>
    <w:rsid w:val="00552B50"/>
    <w:rsid w:val="00553102"/>
    <w:rsid w:val="005532BB"/>
    <w:rsid w:val="00553332"/>
    <w:rsid w:val="0055391F"/>
    <w:rsid w:val="00553CB1"/>
    <w:rsid w:val="00553EEC"/>
    <w:rsid w:val="0055411B"/>
    <w:rsid w:val="00554504"/>
    <w:rsid w:val="00555A8E"/>
    <w:rsid w:val="005560F2"/>
    <w:rsid w:val="0055624C"/>
    <w:rsid w:val="0055639A"/>
    <w:rsid w:val="00556F33"/>
    <w:rsid w:val="00556FB0"/>
    <w:rsid w:val="00557195"/>
    <w:rsid w:val="0055720A"/>
    <w:rsid w:val="005572DB"/>
    <w:rsid w:val="00557708"/>
    <w:rsid w:val="00557D96"/>
    <w:rsid w:val="00560079"/>
    <w:rsid w:val="0056022E"/>
    <w:rsid w:val="00560643"/>
    <w:rsid w:val="00560CC1"/>
    <w:rsid w:val="00561367"/>
    <w:rsid w:val="005614AC"/>
    <w:rsid w:val="00561811"/>
    <w:rsid w:val="00561D5C"/>
    <w:rsid w:val="00561DB9"/>
    <w:rsid w:val="00562184"/>
    <w:rsid w:val="005621EC"/>
    <w:rsid w:val="0056251D"/>
    <w:rsid w:val="00562526"/>
    <w:rsid w:val="00562C8A"/>
    <w:rsid w:val="00562CCE"/>
    <w:rsid w:val="00562E44"/>
    <w:rsid w:val="00562F51"/>
    <w:rsid w:val="00563016"/>
    <w:rsid w:val="005631A9"/>
    <w:rsid w:val="0056333F"/>
    <w:rsid w:val="00563498"/>
    <w:rsid w:val="005636AE"/>
    <w:rsid w:val="00563924"/>
    <w:rsid w:val="00563949"/>
    <w:rsid w:val="00563A6C"/>
    <w:rsid w:val="00564172"/>
    <w:rsid w:val="005646DA"/>
    <w:rsid w:val="00564786"/>
    <w:rsid w:val="00565131"/>
    <w:rsid w:val="00565313"/>
    <w:rsid w:val="005656F5"/>
    <w:rsid w:val="005657B3"/>
    <w:rsid w:val="00565A8E"/>
    <w:rsid w:val="00565DAE"/>
    <w:rsid w:val="0056628A"/>
    <w:rsid w:val="00566441"/>
    <w:rsid w:val="0056658F"/>
    <w:rsid w:val="00566EBA"/>
    <w:rsid w:val="00567007"/>
    <w:rsid w:val="00570573"/>
    <w:rsid w:val="005705AF"/>
    <w:rsid w:val="005705D4"/>
    <w:rsid w:val="00570875"/>
    <w:rsid w:val="00570934"/>
    <w:rsid w:val="00570A21"/>
    <w:rsid w:val="00570E44"/>
    <w:rsid w:val="005710BF"/>
    <w:rsid w:val="005712DB"/>
    <w:rsid w:val="005717ED"/>
    <w:rsid w:val="0057191B"/>
    <w:rsid w:val="00572058"/>
    <w:rsid w:val="0057245B"/>
    <w:rsid w:val="0057272C"/>
    <w:rsid w:val="0057294F"/>
    <w:rsid w:val="00572BEE"/>
    <w:rsid w:val="00572F0B"/>
    <w:rsid w:val="005737D7"/>
    <w:rsid w:val="00573965"/>
    <w:rsid w:val="00573A0D"/>
    <w:rsid w:val="00574341"/>
    <w:rsid w:val="005745DC"/>
    <w:rsid w:val="00574897"/>
    <w:rsid w:val="00574A65"/>
    <w:rsid w:val="00574D5E"/>
    <w:rsid w:val="00574F13"/>
    <w:rsid w:val="00575428"/>
    <w:rsid w:val="0057576C"/>
    <w:rsid w:val="00575D2A"/>
    <w:rsid w:val="00575D88"/>
    <w:rsid w:val="00575F37"/>
    <w:rsid w:val="0057638F"/>
    <w:rsid w:val="005765C1"/>
    <w:rsid w:val="005766CE"/>
    <w:rsid w:val="00576A77"/>
    <w:rsid w:val="00576C00"/>
    <w:rsid w:val="00576D4E"/>
    <w:rsid w:val="0057723D"/>
    <w:rsid w:val="005772D6"/>
    <w:rsid w:val="005774B3"/>
    <w:rsid w:val="005776F2"/>
    <w:rsid w:val="0057797B"/>
    <w:rsid w:val="005779C5"/>
    <w:rsid w:val="00577ABD"/>
    <w:rsid w:val="00577E3B"/>
    <w:rsid w:val="00577E50"/>
    <w:rsid w:val="00577E9F"/>
    <w:rsid w:val="0058005D"/>
    <w:rsid w:val="005805CA"/>
    <w:rsid w:val="00580A36"/>
    <w:rsid w:val="00580F3D"/>
    <w:rsid w:val="00581300"/>
    <w:rsid w:val="005813DC"/>
    <w:rsid w:val="00581B17"/>
    <w:rsid w:val="00582066"/>
    <w:rsid w:val="005820C9"/>
    <w:rsid w:val="005820D9"/>
    <w:rsid w:val="005820F2"/>
    <w:rsid w:val="005821ED"/>
    <w:rsid w:val="0058263A"/>
    <w:rsid w:val="005827F2"/>
    <w:rsid w:val="00582916"/>
    <w:rsid w:val="00582EEE"/>
    <w:rsid w:val="005835CC"/>
    <w:rsid w:val="00583636"/>
    <w:rsid w:val="005836C8"/>
    <w:rsid w:val="00583775"/>
    <w:rsid w:val="005838F8"/>
    <w:rsid w:val="0058392F"/>
    <w:rsid w:val="0058394C"/>
    <w:rsid w:val="00583C08"/>
    <w:rsid w:val="00583D4C"/>
    <w:rsid w:val="00583F4E"/>
    <w:rsid w:val="00584302"/>
    <w:rsid w:val="00584731"/>
    <w:rsid w:val="005847EC"/>
    <w:rsid w:val="00584A0A"/>
    <w:rsid w:val="00584A29"/>
    <w:rsid w:val="00584AF6"/>
    <w:rsid w:val="0058503E"/>
    <w:rsid w:val="005850A9"/>
    <w:rsid w:val="0058519B"/>
    <w:rsid w:val="0058529B"/>
    <w:rsid w:val="0058541B"/>
    <w:rsid w:val="005860A2"/>
    <w:rsid w:val="0058698D"/>
    <w:rsid w:val="00586BB9"/>
    <w:rsid w:val="00586C62"/>
    <w:rsid w:val="00586D45"/>
    <w:rsid w:val="00587121"/>
    <w:rsid w:val="0058718E"/>
    <w:rsid w:val="005874DF"/>
    <w:rsid w:val="00587970"/>
    <w:rsid w:val="00587C7B"/>
    <w:rsid w:val="0058BA3C"/>
    <w:rsid w:val="0059002E"/>
    <w:rsid w:val="00590590"/>
    <w:rsid w:val="0059076D"/>
    <w:rsid w:val="00590881"/>
    <w:rsid w:val="00590E8F"/>
    <w:rsid w:val="005913CD"/>
    <w:rsid w:val="005919AB"/>
    <w:rsid w:val="00591CA5"/>
    <w:rsid w:val="00591D7D"/>
    <w:rsid w:val="00591E86"/>
    <w:rsid w:val="00591FE4"/>
    <w:rsid w:val="00591FFB"/>
    <w:rsid w:val="0059206E"/>
    <w:rsid w:val="00592409"/>
    <w:rsid w:val="005927B9"/>
    <w:rsid w:val="00592B75"/>
    <w:rsid w:val="00593140"/>
    <w:rsid w:val="00593234"/>
    <w:rsid w:val="005934F7"/>
    <w:rsid w:val="00593A8A"/>
    <w:rsid w:val="00593BAF"/>
    <w:rsid w:val="00594629"/>
    <w:rsid w:val="005947C4"/>
    <w:rsid w:val="00594B80"/>
    <w:rsid w:val="00594BD0"/>
    <w:rsid w:val="00594F0C"/>
    <w:rsid w:val="005950D8"/>
    <w:rsid w:val="0059520E"/>
    <w:rsid w:val="00595A3B"/>
    <w:rsid w:val="00595C76"/>
    <w:rsid w:val="00596049"/>
    <w:rsid w:val="005962A8"/>
    <w:rsid w:val="0059694D"/>
    <w:rsid w:val="00596A5A"/>
    <w:rsid w:val="00596E2F"/>
    <w:rsid w:val="00596EA6"/>
    <w:rsid w:val="005970A4"/>
    <w:rsid w:val="005971BB"/>
    <w:rsid w:val="005977BF"/>
    <w:rsid w:val="005A053D"/>
    <w:rsid w:val="005A090A"/>
    <w:rsid w:val="005A094B"/>
    <w:rsid w:val="005A0A67"/>
    <w:rsid w:val="005A0A7F"/>
    <w:rsid w:val="005A0AD1"/>
    <w:rsid w:val="005A0B96"/>
    <w:rsid w:val="005A113F"/>
    <w:rsid w:val="005A1175"/>
    <w:rsid w:val="005A18DA"/>
    <w:rsid w:val="005A18F7"/>
    <w:rsid w:val="005A1906"/>
    <w:rsid w:val="005A199D"/>
    <w:rsid w:val="005A1AD5"/>
    <w:rsid w:val="005A1B89"/>
    <w:rsid w:val="005A1B8B"/>
    <w:rsid w:val="005A1BEA"/>
    <w:rsid w:val="005A1D99"/>
    <w:rsid w:val="005A276C"/>
    <w:rsid w:val="005A2C43"/>
    <w:rsid w:val="005A37E0"/>
    <w:rsid w:val="005A3D67"/>
    <w:rsid w:val="005A4045"/>
    <w:rsid w:val="005A40C3"/>
    <w:rsid w:val="005A4100"/>
    <w:rsid w:val="005A439E"/>
    <w:rsid w:val="005A44D5"/>
    <w:rsid w:val="005A469A"/>
    <w:rsid w:val="005A46D1"/>
    <w:rsid w:val="005A4881"/>
    <w:rsid w:val="005A52C7"/>
    <w:rsid w:val="005A5587"/>
    <w:rsid w:val="005A5E7C"/>
    <w:rsid w:val="005A5E86"/>
    <w:rsid w:val="005A616B"/>
    <w:rsid w:val="005A616F"/>
    <w:rsid w:val="005A6287"/>
    <w:rsid w:val="005A68CA"/>
    <w:rsid w:val="005A696D"/>
    <w:rsid w:val="005A6A56"/>
    <w:rsid w:val="005A7AC0"/>
    <w:rsid w:val="005A7EE9"/>
    <w:rsid w:val="005A7FB3"/>
    <w:rsid w:val="005B0143"/>
    <w:rsid w:val="005B02B8"/>
    <w:rsid w:val="005B0657"/>
    <w:rsid w:val="005B0937"/>
    <w:rsid w:val="005B0999"/>
    <w:rsid w:val="005B0BE0"/>
    <w:rsid w:val="005B0E0B"/>
    <w:rsid w:val="005B0E2D"/>
    <w:rsid w:val="005B0E7A"/>
    <w:rsid w:val="005B0E9F"/>
    <w:rsid w:val="005B1172"/>
    <w:rsid w:val="005B1217"/>
    <w:rsid w:val="005B1554"/>
    <w:rsid w:val="005B1925"/>
    <w:rsid w:val="005B19EF"/>
    <w:rsid w:val="005B1CF2"/>
    <w:rsid w:val="005B2112"/>
    <w:rsid w:val="005B2431"/>
    <w:rsid w:val="005B2448"/>
    <w:rsid w:val="005B29AB"/>
    <w:rsid w:val="005B2B3F"/>
    <w:rsid w:val="005B3075"/>
    <w:rsid w:val="005B36AA"/>
    <w:rsid w:val="005B388E"/>
    <w:rsid w:val="005B3909"/>
    <w:rsid w:val="005B3E04"/>
    <w:rsid w:val="005B432D"/>
    <w:rsid w:val="005B447E"/>
    <w:rsid w:val="005B448B"/>
    <w:rsid w:val="005B44F8"/>
    <w:rsid w:val="005B4A98"/>
    <w:rsid w:val="005B4BA4"/>
    <w:rsid w:val="005B4BEE"/>
    <w:rsid w:val="005B4C8F"/>
    <w:rsid w:val="005B5173"/>
    <w:rsid w:val="005B51B1"/>
    <w:rsid w:val="005B538B"/>
    <w:rsid w:val="005B5455"/>
    <w:rsid w:val="005B564A"/>
    <w:rsid w:val="005B5F67"/>
    <w:rsid w:val="005B5FD1"/>
    <w:rsid w:val="005B60C9"/>
    <w:rsid w:val="005B623F"/>
    <w:rsid w:val="005B62A4"/>
    <w:rsid w:val="005B6359"/>
    <w:rsid w:val="005B63FA"/>
    <w:rsid w:val="005B64F9"/>
    <w:rsid w:val="005B68ED"/>
    <w:rsid w:val="005B6AA6"/>
    <w:rsid w:val="005B7403"/>
    <w:rsid w:val="005B7458"/>
    <w:rsid w:val="005B761B"/>
    <w:rsid w:val="005B763F"/>
    <w:rsid w:val="005B781D"/>
    <w:rsid w:val="005B7A42"/>
    <w:rsid w:val="005B7BC3"/>
    <w:rsid w:val="005B7CBA"/>
    <w:rsid w:val="005C0695"/>
    <w:rsid w:val="005C07A6"/>
    <w:rsid w:val="005C095C"/>
    <w:rsid w:val="005C0D30"/>
    <w:rsid w:val="005C10E5"/>
    <w:rsid w:val="005C134B"/>
    <w:rsid w:val="005C14A1"/>
    <w:rsid w:val="005C17C0"/>
    <w:rsid w:val="005C1EBC"/>
    <w:rsid w:val="005C227F"/>
    <w:rsid w:val="005C3016"/>
    <w:rsid w:val="005C303D"/>
    <w:rsid w:val="005C3112"/>
    <w:rsid w:val="005C31BA"/>
    <w:rsid w:val="005C337C"/>
    <w:rsid w:val="005C33A0"/>
    <w:rsid w:val="005C361F"/>
    <w:rsid w:val="005C37D5"/>
    <w:rsid w:val="005C3867"/>
    <w:rsid w:val="005C39F9"/>
    <w:rsid w:val="005C3C94"/>
    <w:rsid w:val="005C3FE0"/>
    <w:rsid w:val="005C41AB"/>
    <w:rsid w:val="005C4498"/>
    <w:rsid w:val="005C4696"/>
    <w:rsid w:val="005C5211"/>
    <w:rsid w:val="005C538D"/>
    <w:rsid w:val="005C56F0"/>
    <w:rsid w:val="005C58E7"/>
    <w:rsid w:val="005C6371"/>
    <w:rsid w:val="005C64E7"/>
    <w:rsid w:val="005C6655"/>
    <w:rsid w:val="005C6AC8"/>
    <w:rsid w:val="005C6B11"/>
    <w:rsid w:val="005C6CE1"/>
    <w:rsid w:val="005C702F"/>
    <w:rsid w:val="005C7140"/>
    <w:rsid w:val="005C72D2"/>
    <w:rsid w:val="005C764E"/>
    <w:rsid w:val="005C76F5"/>
    <w:rsid w:val="005C7940"/>
    <w:rsid w:val="005C7CE7"/>
    <w:rsid w:val="005D0033"/>
    <w:rsid w:val="005D02A7"/>
    <w:rsid w:val="005D02AF"/>
    <w:rsid w:val="005D06E2"/>
    <w:rsid w:val="005D071C"/>
    <w:rsid w:val="005D0725"/>
    <w:rsid w:val="005D1049"/>
    <w:rsid w:val="005D1193"/>
    <w:rsid w:val="005D1251"/>
    <w:rsid w:val="005D1818"/>
    <w:rsid w:val="005D194F"/>
    <w:rsid w:val="005D198C"/>
    <w:rsid w:val="005D1A37"/>
    <w:rsid w:val="005D1B8A"/>
    <w:rsid w:val="005D1CAC"/>
    <w:rsid w:val="005D1D7E"/>
    <w:rsid w:val="005D1DE4"/>
    <w:rsid w:val="005D1F36"/>
    <w:rsid w:val="005D224C"/>
    <w:rsid w:val="005D27D1"/>
    <w:rsid w:val="005D30E9"/>
    <w:rsid w:val="005D3818"/>
    <w:rsid w:val="005D3926"/>
    <w:rsid w:val="005D3B85"/>
    <w:rsid w:val="005D3BB0"/>
    <w:rsid w:val="005D4058"/>
    <w:rsid w:val="005D40A8"/>
    <w:rsid w:val="005D4458"/>
    <w:rsid w:val="005D4704"/>
    <w:rsid w:val="005D474F"/>
    <w:rsid w:val="005D4AB0"/>
    <w:rsid w:val="005D4B2F"/>
    <w:rsid w:val="005D4DA5"/>
    <w:rsid w:val="005D4F1B"/>
    <w:rsid w:val="005D5221"/>
    <w:rsid w:val="005D5232"/>
    <w:rsid w:val="005D55C9"/>
    <w:rsid w:val="005D57E1"/>
    <w:rsid w:val="005D5E67"/>
    <w:rsid w:val="005D6071"/>
    <w:rsid w:val="005D631B"/>
    <w:rsid w:val="005D6654"/>
    <w:rsid w:val="005D67F4"/>
    <w:rsid w:val="005D6BF1"/>
    <w:rsid w:val="005D6DB9"/>
    <w:rsid w:val="005D6F59"/>
    <w:rsid w:val="005D7192"/>
    <w:rsid w:val="005D75F8"/>
    <w:rsid w:val="005D7FEB"/>
    <w:rsid w:val="005E05FA"/>
    <w:rsid w:val="005E0805"/>
    <w:rsid w:val="005E0A09"/>
    <w:rsid w:val="005E15B7"/>
    <w:rsid w:val="005E1964"/>
    <w:rsid w:val="005E1CE9"/>
    <w:rsid w:val="005E20AE"/>
    <w:rsid w:val="005E20BB"/>
    <w:rsid w:val="005E21A0"/>
    <w:rsid w:val="005E2A47"/>
    <w:rsid w:val="005E2C1F"/>
    <w:rsid w:val="005E2C25"/>
    <w:rsid w:val="005E2F08"/>
    <w:rsid w:val="005E3676"/>
    <w:rsid w:val="005E38A3"/>
    <w:rsid w:val="005E3A84"/>
    <w:rsid w:val="005E3E07"/>
    <w:rsid w:val="005E3E5F"/>
    <w:rsid w:val="005E3F90"/>
    <w:rsid w:val="005E4458"/>
    <w:rsid w:val="005E448E"/>
    <w:rsid w:val="005E4740"/>
    <w:rsid w:val="005E47A4"/>
    <w:rsid w:val="005E4954"/>
    <w:rsid w:val="005E4F66"/>
    <w:rsid w:val="005E513A"/>
    <w:rsid w:val="005E52E9"/>
    <w:rsid w:val="005E583C"/>
    <w:rsid w:val="005E585B"/>
    <w:rsid w:val="005E5F2F"/>
    <w:rsid w:val="005E65A1"/>
    <w:rsid w:val="005E6920"/>
    <w:rsid w:val="005E69DA"/>
    <w:rsid w:val="005E6E93"/>
    <w:rsid w:val="005E6EB0"/>
    <w:rsid w:val="005E7516"/>
    <w:rsid w:val="005E77EE"/>
    <w:rsid w:val="005E77FD"/>
    <w:rsid w:val="005E7A3C"/>
    <w:rsid w:val="005E7AE0"/>
    <w:rsid w:val="005E7B8A"/>
    <w:rsid w:val="005F009E"/>
    <w:rsid w:val="005F0369"/>
    <w:rsid w:val="005F07AD"/>
    <w:rsid w:val="005F0DAB"/>
    <w:rsid w:val="005F1227"/>
    <w:rsid w:val="005F12EB"/>
    <w:rsid w:val="005F1311"/>
    <w:rsid w:val="005F13B5"/>
    <w:rsid w:val="005F160C"/>
    <w:rsid w:val="005F1879"/>
    <w:rsid w:val="005F1B2E"/>
    <w:rsid w:val="005F296E"/>
    <w:rsid w:val="005F2AFC"/>
    <w:rsid w:val="005F2BDB"/>
    <w:rsid w:val="005F2E02"/>
    <w:rsid w:val="005F2E92"/>
    <w:rsid w:val="005F3088"/>
    <w:rsid w:val="005F31C3"/>
    <w:rsid w:val="005F336B"/>
    <w:rsid w:val="005F35D6"/>
    <w:rsid w:val="005F3992"/>
    <w:rsid w:val="005F3A63"/>
    <w:rsid w:val="005F3FAF"/>
    <w:rsid w:val="005F40DF"/>
    <w:rsid w:val="005F43FB"/>
    <w:rsid w:val="005F4661"/>
    <w:rsid w:val="005F4AE9"/>
    <w:rsid w:val="005F4AEA"/>
    <w:rsid w:val="005F4BE1"/>
    <w:rsid w:val="005F5133"/>
    <w:rsid w:val="005F54BB"/>
    <w:rsid w:val="005F5666"/>
    <w:rsid w:val="005F5E3B"/>
    <w:rsid w:val="005F5FC5"/>
    <w:rsid w:val="005F613B"/>
    <w:rsid w:val="005F64E3"/>
    <w:rsid w:val="005F66BE"/>
    <w:rsid w:val="005F6D7F"/>
    <w:rsid w:val="005F76F2"/>
    <w:rsid w:val="005F79B0"/>
    <w:rsid w:val="005F7A40"/>
    <w:rsid w:val="005F7E54"/>
    <w:rsid w:val="006001AF"/>
    <w:rsid w:val="00600579"/>
    <w:rsid w:val="00600648"/>
    <w:rsid w:val="006008CF"/>
    <w:rsid w:val="00600E52"/>
    <w:rsid w:val="00601407"/>
    <w:rsid w:val="0060165A"/>
    <w:rsid w:val="006019E9"/>
    <w:rsid w:val="00601D06"/>
    <w:rsid w:val="00601EC5"/>
    <w:rsid w:val="00601F00"/>
    <w:rsid w:val="0060205C"/>
    <w:rsid w:val="0060209C"/>
    <w:rsid w:val="0060271A"/>
    <w:rsid w:val="006028C1"/>
    <w:rsid w:val="00603810"/>
    <w:rsid w:val="00603823"/>
    <w:rsid w:val="006038EE"/>
    <w:rsid w:val="006039AF"/>
    <w:rsid w:val="00603AF7"/>
    <w:rsid w:val="0060494B"/>
    <w:rsid w:val="00604B2F"/>
    <w:rsid w:val="00604B74"/>
    <w:rsid w:val="00604B8A"/>
    <w:rsid w:val="00604CA4"/>
    <w:rsid w:val="00604CCA"/>
    <w:rsid w:val="00605217"/>
    <w:rsid w:val="006054B8"/>
    <w:rsid w:val="00605512"/>
    <w:rsid w:val="00605D4B"/>
    <w:rsid w:val="00606917"/>
    <w:rsid w:val="00606B1E"/>
    <w:rsid w:val="00606BA2"/>
    <w:rsid w:val="00606C06"/>
    <w:rsid w:val="00606F02"/>
    <w:rsid w:val="006071AC"/>
    <w:rsid w:val="006071FB"/>
    <w:rsid w:val="006074E0"/>
    <w:rsid w:val="00607599"/>
    <w:rsid w:val="006075B8"/>
    <w:rsid w:val="0060773E"/>
    <w:rsid w:val="00607841"/>
    <w:rsid w:val="00607B11"/>
    <w:rsid w:val="00607E19"/>
    <w:rsid w:val="0061029C"/>
    <w:rsid w:val="0061046E"/>
    <w:rsid w:val="00610A7D"/>
    <w:rsid w:val="00610DFF"/>
    <w:rsid w:val="00610E95"/>
    <w:rsid w:val="00610F05"/>
    <w:rsid w:val="0061105A"/>
    <w:rsid w:val="00611147"/>
    <w:rsid w:val="006111D1"/>
    <w:rsid w:val="0061141A"/>
    <w:rsid w:val="0061169A"/>
    <w:rsid w:val="006116BC"/>
    <w:rsid w:val="006118FA"/>
    <w:rsid w:val="00611981"/>
    <w:rsid w:val="00611B83"/>
    <w:rsid w:val="00611BA9"/>
    <w:rsid w:val="00611E0A"/>
    <w:rsid w:val="00611FDF"/>
    <w:rsid w:val="00612071"/>
    <w:rsid w:val="0061248B"/>
    <w:rsid w:val="0061252F"/>
    <w:rsid w:val="006126EA"/>
    <w:rsid w:val="006127A8"/>
    <w:rsid w:val="00612DFC"/>
    <w:rsid w:val="00612EE2"/>
    <w:rsid w:val="00612EF5"/>
    <w:rsid w:val="006131C1"/>
    <w:rsid w:val="0061327E"/>
    <w:rsid w:val="006133CF"/>
    <w:rsid w:val="006133F4"/>
    <w:rsid w:val="006139B0"/>
    <w:rsid w:val="00613C0D"/>
    <w:rsid w:val="00613D45"/>
    <w:rsid w:val="00614007"/>
    <w:rsid w:val="00614A09"/>
    <w:rsid w:val="00614AE7"/>
    <w:rsid w:val="00614E3C"/>
    <w:rsid w:val="006151C9"/>
    <w:rsid w:val="0061558A"/>
    <w:rsid w:val="00615771"/>
    <w:rsid w:val="00615828"/>
    <w:rsid w:val="0061591F"/>
    <w:rsid w:val="00615993"/>
    <w:rsid w:val="00615A95"/>
    <w:rsid w:val="00615ABE"/>
    <w:rsid w:val="00615CBD"/>
    <w:rsid w:val="00616328"/>
    <w:rsid w:val="00616564"/>
    <w:rsid w:val="006167F2"/>
    <w:rsid w:val="00616D4F"/>
    <w:rsid w:val="00616E0E"/>
    <w:rsid w:val="00617166"/>
    <w:rsid w:val="006171D0"/>
    <w:rsid w:val="0061755D"/>
    <w:rsid w:val="006179A9"/>
    <w:rsid w:val="00617B66"/>
    <w:rsid w:val="00620219"/>
    <w:rsid w:val="00620352"/>
    <w:rsid w:val="00620705"/>
    <w:rsid w:val="006208CC"/>
    <w:rsid w:val="00620E81"/>
    <w:rsid w:val="0062100D"/>
    <w:rsid w:val="006217F2"/>
    <w:rsid w:val="00621A18"/>
    <w:rsid w:val="00621A41"/>
    <w:rsid w:val="00621B4D"/>
    <w:rsid w:val="00621E0C"/>
    <w:rsid w:val="00621E49"/>
    <w:rsid w:val="00621F68"/>
    <w:rsid w:val="00622264"/>
    <w:rsid w:val="006224C2"/>
    <w:rsid w:val="00622BF3"/>
    <w:rsid w:val="00622C32"/>
    <w:rsid w:val="00622EC0"/>
    <w:rsid w:val="00622F67"/>
    <w:rsid w:val="00622F82"/>
    <w:rsid w:val="00622FE5"/>
    <w:rsid w:val="0062312B"/>
    <w:rsid w:val="006232E5"/>
    <w:rsid w:val="00623775"/>
    <w:rsid w:val="00623C71"/>
    <w:rsid w:val="00624441"/>
    <w:rsid w:val="00624623"/>
    <w:rsid w:val="006249B9"/>
    <w:rsid w:val="00624A31"/>
    <w:rsid w:val="00624E18"/>
    <w:rsid w:val="00624F30"/>
    <w:rsid w:val="006254A7"/>
    <w:rsid w:val="00625A8A"/>
    <w:rsid w:val="00625C9B"/>
    <w:rsid w:val="00625D27"/>
    <w:rsid w:val="00625DE4"/>
    <w:rsid w:val="0062617F"/>
    <w:rsid w:val="00626258"/>
    <w:rsid w:val="00626EAF"/>
    <w:rsid w:val="00626FA9"/>
    <w:rsid w:val="00627280"/>
    <w:rsid w:val="00627356"/>
    <w:rsid w:val="006274A9"/>
    <w:rsid w:val="006274FC"/>
    <w:rsid w:val="00627F07"/>
    <w:rsid w:val="00627F2C"/>
    <w:rsid w:val="00630171"/>
    <w:rsid w:val="00630684"/>
    <w:rsid w:val="0063076F"/>
    <w:rsid w:val="00630819"/>
    <w:rsid w:val="00630B2C"/>
    <w:rsid w:val="00631326"/>
    <w:rsid w:val="00631637"/>
    <w:rsid w:val="00631660"/>
    <w:rsid w:val="00631891"/>
    <w:rsid w:val="00631DE3"/>
    <w:rsid w:val="006320E9"/>
    <w:rsid w:val="006320F5"/>
    <w:rsid w:val="00632498"/>
    <w:rsid w:val="0063290D"/>
    <w:rsid w:val="00632999"/>
    <w:rsid w:val="00632BE5"/>
    <w:rsid w:val="00632D01"/>
    <w:rsid w:val="00632E08"/>
    <w:rsid w:val="00632E4E"/>
    <w:rsid w:val="00633161"/>
    <w:rsid w:val="006331CE"/>
    <w:rsid w:val="00633308"/>
    <w:rsid w:val="006336B4"/>
    <w:rsid w:val="00633738"/>
    <w:rsid w:val="0063406A"/>
    <w:rsid w:val="00634070"/>
    <w:rsid w:val="006342E6"/>
    <w:rsid w:val="006344F0"/>
    <w:rsid w:val="00634911"/>
    <w:rsid w:val="0063499A"/>
    <w:rsid w:val="00634DA5"/>
    <w:rsid w:val="00634F2F"/>
    <w:rsid w:val="00634F52"/>
    <w:rsid w:val="0063524C"/>
    <w:rsid w:val="00635677"/>
    <w:rsid w:val="0063582D"/>
    <w:rsid w:val="00635B16"/>
    <w:rsid w:val="00635EBB"/>
    <w:rsid w:val="00635EC0"/>
    <w:rsid w:val="006365CB"/>
    <w:rsid w:val="006368D3"/>
    <w:rsid w:val="00636EE2"/>
    <w:rsid w:val="00636F9E"/>
    <w:rsid w:val="00636FA9"/>
    <w:rsid w:val="00636FFB"/>
    <w:rsid w:val="006370DC"/>
    <w:rsid w:val="006372F3"/>
    <w:rsid w:val="0063763F"/>
    <w:rsid w:val="00637798"/>
    <w:rsid w:val="006377D3"/>
    <w:rsid w:val="0063783E"/>
    <w:rsid w:val="00637AAE"/>
    <w:rsid w:val="00637D3A"/>
    <w:rsid w:val="00637E63"/>
    <w:rsid w:val="00640198"/>
    <w:rsid w:val="006401EE"/>
    <w:rsid w:val="006407ED"/>
    <w:rsid w:val="00640826"/>
    <w:rsid w:val="00640B72"/>
    <w:rsid w:val="00640C65"/>
    <w:rsid w:val="00641267"/>
    <w:rsid w:val="006415F4"/>
    <w:rsid w:val="006423D3"/>
    <w:rsid w:val="00642689"/>
    <w:rsid w:val="0064287D"/>
    <w:rsid w:val="00642A41"/>
    <w:rsid w:val="00642AC5"/>
    <w:rsid w:val="00642D51"/>
    <w:rsid w:val="00642FA3"/>
    <w:rsid w:val="006432D8"/>
    <w:rsid w:val="006432EB"/>
    <w:rsid w:val="006435F0"/>
    <w:rsid w:val="00643777"/>
    <w:rsid w:val="006446E3"/>
    <w:rsid w:val="00644FBE"/>
    <w:rsid w:val="00645144"/>
    <w:rsid w:val="006452ED"/>
    <w:rsid w:val="00645418"/>
    <w:rsid w:val="006454D4"/>
    <w:rsid w:val="006455AC"/>
    <w:rsid w:val="0064568F"/>
    <w:rsid w:val="00645707"/>
    <w:rsid w:val="006457D1"/>
    <w:rsid w:val="00645D90"/>
    <w:rsid w:val="00645E63"/>
    <w:rsid w:val="00646426"/>
    <w:rsid w:val="00646A76"/>
    <w:rsid w:val="0064741C"/>
    <w:rsid w:val="006474EE"/>
    <w:rsid w:val="006475AF"/>
    <w:rsid w:val="006479F6"/>
    <w:rsid w:val="00647D1E"/>
    <w:rsid w:val="006501BA"/>
    <w:rsid w:val="006503F3"/>
    <w:rsid w:val="0065060D"/>
    <w:rsid w:val="00650C50"/>
    <w:rsid w:val="00650E6C"/>
    <w:rsid w:val="00650F64"/>
    <w:rsid w:val="00650FE1"/>
    <w:rsid w:val="00651048"/>
    <w:rsid w:val="0065108C"/>
    <w:rsid w:val="006514B0"/>
    <w:rsid w:val="0065177F"/>
    <w:rsid w:val="006518D2"/>
    <w:rsid w:val="00651AA6"/>
    <w:rsid w:val="00651B4C"/>
    <w:rsid w:val="006524B2"/>
    <w:rsid w:val="00652CEE"/>
    <w:rsid w:val="00652CF4"/>
    <w:rsid w:val="00653289"/>
    <w:rsid w:val="006534AD"/>
    <w:rsid w:val="00653516"/>
    <w:rsid w:val="00653588"/>
    <w:rsid w:val="00653B98"/>
    <w:rsid w:val="00653C3B"/>
    <w:rsid w:val="00653FC3"/>
    <w:rsid w:val="006540B4"/>
    <w:rsid w:val="00654270"/>
    <w:rsid w:val="00654456"/>
    <w:rsid w:val="00654704"/>
    <w:rsid w:val="00654761"/>
    <w:rsid w:val="00654AE9"/>
    <w:rsid w:val="00654CC4"/>
    <w:rsid w:val="00654FE2"/>
    <w:rsid w:val="0065513B"/>
    <w:rsid w:val="0065519C"/>
    <w:rsid w:val="00655256"/>
    <w:rsid w:val="00655761"/>
    <w:rsid w:val="0065588F"/>
    <w:rsid w:val="00655FBC"/>
    <w:rsid w:val="00656585"/>
    <w:rsid w:val="006565DD"/>
    <w:rsid w:val="006568B2"/>
    <w:rsid w:val="00657183"/>
    <w:rsid w:val="006572F9"/>
    <w:rsid w:val="0066081A"/>
    <w:rsid w:val="00660980"/>
    <w:rsid w:val="00660A99"/>
    <w:rsid w:val="00661543"/>
    <w:rsid w:val="006618BD"/>
    <w:rsid w:val="006619A4"/>
    <w:rsid w:val="00661BDB"/>
    <w:rsid w:val="0066221D"/>
    <w:rsid w:val="0066224A"/>
    <w:rsid w:val="00662258"/>
    <w:rsid w:val="00662333"/>
    <w:rsid w:val="00662F34"/>
    <w:rsid w:val="0066335F"/>
    <w:rsid w:val="0066349F"/>
    <w:rsid w:val="006636FD"/>
    <w:rsid w:val="00663836"/>
    <w:rsid w:val="00663925"/>
    <w:rsid w:val="00663FA1"/>
    <w:rsid w:val="006641DF"/>
    <w:rsid w:val="0066480F"/>
    <w:rsid w:val="00664DFD"/>
    <w:rsid w:val="00664F18"/>
    <w:rsid w:val="006650E1"/>
    <w:rsid w:val="0066514B"/>
    <w:rsid w:val="0066534D"/>
    <w:rsid w:val="006656AA"/>
    <w:rsid w:val="0066591E"/>
    <w:rsid w:val="00665BF9"/>
    <w:rsid w:val="00665D20"/>
    <w:rsid w:val="0066697A"/>
    <w:rsid w:val="00666BE8"/>
    <w:rsid w:val="00667052"/>
    <w:rsid w:val="00667182"/>
    <w:rsid w:val="006672AE"/>
    <w:rsid w:val="00667667"/>
    <w:rsid w:val="00667757"/>
    <w:rsid w:val="0066798D"/>
    <w:rsid w:val="00667DEC"/>
    <w:rsid w:val="00667EDB"/>
    <w:rsid w:val="0066806A"/>
    <w:rsid w:val="006702A7"/>
    <w:rsid w:val="006704A4"/>
    <w:rsid w:val="00670537"/>
    <w:rsid w:val="006705D0"/>
    <w:rsid w:val="006705EF"/>
    <w:rsid w:val="006706B2"/>
    <w:rsid w:val="006709E0"/>
    <w:rsid w:val="00670BFA"/>
    <w:rsid w:val="00670C33"/>
    <w:rsid w:val="00670D76"/>
    <w:rsid w:val="0067151D"/>
    <w:rsid w:val="00671723"/>
    <w:rsid w:val="00671844"/>
    <w:rsid w:val="00671926"/>
    <w:rsid w:val="00671AB4"/>
    <w:rsid w:val="00671FF8"/>
    <w:rsid w:val="00672333"/>
    <w:rsid w:val="006725B2"/>
    <w:rsid w:val="00672628"/>
    <w:rsid w:val="00672775"/>
    <w:rsid w:val="00672F21"/>
    <w:rsid w:val="00673124"/>
    <w:rsid w:val="00673328"/>
    <w:rsid w:val="00673390"/>
    <w:rsid w:val="006735EE"/>
    <w:rsid w:val="0067391E"/>
    <w:rsid w:val="00673A76"/>
    <w:rsid w:val="00673D87"/>
    <w:rsid w:val="006740B6"/>
    <w:rsid w:val="00674104"/>
    <w:rsid w:val="0067411D"/>
    <w:rsid w:val="0067445D"/>
    <w:rsid w:val="00674573"/>
    <w:rsid w:val="006748C8"/>
    <w:rsid w:val="00674FCF"/>
    <w:rsid w:val="00674FE0"/>
    <w:rsid w:val="006754A3"/>
    <w:rsid w:val="00675649"/>
    <w:rsid w:val="00675705"/>
    <w:rsid w:val="00675CF5"/>
    <w:rsid w:val="0067658F"/>
    <w:rsid w:val="00677366"/>
    <w:rsid w:val="0067736C"/>
    <w:rsid w:val="00677387"/>
    <w:rsid w:val="00677926"/>
    <w:rsid w:val="00677DB4"/>
    <w:rsid w:val="00677E2C"/>
    <w:rsid w:val="00677E59"/>
    <w:rsid w:val="00677FF0"/>
    <w:rsid w:val="00680501"/>
    <w:rsid w:val="00680B87"/>
    <w:rsid w:val="00680E1F"/>
    <w:rsid w:val="00680EA3"/>
    <w:rsid w:val="00681035"/>
    <w:rsid w:val="0068105B"/>
    <w:rsid w:val="00681322"/>
    <w:rsid w:val="00681877"/>
    <w:rsid w:val="00681A1B"/>
    <w:rsid w:val="00681BD1"/>
    <w:rsid w:val="0068232A"/>
    <w:rsid w:val="0068257C"/>
    <w:rsid w:val="006825B4"/>
    <w:rsid w:val="00682CE5"/>
    <w:rsid w:val="006834B1"/>
    <w:rsid w:val="00683DB7"/>
    <w:rsid w:val="00683E30"/>
    <w:rsid w:val="00684138"/>
    <w:rsid w:val="006841E7"/>
    <w:rsid w:val="00684386"/>
    <w:rsid w:val="00684494"/>
    <w:rsid w:val="00684819"/>
    <w:rsid w:val="006849AD"/>
    <w:rsid w:val="0068537A"/>
    <w:rsid w:val="00685461"/>
    <w:rsid w:val="006855AB"/>
    <w:rsid w:val="006858D5"/>
    <w:rsid w:val="00685D4D"/>
    <w:rsid w:val="0068659E"/>
    <w:rsid w:val="00686603"/>
    <w:rsid w:val="0068677E"/>
    <w:rsid w:val="0068688E"/>
    <w:rsid w:val="00686AF1"/>
    <w:rsid w:val="00686D70"/>
    <w:rsid w:val="00686F18"/>
    <w:rsid w:val="006871CF"/>
    <w:rsid w:val="00687AEE"/>
    <w:rsid w:val="00687B58"/>
    <w:rsid w:val="00687C3C"/>
    <w:rsid w:val="00687DEA"/>
    <w:rsid w:val="00687EC3"/>
    <w:rsid w:val="00690127"/>
    <w:rsid w:val="006905AD"/>
    <w:rsid w:val="00690818"/>
    <w:rsid w:val="00690B22"/>
    <w:rsid w:val="00690B63"/>
    <w:rsid w:val="00690F89"/>
    <w:rsid w:val="00691074"/>
    <w:rsid w:val="00691362"/>
    <w:rsid w:val="00691616"/>
    <w:rsid w:val="00691BEE"/>
    <w:rsid w:val="00691EAD"/>
    <w:rsid w:val="0069220D"/>
    <w:rsid w:val="00692287"/>
    <w:rsid w:val="0069233B"/>
    <w:rsid w:val="0069279A"/>
    <w:rsid w:val="00692B7D"/>
    <w:rsid w:val="00692C5C"/>
    <w:rsid w:val="00692E24"/>
    <w:rsid w:val="006934D5"/>
    <w:rsid w:val="0069351D"/>
    <w:rsid w:val="00693608"/>
    <w:rsid w:val="00693E44"/>
    <w:rsid w:val="0069413D"/>
    <w:rsid w:val="0069418F"/>
    <w:rsid w:val="0069420D"/>
    <w:rsid w:val="006943CA"/>
    <w:rsid w:val="00694562"/>
    <w:rsid w:val="00694612"/>
    <w:rsid w:val="006952FC"/>
    <w:rsid w:val="00695AB4"/>
    <w:rsid w:val="00695E6C"/>
    <w:rsid w:val="00695F22"/>
    <w:rsid w:val="006960FC"/>
    <w:rsid w:val="0069629A"/>
    <w:rsid w:val="00696458"/>
    <w:rsid w:val="00696592"/>
    <w:rsid w:val="006969D8"/>
    <w:rsid w:val="00696CF8"/>
    <w:rsid w:val="00696ED4"/>
    <w:rsid w:val="00696F9A"/>
    <w:rsid w:val="006975CA"/>
    <w:rsid w:val="00697768"/>
    <w:rsid w:val="006977B9"/>
    <w:rsid w:val="0069796B"/>
    <w:rsid w:val="00697B38"/>
    <w:rsid w:val="00697F67"/>
    <w:rsid w:val="006A03E8"/>
    <w:rsid w:val="006A0962"/>
    <w:rsid w:val="006A0A33"/>
    <w:rsid w:val="006A0EB5"/>
    <w:rsid w:val="006A134E"/>
    <w:rsid w:val="006A13FB"/>
    <w:rsid w:val="006A1544"/>
    <w:rsid w:val="006A15B1"/>
    <w:rsid w:val="006A1A30"/>
    <w:rsid w:val="006A1AE8"/>
    <w:rsid w:val="006A1D41"/>
    <w:rsid w:val="006A1E3B"/>
    <w:rsid w:val="006A25BB"/>
    <w:rsid w:val="006A2631"/>
    <w:rsid w:val="006A2975"/>
    <w:rsid w:val="006A2AD3"/>
    <w:rsid w:val="006A2D51"/>
    <w:rsid w:val="006A3242"/>
    <w:rsid w:val="006A3515"/>
    <w:rsid w:val="006A3757"/>
    <w:rsid w:val="006A3AD1"/>
    <w:rsid w:val="006A4229"/>
    <w:rsid w:val="006A43AB"/>
    <w:rsid w:val="006A4407"/>
    <w:rsid w:val="006A49BF"/>
    <w:rsid w:val="006A4C9E"/>
    <w:rsid w:val="006A4D05"/>
    <w:rsid w:val="006A4E88"/>
    <w:rsid w:val="006A4F8C"/>
    <w:rsid w:val="006A532B"/>
    <w:rsid w:val="006A547A"/>
    <w:rsid w:val="006A5830"/>
    <w:rsid w:val="006A62AE"/>
    <w:rsid w:val="006A62CA"/>
    <w:rsid w:val="006A6533"/>
    <w:rsid w:val="006A6582"/>
    <w:rsid w:val="006A67E4"/>
    <w:rsid w:val="006A711B"/>
    <w:rsid w:val="006A74CD"/>
    <w:rsid w:val="006A7584"/>
    <w:rsid w:val="006A77C9"/>
    <w:rsid w:val="006A7888"/>
    <w:rsid w:val="006A7E70"/>
    <w:rsid w:val="006A7F24"/>
    <w:rsid w:val="006A7F99"/>
    <w:rsid w:val="006A7FD7"/>
    <w:rsid w:val="006B0536"/>
    <w:rsid w:val="006B056D"/>
    <w:rsid w:val="006B061A"/>
    <w:rsid w:val="006B07C0"/>
    <w:rsid w:val="006B0A94"/>
    <w:rsid w:val="006B0B5F"/>
    <w:rsid w:val="006B0CEF"/>
    <w:rsid w:val="006B1158"/>
    <w:rsid w:val="006B1159"/>
    <w:rsid w:val="006B13A3"/>
    <w:rsid w:val="006B151D"/>
    <w:rsid w:val="006B164D"/>
    <w:rsid w:val="006B16FC"/>
    <w:rsid w:val="006B17D6"/>
    <w:rsid w:val="006B1A6E"/>
    <w:rsid w:val="006B1CD5"/>
    <w:rsid w:val="006B2221"/>
    <w:rsid w:val="006B287E"/>
    <w:rsid w:val="006B293B"/>
    <w:rsid w:val="006B2ADB"/>
    <w:rsid w:val="006B2BA9"/>
    <w:rsid w:val="006B314A"/>
    <w:rsid w:val="006B31E5"/>
    <w:rsid w:val="006B35C2"/>
    <w:rsid w:val="006B37FF"/>
    <w:rsid w:val="006B3959"/>
    <w:rsid w:val="006B39BE"/>
    <w:rsid w:val="006B3C49"/>
    <w:rsid w:val="006B3CA7"/>
    <w:rsid w:val="006B3D31"/>
    <w:rsid w:val="006B3E26"/>
    <w:rsid w:val="006B4064"/>
    <w:rsid w:val="006B4225"/>
    <w:rsid w:val="006B4266"/>
    <w:rsid w:val="006B4CBD"/>
    <w:rsid w:val="006B4D30"/>
    <w:rsid w:val="006B55F7"/>
    <w:rsid w:val="006B57CC"/>
    <w:rsid w:val="006B59F4"/>
    <w:rsid w:val="006B5EB6"/>
    <w:rsid w:val="006B614B"/>
    <w:rsid w:val="006B6DED"/>
    <w:rsid w:val="006B72C9"/>
    <w:rsid w:val="006B77F6"/>
    <w:rsid w:val="006B7921"/>
    <w:rsid w:val="006B7958"/>
    <w:rsid w:val="006B7C09"/>
    <w:rsid w:val="006B7C7D"/>
    <w:rsid w:val="006B7F2C"/>
    <w:rsid w:val="006C029D"/>
    <w:rsid w:val="006C07A5"/>
    <w:rsid w:val="006C0879"/>
    <w:rsid w:val="006C0A29"/>
    <w:rsid w:val="006C0B5A"/>
    <w:rsid w:val="006C0BA5"/>
    <w:rsid w:val="006C0D9A"/>
    <w:rsid w:val="006C0DA9"/>
    <w:rsid w:val="006C0DD8"/>
    <w:rsid w:val="006C0EF5"/>
    <w:rsid w:val="006C1090"/>
    <w:rsid w:val="006C160D"/>
    <w:rsid w:val="006C1BC3"/>
    <w:rsid w:val="006C1F65"/>
    <w:rsid w:val="006C22FB"/>
    <w:rsid w:val="006C2479"/>
    <w:rsid w:val="006C287D"/>
    <w:rsid w:val="006C2B28"/>
    <w:rsid w:val="006C2B34"/>
    <w:rsid w:val="006C2CEB"/>
    <w:rsid w:val="006C2FDA"/>
    <w:rsid w:val="006C34E7"/>
    <w:rsid w:val="006C355B"/>
    <w:rsid w:val="006C3E02"/>
    <w:rsid w:val="006C40BE"/>
    <w:rsid w:val="006C44B2"/>
    <w:rsid w:val="006C490B"/>
    <w:rsid w:val="006C4D23"/>
    <w:rsid w:val="006C4F9D"/>
    <w:rsid w:val="006C56A8"/>
    <w:rsid w:val="006C56BD"/>
    <w:rsid w:val="006C5C7A"/>
    <w:rsid w:val="006C6256"/>
    <w:rsid w:val="006C6325"/>
    <w:rsid w:val="006C6342"/>
    <w:rsid w:val="006C6388"/>
    <w:rsid w:val="006C6777"/>
    <w:rsid w:val="006C679A"/>
    <w:rsid w:val="006C680F"/>
    <w:rsid w:val="006C6B02"/>
    <w:rsid w:val="006C6FCC"/>
    <w:rsid w:val="006C7375"/>
    <w:rsid w:val="006C74BF"/>
    <w:rsid w:val="006C75E0"/>
    <w:rsid w:val="006C7817"/>
    <w:rsid w:val="006C78B5"/>
    <w:rsid w:val="006C78C0"/>
    <w:rsid w:val="006C7BF8"/>
    <w:rsid w:val="006C7FB0"/>
    <w:rsid w:val="006D000B"/>
    <w:rsid w:val="006D00D5"/>
    <w:rsid w:val="006D0A41"/>
    <w:rsid w:val="006D0B74"/>
    <w:rsid w:val="006D0DC0"/>
    <w:rsid w:val="006D1190"/>
    <w:rsid w:val="006D1312"/>
    <w:rsid w:val="006D142B"/>
    <w:rsid w:val="006D147B"/>
    <w:rsid w:val="006D15E3"/>
    <w:rsid w:val="006D15E4"/>
    <w:rsid w:val="006D16A6"/>
    <w:rsid w:val="006D1CD9"/>
    <w:rsid w:val="006D1DF3"/>
    <w:rsid w:val="006D2011"/>
    <w:rsid w:val="006D20FB"/>
    <w:rsid w:val="006D2C02"/>
    <w:rsid w:val="006D2CAE"/>
    <w:rsid w:val="006D30F4"/>
    <w:rsid w:val="006D3CE8"/>
    <w:rsid w:val="006D3D5E"/>
    <w:rsid w:val="006D3F16"/>
    <w:rsid w:val="006D41C7"/>
    <w:rsid w:val="006D4D10"/>
    <w:rsid w:val="006D4E3D"/>
    <w:rsid w:val="006D4EAC"/>
    <w:rsid w:val="006D5622"/>
    <w:rsid w:val="006D5669"/>
    <w:rsid w:val="006D5F6B"/>
    <w:rsid w:val="006D60E0"/>
    <w:rsid w:val="006D61E2"/>
    <w:rsid w:val="006D6751"/>
    <w:rsid w:val="006D68B0"/>
    <w:rsid w:val="006D6BFD"/>
    <w:rsid w:val="006D7111"/>
    <w:rsid w:val="006D73AD"/>
    <w:rsid w:val="006D74F8"/>
    <w:rsid w:val="006D7A24"/>
    <w:rsid w:val="006D7DCF"/>
    <w:rsid w:val="006D7F6D"/>
    <w:rsid w:val="006D7FB9"/>
    <w:rsid w:val="006E0A54"/>
    <w:rsid w:val="006E0BAA"/>
    <w:rsid w:val="006E0F62"/>
    <w:rsid w:val="006E1137"/>
    <w:rsid w:val="006E1202"/>
    <w:rsid w:val="006E1229"/>
    <w:rsid w:val="006E153E"/>
    <w:rsid w:val="006E1553"/>
    <w:rsid w:val="006E172B"/>
    <w:rsid w:val="006E1843"/>
    <w:rsid w:val="006E1ECB"/>
    <w:rsid w:val="006E2081"/>
    <w:rsid w:val="006E2453"/>
    <w:rsid w:val="006E246A"/>
    <w:rsid w:val="006E294F"/>
    <w:rsid w:val="006E29A7"/>
    <w:rsid w:val="006E2DE7"/>
    <w:rsid w:val="006E2E64"/>
    <w:rsid w:val="006E3087"/>
    <w:rsid w:val="006E33E5"/>
    <w:rsid w:val="006E33EF"/>
    <w:rsid w:val="006E388A"/>
    <w:rsid w:val="006E3D56"/>
    <w:rsid w:val="006E3E0C"/>
    <w:rsid w:val="006E4303"/>
    <w:rsid w:val="006E44E9"/>
    <w:rsid w:val="006E46AE"/>
    <w:rsid w:val="006E49F1"/>
    <w:rsid w:val="006E49FE"/>
    <w:rsid w:val="006E4B57"/>
    <w:rsid w:val="006E506D"/>
    <w:rsid w:val="006E5187"/>
    <w:rsid w:val="006E53FA"/>
    <w:rsid w:val="006E575B"/>
    <w:rsid w:val="006E5941"/>
    <w:rsid w:val="006E5B27"/>
    <w:rsid w:val="006E5F38"/>
    <w:rsid w:val="006E5FF1"/>
    <w:rsid w:val="006E6193"/>
    <w:rsid w:val="006E6528"/>
    <w:rsid w:val="006E6A62"/>
    <w:rsid w:val="006E6A89"/>
    <w:rsid w:val="006E6AD7"/>
    <w:rsid w:val="006E6BE2"/>
    <w:rsid w:val="006E7262"/>
    <w:rsid w:val="006E7578"/>
    <w:rsid w:val="006E7609"/>
    <w:rsid w:val="006E7EEB"/>
    <w:rsid w:val="006F04BD"/>
    <w:rsid w:val="006F0782"/>
    <w:rsid w:val="006F135C"/>
    <w:rsid w:val="006F1AF5"/>
    <w:rsid w:val="006F1AFF"/>
    <w:rsid w:val="006F1B85"/>
    <w:rsid w:val="006F1E37"/>
    <w:rsid w:val="006F26B5"/>
    <w:rsid w:val="006F2C74"/>
    <w:rsid w:val="006F2E05"/>
    <w:rsid w:val="006F2E0D"/>
    <w:rsid w:val="006F2E9C"/>
    <w:rsid w:val="006F34D1"/>
    <w:rsid w:val="006F36B6"/>
    <w:rsid w:val="006F39BE"/>
    <w:rsid w:val="006F3C38"/>
    <w:rsid w:val="006F3DD5"/>
    <w:rsid w:val="006F3ED6"/>
    <w:rsid w:val="006F4043"/>
    <w:rsid w:val="006F41B4"/>
    <w:rsid w:val="006F4454"/>
    <w:rsid w:val="006F452E"/>
    <w:rsid w:val="006F4808"/>
    <w:rsid w:val="006F48A5"/>
    <w:rsid w:val="006F4D32"/>
    <w:rsid w:val="006F5213"/>
    <w:rsid w:val="006F52E1"/>
    <w:rsid w:val="006F5305"/>
    <w:rsid w:val="006F54DB"/>
    <w:rsid w:val="006F55F8"/>
    <w:rsid w:val="006F5605"/>
    <w:rsid w:val="006F5882"/>
    <w:rsid w:val="006F58A9"/>
    <w:rsid w:val="006F5CB7"/>
    <w:rsid w:val="006F5F3B"/>
    <w:rsid w:val="006F65E3"/>
    <w:rsid w:val="006F686D"/>
    <w:rsid w:val="006F6A0E"/>
    <w:rsid w:val="006F6BD9"/>
    <w:rsid w:val="006F6CCB"/>
    <w:rsid w:val="006F71B5"/>
    <w:rsid w:val="006F7252"/>
    <w:rsid w:val="006F7579"/>
    <w:rsid w:val="006F790A"/>
    <w:rsid w:val="006F7C2F"/>
    <w:rsid w:val="006F7C75"/>
    <w:rsid w:val="006F7CE7"/>
    <w:rsid w:val="006F7CF3"/>
    <w:rsid w:val="007004C3"/>
    <w:rsid w:val="0070068E"/>
    <w:rsid w:val="00701615"/>
    <w:rsid w:val="00701651"/>
    <w:rsid w:val="007016CE"/>
    <w:rsid w:val="0070186E"/>
    <w:rsid w:val="00701ABC"/>
    <w:rsid w:val="00701B2C"/>
    <w:rsid w:val="00701F8E"/>
    <w:rsid w:val="0070228A"/>
    <w:rsid w:val="00702498"/>
    <w:rsid w:val="0070262C"/>
    <w:rsid w:val="0070266A"/>
    <w:rsid w:val="00702906"/>
    <w:rsid w:val="00703920"/>
    <w:rsid w:val="0070398A"/>
    <w:rsid w:val="007042CC"/>
    <w:rsid w:val="00704309"/>
    <w:rsid w:val="00704345"/>
    <w:rsid w:val="007043B1"/>
    <w:rsid w:val="00704563"/>
    <w:rsid w:val="007045EB"/>
    <w:rsid w:val="00704852"/>
    <w:rsid w:val="007048EC"/>
    <w:rsid w:val="00704CC9"/>
    <w:rsid w:val="00704F05"/>
    <w:rsid w:val="00705031"/>
    <w:rsid w:val="0070593D"/>
    <w:rsid w:val="00705BA6"/>
    <w:rsid w:val="00705BBE"/>
    <w:rsid w:val="00705DE3"/>
    <w:rsid w:val="00705EF4"/>
    <w:rsid w:val="007069D4"/>
    <w:rsid w:val="007069E9"/>
    <w:rsid w:val="00706F7F"/>
    <w:rsid w:val="00706FF8"/>
    <w:rsid w:val="00707543"/>
    <w:rsid w:val="0070768A"/>
    <w:rsid w:val="00707A0A"/>
    <w:rsid w:val="00707EA3"/>
    <w:rsid w:val="00707F7A"/>
    <w:rsid w:val="007107F4"/>
    <w:rsid w:val="0071098E"/>
    <w:rsid w:val="00710C39"/>
    <w:rsid w:val="00710D0D"/>
    <w:rsid w:val="00710EAF"/>
    <w:rsid w:val="00711162"/>
    <w:rsid w:val="00711524"/>
    <w:rsid w:val="007118D1"/>
    <w:rsid w:val="00711B88"/>
    <w:rsid w:val="00711F87"/>
    <w:rsid w:val="00711FF8"/>
    <w:rsid w:val="0071222C"/>
    <w:rsid w:val="007123AE"/>
    <w:rsid w:val="00712557"/>
    <w:rsid w:val="007125BC"/>
    <w:rsid w:val="007127AE"/>
    <w:rsid w:val="007130AB"/>
    <w:rsid w:val="007137DF"/>
    <w:rsid w:val="0071399C"/>
    <w:rsid w:val="00713F12"/>
    <w:rsid w:val="00714306"/>
    <w:rsid w:val="007146EF"/>
    <w:rsid w:val="0071486C"/>
    <w:rsid w:val="00714C96"/>
    <w:rsid w:val="00714D3F"/>
    <w:rsid w:val="00714F90"/>
    <w:rsid w:val="0071528E"/>
    <w:rsid w:val="007154DE"/>
    <w:rsid w:val="007155CD"/>
    <w:rsid w:val="00715655"/>
    <w:rsid w:val="00715C43"/>
    <w:rsid w:val="00715CDA"/>
    <w:rsid w:val="00715DA0"/>
    <w:rsid w:val="00716159"/>
    <w:rsid w:val="007162CA"/>
    <w:rsid w:val="00716940"/>
    <w:rsid w:val="0071758F"/>
    <w:rsid w:val="0071777C"/>
    <w:rsid w:val="00717C70"/>
    <w:rsid w:val="00717CDD"/>
    <w:rsid w:val="00717E03"/>
    <w:rsid w:val="007204E8"/>
    <w:rsid w:val="00720843"/>
    <w:rsid w:val="00720F1A"/>
    <w:rsid w:val="007213B3"/>
    <w:rsid w:val="0072178B"/>
    <w:rsid w:val="00721DA5"/>
    <w:rsid w:val="00722404"/>
    <w:rsid w:val="007224CE"/>
    <w:rsid w:val="0072282E"/>
    <w:rsid w:val="0072296E"/>
    <w:rsid w:val="00722BE3"/>
    <w:rsid w:val="00722E95"/>
    <w:rsid w:val="0072304E"/>
    <w:rsid w:val="007230A1"/>
    <w:rsid w:val="00723276"/>
    <w:rsid w:val="00723482"/>
    <w:rsid w:val="0072354A"/>
    <w:rsid w:val="007235EE"/>
    <w:rsid w:val="007236E0"/>
    <w:rsid w:val="0072393C"/>
    <w:rsid w:val="00723BDE"/>
    <w:rsid w:val="00723C78"/>
    <w:rsid w:val="0072463B"/>
    <w:rsid w:val="00724CC4"/>
    <w:rsid w:val="00724F50"/>
    <w:rsid w:val="007250EA"/>
    <w:rsid w:val="00725128"/>
    <w:rsid w:val="007251C8"/>
    <w:rsid w:val="0072520B"/>
    <w:rsid w:val="00725514"/>
    <w:rsid w:val="0072595B"/>
    <w:rsid w:val="007260F0"/>
    <w:rsid w:val="00726130"/>
    <w:rsid w:val="0072621F"/>
    <w:rsid w:val="007264AA"/>
    <w:rsid w:val="00726629"/>
    <w:rsid w:val="00726763"/>
    <w:rsid w:val="00726941"/>
    <w:rsid w:val="00726A9B"/>
    <w:rsid w:val="00726B23"/>
    <w:rsid w:val="00726F65"/>
    <w:rsid w:val="0072724E"/>
    <w:rsid w:val="007273AD"/>
    <w:rsid w:val="00727B9E"/>
    <w:rsid w:val="00727C2D"/>
    <w:rsid w:val="00730050"/>
    <w:rsid w:val="00730105"/>
    <w:rsid w:val="00730223"/>
    <w:rsid w:val="0073052D"/>
    <w:rsid w:val="00730643"/>
    <w:rsid w:val="0073098F"/>
    <w:rsid w:val="00730995"/>
    <w:rsid w:val="00730AC2"/>
    <w:rsid w:val="0073104B"/>
    <w:rsid w:val="00731287"/>
    <w:rsid w:val="00731D30"/>
    <w:rsid w:val="00731D73"/>
    <w:rsid w:val="00732226"/>
    <w:rsid w:val="007322D7"/>
    <w:rsid w:val="00732C65"/>
    <w:rsid w:val="00732DD1"/>
    <w:rsid w:val="00732DF7"/>
    <w:rsid w:val="00732EFC"/>
    <w:rsid w:val="00732F71"/>
    <w:rsid w:val="00733034"/>
    <w:rsid w:val="007330CA"/>
    <w:rsid w:val="00733275"/>
    <w:rsid w:val="0073345E"/>
    <w:rsid w:val="00733B6D"/>
    <w:rsid w:val="00733E8D"/>
    <w:rsid w:val="0073435C"/>
    <w:rsid w:val="00734402"/>
    <w:rsid w:val="007345E0"/>
    <w:rsid w:val="0073475A"/>
    <w:rsid w:val="00734E68"/>
    <w:rsid w:val="00734FEE"/>
    <w:rsid w:val="007350DF"/>
    <w:rsid w:val="007356F8"/>
    <w:rsid w:val="007357E5"/>
    <w:rsid w:val="0073591F"/>
    <w:rsid w:val="00735BBB"/>
    <w:rsid w:val="007363E7"/>
    <w:rsid w:val="007369A9"/>
    <w:rsid w:val="00736C3E"/>
    <w:rsid w:val="00736F77"/>
    <w:rsid w:val="00737078"/>
    <w:rsid w:val="00737208"/>
    <w:rsid w:val="00737475"/>
    <w:rsid w:val="00737979"/>
    <w:rsid w:val="00737C4B"/>
    <w:rsid w:val="0074010C"/>
    <w:rsid w:val="00740138"/>
    <w:rsid w:val="007408C1"/>
    <w:rsid w:val="00740A66"/>
    <w:rsid w:val="00740A68"/>
    <w:rsid w:val="00740B73"/>
    <w:rsid w:val="00740BF1"/>
    <w:rsid w:val="00740C49"/>
    <w:rsid w:val="00740C70"/>
    <w:rsid w:val="00740D3A"/>
    <w:rsid w:val="007410AD"/>
    <w:rsid w:val="0074124D"/>
    <w:rsid w:val="0074164E"/>
    <w:rsid w:val="0074169D"/>
    <w:rsid w:val="007417AF"/>
    <w:rsid w:val="00741906"/>
    <w:rsid w:val="00741988"/>
    <w:rsid w:val="00741C32"/>
    <w:rsid w:val="00741CE4"/>
    <w:rsid w:val="00742425"/>
    <w:rsid w:val="007426FB"/>
    <w:rsid w:val="007428AF"/>
    <w:rsid w:val="00742C55"/>
    <w:rsid w:val="00743E38"/>
    <w:rsid w:val="00744068"/>
    <w:rsid w:val="007443BF"/>
    <w:rsid w:val="00744B80"/>
    <w:rsid w:val="00744BEA"/>
    <w:rsid w:val="00745136"/>
    <w:rsid w:val="007455FB"/>
    <w:rsid w:val="00745A45"/>
    <w:rsid w:val="00745E66"/>
    <w:rsid w:val="00745F88"/>
    <w:rsid w:val="00746049"/>
    <w:rsid w:val="007465A6"/>
    <w:rsid w:val="007465F3"/>
    <w:rsid w:val="00746A0A"/>
    <w:rsid w:val="00746A70"/>
    <w:rsid w:val="00746DFA"/>
    <w:rsid w:val="00747222"/>
    <w:rsid w:val="00747360"/>
    <w:rsid w:val="0074741F"/>
    <w:rsid w:val="0074747F"/>
    <w:rsid w:val="007477F1"/>
    <w:rsid w:val="00747EBE"/>
    <w:rsid w:val="00750E5F"/>
    <w:rsid w:val="00750FEE"/>
    <w:rsid w:val="007513B1"/>
    <w:rsid w:val="007522A9"/>
    <w:rsid w:val="007522F5"/>
    <w:rsid w:val="0075262B"/>
    <w:rsid w:val="007532B7"/>
    <w:rsid w:val="0075332C"/>
    <w:rsid w:val="0075367C"/>
    <w:rsid w:val="00753835"/>
    <w:rsid w:val="00753AA4"/>
    <w:rsid w:val="00753B9F"/>
    <w:rsid w:val="00753EC1"/>
    <w:rsid w:val="00754068"/>
    <w:rsid w:val="007542EB"/>
    <w:rsid w:val="007543AB"/>
    <w:rsid w:val="007546DB"/>
    <w:rsid w:val="00754761"/>
    <w:rsid w:val="00754A7B"/>
    <w:rsid w:val="007552C8"/>
    <w:rsid w:val="007553C2"/>
    <w:rsid w:val="007553CE"/>
    <w:rsid w:val="00755432"/>
    <w:rsid w:val="0075555C"/>
    <w:rsid w:val="00755809"/>
    <w:rsid w:val="00755B3C"/>
    <w:rsid w:val="00756104"/>
    <w:rsid w:val="0075624A"/>
    <w:rsid w:val="00756311"/>
    <w:rsid w:val="0075673B"/>
    <w:rsid w:val="00757031"/>
    <w:rsid w:val="007572DF"/>
    <w:rsid w:val="007572F6"/>
    <w:rsid w:val="0075794A"/>
    <w:rsid w:val="00757AC0"/>
    <w:rsid w:val="00757D50"/>
    <w:rsid w:val="0076016D"/>
    <w:rsid w:val="0076031A"/>
    <w:rsid w:val="007603A3"/>
    <w:rsid w:val="00760684"/>
    <w:rsid w:val="007608D2"/>
    <w:rsid w:val="007610C4"/>
    <w:rsid w:val="007610DC"/>
    <w:rsid w:val="00761420"/>
    <w:rsid w:val="00761823"/>
    <w:rsid w:val="00761976"/>
    <w:rsid w:val="00761DF2"/>
    <w:rsid w:val="00761ED4"/>
    <w:rsid w:val="007625CD"/>
    <w:rsid w:val="00762636"/>
    <w:rsid w:val="00762864"/>
    <w:rsid w:val="00762B33"/>
    <w:rsid w:val="0076381E"/>
    <w:rsid w:val="00763B37"/>
    <w:rsid w:val="00763B39"/>
    <w:rsid w:val="00763F5B"/>
    <w:rsid w:val="0076404B"/>
    <w:rsid w:val="007640EA"/>
    <w:rsid w:val="0076467E"/>
    <w:rsid w:val="00764736"/>
    <w:rsid w:val="00764C43"/>
    <w:rsid w:val="00764E54"/>
    <w:rsid w:val="00764F20"/>
    <w:rsid w:val="00765375"/>
    <w:rsid w:val="0076550E"/>
    <w:rsid w:val="007657BF"/>
    <w:rsid w:val="00766267"/>
    <w:rsid w:val="007678B2"/>
    <w:rsid w:val="00767B2B"/>
    <w:rsid w:val="00767BCD"/>
    <w:rsid w:val="00767C7A"/>
    <w:rsid w:val="00767E68"/>
    <w:rsid w:val="007703B2"/>
    <w:rsid w:val="007707AD"/>
    <w:rsid w:val="007713E9"/>
    <w:rsid w:val="007715D8"/>
    <w:rsid w:val="007717A7"/>
    <w:rsid w:val="007718C7"/>
    <w:rsid w:val="00771A1C"/>
    <w:rsid w:val="00771C58"/>
    <w:rsid w:val="0077235A"/>
    <w:rsid w:val="00772427"/>
    <w:rsid w:val="0077273E"/>
    <w:rsid w:val="0077298A"/>
    <w:rsid w:val="00772C45"/>
    <w:rsid w:val="00772CD5"/>
    <w:rsid w:val="00772CEB"/>
    <w:rsid w:val="00772E48"/>
    <w:rsid w:val="00772FE5"/>
    <w:rsid w:val="00773027"/>
    <w:rsid w:val="0077328D"/>
    <w:rsid w:val="007734EB"/>
    <w:rsid w:val="00773730"/>
    <w:rsid w:val="00773988"/>
    <w:rsid w:val="00773A0A"/>
    <w:rsid w:val="00773A12"/>
    <w:rsid w:val="00773C31"/>
    <w:rsid w:val="00773D9D"/>
    <w:rsid w:val="0077449B"/>
    <w:rsid w:val="00774962"/>
    <w:rsid w:val="00774A0F"/>
    <w:rsid w:val="00774ACE"/>
    <w:rsid w:val="00774E89"/>
    <w:rsid w:val="00774FAA"/>
    <w:rsid w:val="0077539E"/>
    <w:rsid w:val="00775569"/>
    <w:rsid w:val="007757B3"/>
    <w:rsid w:val="00775B7A"/>
    <w:rsid w:val="00775F54"/>
    <w:rsid w:val="0077635A"/>
    <w:rsid w:val="007765FC"/>
    <w:rsid w:val="00776642"/>
    <w:rsid w:val="00776BDD"/>
    <w:rsid w:val="00776C79"/>
    <w:rsid w:val="00776D16"/>
    <w:rsid w:val="00776D87"/>
    <w:rsid w:val="007771CA"/>
    <w:rsid w:val="0077728C"/>
    <w:rsid w:val="00777683"/>
    <w:rsid w:val="007776B6"/>
    <w:rsid w:val="007776BE"/>
    <w:rsid w:val="00777722"/>
    <w:rsid w:val="0077787F"/>
    <w:rsid w:val="007802FB"/>
    <w:rsid w:val="0078062B"/>
    <w:rsid w:val="00780643"/>
    <w:rsid w:val="00780757"/>
    <w:rsid w:val="00780D19"/>
    <w:rsid w:val="00780D25"/>
    <w:rsid w:val="0078124B"/>
    <w:rsid w:val="0078271E"/>
    <w:rsid w:val="00782962"/>
    <w:rsid w:val="00782F91"/>
    <w:rsid w:val="007832CB"/>
    <w:rsid w:val="00783433"/>
    <w:rsid w:val="00783884"/>
    <w:rsid w:val="00783CF5"/>
    <w:rsid w:val="00783FAF"/>
    <w:rsid w:val="007843B4"/>
    <w:rsid w:val="0078463A"/>
    <w:rsid w:val="00784C67"/>
    <w:rsid w:val="00784DE7"/>
    <w:rsid w:val="00784E7B"/>
    <w:rsid w:val="00784F13"/>
    <w:rsid w:val="007850FB"/>
    <w:rsid w:val="007851DC"/>
    <w:rsid w:val="0078564E"/>
    <w:rsid w:val="007861E7"/>
    <w:rsid w:val="00786BB9"/>
    <w:rsid w:val="00786FBB"/>
    <w:rsid w:val="0078744C"/>
    <w:rsid w:val="00787C40"/>
    <w:rsid w:val="00787E42"/>
    <w:rsid w:val="0079005B"/>
    <w:rsid w:val="007900F9"/>
    <w:rsid w:val="00790588"/>
    <w:rsid w:val="007907AE"/>
    <w:rsid w:val="007907E8"/>
    <w:rsid w:val="00790BD9"/>
    <w:rsid w:val="00791CC4"/>
    <w:rsid w:val="00791F26"/>
    <w:rsid w:val="00791F73"/>
    <w:rsid w:val="00792012"/>
    <w:rsid w:val="00792240"/>
    <w:rsid w:val="007922DA"/>
    <w:rsid w:val="007923F4"/>
    <w:rsid w:val="007925C9"/>
    <w:rsid w:val="00792C5E"/>
    <w:rsid w:val="00792D86"/>
    <w:rsid w:val="007930A0"/>
    <w:rsid w:val="00793B67"/>
    <w:rsid w:val="00793BDD"/>
    <w:rsid w:val="00793E1D"/>
    <w:rsid w:val="00794091"/>
    <w:rsid w:val="0079415B"/>
    <w:rsid w:val="00794566"/>
    <w:rsid w:val="007945A5"/>
    <w:rsid w:val="0079475F"/>
    <w:rsid w:val="00794E83"/>
    <w:rsid w:val="00795844"/>
    <w:rsid w:val="00795D13"/>
    <w:rsid w:val="00795D23"/>
    <w:rsid w:val="00795E18"/>
    <w:rsid w:val="00795E43"/>
    <w:rsid w:val="007962F2"/>
    <w:rsid w:val="007964B2"/>
    <w:rsid w:val="007970C2"/>
    <w:rsid w:val="00797650"/>
    <w:rsid w:val="0079784A"/>
    <w:rsid w:val="00797A9B"/>
    <w:rsid w:val="00797DDE"/>
    <w:rsid w:val="00797F79"/>
    <w:rsid w:val="007A0165"/>
    <w:rsid w:val="007A0294"/>
    <w:rsid w:val="007A02CE"/>
    <w:rsid w:val="007A071A"/>
    <w:rsid w:val="007A0F2E"/>
    <w:rsid w:val="007A104E"/>
    <w:rsid w:val="007A113D"/>
    <w:rsid w:val="007A11A0"/>
    <w:rsid w:val="007A1307"/>
    <w:rsid w:val="007A146D"/>
    <w:rsid w:val="007A14DB"/>
    <w:rsid w:val="007A1B80"/>
    <w:rsid w:val="007A1CC5"/>
    <w:rsid w:val="007A203A"/>
    <w:rsid w:val="007A22CB"/>
    <w:rsid w:val="007A22D0"/>
    <w:rsid w:val="007A2337"/>
    <w:rsid w:val="007A2428"/>
    <w:rsid w:val="007A261C"/>
    <w:rsid w:val="007A26BB"/>
    <w:rsid w:val="007A2869"/>
    <w:rsid w:val="007A2C7A"/>
    <w:rsid w:val="007A2D7B"/>
    <w:rsid w:val="007A2D9B"/>
    <w:rsid w:val="007A2F99"/>
    <w:rsid w:val="007A2FDB"/>
    <w:rsid w:val="007A319C"/>
    <w:rsid w:val="007A3703"/>
    <w:rsid w:val="007A37AE"/>
    <w:rsid w:val="007A42E3"/>
    <w:rsid w:val="007A4311"/>
    <w:rsid w:val="007A473A"/>
    <w:rsid w:val="007A48CD"/>
    <w:rsid w:val="007A5A43"/>
    <w:rsid w:val="007A5C2B"/>
    <w:rsid w:val="007A609A"/>
    <w:rsid w:val="007A63A2"/>
    <w:rsid w:val="007A65FE"/>
    <w:rsid w:val="007A693D"/>
    <w:rsid w:val="007A6AD2"/>
    <w:rsid w:val="007A70FC"/>
    <w:rsid w:val="007A7449"/>
    <w:rsid w:val="007A7ADF"/>
    <w:rsid w:val="007A7BC4"/>
    <w:rsid w:val="007A7C0B"/>
    <w:rsid w:val="007A7CFB"/>
    <w:rsid w:val="007A7D9D"/>
    <w:rsid w:val="007A7F9E"/>
    <w:rsid w:val="007B0458"/>
    <w:rsid w:val="007B05AE"/>
    <w:rsid w:val="007B07CE"/>
    <w:rsid w:val="007B0B5C"/>
    <w:rsid w:val="007B0BB3"/>
    <w:rsid w:val="007B0C5E"/>
    <w:rsid w:val="007B0EA2"/>
    <w:rsid w:val="007B0EB2"/>
    <w:rsid w:val="007B113A"/>
    <w:rsid w:val="007B13C2"/>
    <w:rsid w:val="007B1441"/>
    <w:rsid w:val="007B176B"/>
    <w:rsid w:val="007B19EA"/>
    <w:rsid w:val="007B1A79"/>
    <w:rsid w:val="007B1C0F"/>
    <w:rsid w:val="007B202F"/>
    <w:rsid w:val="007B2715"/>
    <w:rsid w:val="007B2771"/>
    <w:rsid w:val="007B2ABF"/>
    <w:rsid w:val="007B2CD7"/>
    <w:rsid w:val="007B3404"/>
    <w:rsid w:val="007B3499"/>
    <w:rsid w:val="007B362F"/>
    <w:rsid w:val="007B36AC"/>
    <w:rsid w:val="007B3970"/>
    <w:rsid w:val="007B3BA6"/>
    <w:rsid w:val="007B4330"/>
    <w:rsid w:val="007B4405"/>
    <w:rsid w:val="007B460D"/>
    <w:rsid w:val="007B46DD"/>
    <w:rsid w:val="007B499C"/>
    <w:rsid w:val="007B4AA6"/>
    <w:rsid w:val="007B4BFE"/>
    <w:rsid w:val="007B4DD3"/>
    <w:rsid w:val="007B5114"/>
    <w:rsid w:val="007B5300"/>
    <w:rsid w:val="007B53B4"/>
    <w:rsid w:val="007B549B"/>
    <w:rsid w:val="007B6119"/>
    <w:rsid w:val="007B6219"/>
    <w:rsid w:val="007B63B9"/>
    <w:rsid w:val="007B6506"/>
    <w:rsid w:val="007B65B8"/>
    <w:rsid w:val="007B7A3E"/>
    <w:rsid w:val="007B7AC6"/>
    <w:rsid w:val="007B7C11"/>
    <w:rsid w:val="007B7FC3"/>
    <w:rsid w:val="007C0175"/>
    <w:rsid w:val="007C01E9"/>
    <w:rsid w:val="007C0306"/>
    <w:rsid w:val="007C06DD"/>
    <w:rsid w:val="007C07D3"/>
    <w:rsid w:val="007C09A5"/>
    <w:rsid w:val="007C0A32"/>
    <w:rsid w:val="007C0C6D"/>
    <w:rsid w:val="007C10B6"/>
    <w:rsid w:val="007C121C"/>
    <w:rsid w:val="007C1446"/>
    <w:rsid w:val="007C1DBC"/>
    <w:rsid w:val="007C259C"/>
    <w:rsid w:val="007C275A"/>
    <w:rsid w:val="007C2D6E"/>
    <w:rsid w:val="007C2D7E"/>
    <w:rsid w:val="007C3112"/>
    <w:rsid w:val="007C35F8"/>
    <w:rsid w:val="007C394C"/>
    <w:rsid w:val="007C3BE9"/>
    <w:rsid w:val="007C3D26"/>
    <w:rsid w:val="007C3EE5"/>
    <w:rsid w:val="007C40C5"/>
    <w:rsid w:val="007C438C"/>
    <w:rsid w:val="007C479F"/>
    <w:rsid w:val="007C47C9"/>
    <w:rsid w:val="007C48F1"/>
    <w:rsid w:val="007C49D1"/>
    <w:rsid w:val="007C5209"/>
    <w:rsid w:val="007C56B2"/>
    <w:rsid w:val="007C5A01"/>
    <w:rsid w:val="007C5B77"/>
    <w:rsid w:val="007C5E8E"/>
    <w:rsid w:val="007C5EB4"/>
    <w:rsid w:val="007C62C9"/>
    <w:rsid w:val="007C68AD"/>
    <w:rsid w:val="007C69FE"/>
    <w:rsid w:val="007C7806"/>
    <w:rsid w:val="007C7B80"/>
    <w:rsid w:val="007C7BE4"/>
    <w:rsid w:val="007C7FE1"/>
    <w:rsid w:val="007D0E28"/>
    <w:rsid w:val="007D1347"/>
    <w:rsid w:val="007D18FE"/>
    <w:rsid w:val="007D19B2"/>
    <w:rsid w:val="007D19C2"/>
    <w:rsid w:val="007D1B39"/>
    <w:rsid w:val="007D1C0E"/>
    <w:rsid w:val="007D1E58"/>
    <w:rsid w:val="007D21BA"/>
    <w:rsid w:val="007D2627"/>
    <w:rsid w:val="007D271A"/>
    <w:rsid w:val="007D27B2"/>
    <w:rsid w:val="007D2D53"/>
    <w:rsid w:val="007D2F9F"/>
    <w:rsid w:val="007D318E"/>
    <w:rsid w:val="007D33CF"/>
    <w:rsid w:val="007D35CC"/>
    <w:rsid w:val="007D3885"/>
    <w:rsid w:val="007D3956"/>
    <w:rsid w:val="007D3C2D"/>
    <w:rsid w:val="007D3E89"/>
    <w:rsid w:val="007D4019"/>
    <w:rsid w:val="007D41DF"/>
    <w:rsid w:val="007D42B5"/>
    <w:rsid w:val="007D4777"/>
    <w:rsid w:val="007D481F"/>
    <w:rsid w:val="007D48C2"/>
    <w:rsid w:val="007D4B18"/>
    <w:rsid w:val="007D4B9B"/>
    <w:rsid w:val="007D4CA3"/>
    <w:rsid w:val="007D5CD2"/>
    <w:rsid w:val="007D5F39"/>
    <w:rsid w:val="007D63D4"/>
    <w:rsid w:val="007D63E8"/>
    <w:rsid w:val="007D6665"/>
    <w:rsid w:val="007D66B2"/>
    <w:rsid w:val="007D6E1D"/>
    <w:rsid w:val="007D6E43"/>
    <w:rsid w:val="007D6F35"/>
    <w:rsid w:val="007D700C"/>
    <w:rsid w:val="007D7078"/>
    <w:rsid w:val="007D7139"/>
    <w:rsid w:val="007D7551"/>
    <w:rsid w:val="007D75A3"/>
    <w:rsid w:val="007D766F"/>
    <w:rsid w:val="007D769F"/>
    <w:rsid w:val="007D76C6"/>
    <w:rsid w:val="007D773E"/>
    <w:rsid w:val="007D77C4"/>
    <w:rsid w:val="007D7A31"/>
    <w:rsid w:val="007D7CF9"/>
    <w:rsid w:val="007D7ED8"/>
    <w:rsid w:val="007E0014"/>
    <w:rsid w:val="007E005C"/>
    <w:rsid w:val="007E043F"/>
    <w:rsid w:val="007E04AD"/>
    <w:rsid w:val="007E0587"/>
    <w:rsid w:val="007E064D"/>
    <w:rsid w:val="007E07AB"/>
    <w:rsid w:val="007E0800"/>
    <w:rsid w:val="007E08F0"/>
    <w:rsid w:val="007E0E3F"/>
    <w:rsid w:val="007E0FC8"/>
    <w:rsid w:val="007E118C"/>
    <w:rsid w:val="007E1341"/>
    <w:rsid w:val="007E1396"/>
    <w:rsid w:val="007E1600"/>
    <w:rsid w:val="007E16A6"/>
    <w:rsid w:val="007E1BCC"/>
    <w:rsid w:val="007E1C42"/>
    <w:rsid w:val="007E1E62"/>
    <w:rsid w:val="007E1F58"/>
    <w:rsid w:val="007E204F"/>
    <w:rsid w:val="007E21A7"/>
    <w:rsid w:val="007E25C8"/>
    <w:rsid w:val="007E28D2"/>
    <w:rsid w:val="007E31BD"/>
    <w:rsid w:val="007E34E5"/>
    <w:rsid w:val="007E3900"/>
    <w:rsid w:val="007E3D6E"/>
    <w:rsid w:val="007E3F81"/>
    <w:rsid w:val="007E41A6"/>
    <w:rsid w:val="007E41CB"/>
    <w:rsid w:val="007E424B"/>
    <w:rsid w:val="007E43A5"/>
    <w:rsid w:val="007E45FD"/>
    <w:rsid w:val="007E46B5"/>
    <w:rsid w:val="007E46B8"/>
    <w:rsid w:val="007E470D"/>
    <w:rsid w:val="007E5183"/>
    <w:rsid w:val="007E53D8"/>
    <w:rsid w:val="007E53F3"/>
    <w:rsid w:val="007E5497"/>
    <w:rsid w:val="007E5650"/>
    <w:rsid w:val="007E584C"/>
    <w:rsid w:val="007E5D98"/>
    <w:rsid w:val="007E6146"/>
    <w:rsid w:val="007E61DB"/>
    <w:rsid w:val="007E6389"/>
    <w:rsid w:val="007E6714"/>
    <w:rsid w:val="007E681D"/>
    <w:rsid w:val="007E6C5C"/>
    <w:rsid w:val="007E6EB3"/>
    <w:rsid w:val="007E7012"/>
    <w:rsid w:val="007E74F6"/>
    <w:rsid w:val="007E7962"/>
    <w:rsid w:val="007E7FE1"/>
    <w:rsid w:val="007F0579"/>
    <w:rsid w:val="007F06D5"/>
    <w:rsid w:val="007F08F3"/>
    <w:rsid w:val="007F0993"/>
    <w:rsid w:val="007F1193"/>
    <w:rsid w:val="007F11EC"/>
    <w:rsid w:val="007F1424"/>
    <w:rsid w:val="007F1456"/>
    <w:rsid w:val="007F199A"/>
    <w:rsid w:val="007F1AB7"/>
    <w:rsid w:val="007F1B6F"/>
    <w:rsid w:val="007F1BA7"/>
    <w:rsid w:val="007F1C46"/>
    <w:rsid w:val="007F1DA5"/>
    <w:rsid w:val="007F226A"/>
    <w:rsid w:val="007F22E9"/>
    <w:rsid w:val="007F26BA"/>
    <w:rsid w:val="007F27CB"/>
    <w:rsid w:val="007F28C8"/>
    <w:rsid w:val="007F294C"/>
    <w:rsid w:val="007F297D"/>
    <w:rsid w:val="007F2C8D"/>
    <w:rsid w:val="007F2C9C"/>
    <w:rsid w:val="007F2D59"/>
    <w:rsid w:val="007F32B7"/>
    <w:rsid w:val="007F32FA"/>
    <w:rsid w:val="007F35D8"/>
    <w:rsid w:val="007F37D4"/>
    <w:rsid w:val="007F3E2C"/>
    <w:rsid w:val="007F5041"/>
    <w:rsid w:val="007F50B7"/>
    <w:rsid w:val="007F5228"/>
    <w:rsid w:val="007F52E5"/>
    <w:rsid w:val="007F56FB"/>
    <w:rsid w:val="007F59E8"/>
    <w:rsid w:val="007F5B1D"/>
    <w:rsid w:val="007F5DC1"/>
    <w:rsid w:val="007F5E2A"/>
    <w:rsid w:val="007F5FD8"/>
    <w:rsid w:val="007F64E5"/>
    <w:rsid w:val="007F6CAE"/>
    <w:rsid w:val="007F7220"/>
    <w:rsid w:val="007F7916"/>
    <w:rsid w:val="007F79D9"/>
    <w:rsid w:val="007F7B9B"/>
    <w:rsid w:val="007F7C12"/>
    <w:rsid w:val="007F7E3E"/>
    <w:rsid w:val="007F7ECF"/>
    <w:rsid w:val="007F7FF5"/>
    <w:rsid w:val="00800202"/>
    <w:rsid w:val="0080024A"/>
    <w:rsid w:val="0080026B"/>
    <w:rsid w:val="008003D1"/>
    <w:rsid w:val="00800692"/>
    <w:rsid w:val="00800FA7"/>
    <w:rsid w:val="008011A5"/>
    <w:rsid w:val="008012D9"/>
    <w:rsid w:val="0080135D"/>
    <w:rsid w:val="008014E4"/>
    <w:rsid w:val="008014FD"/>
    <w:rsid w:val="008015BC"/>
    <w:rsid w:val="008016DA"/>
    <w:rsid w:val="008017FD"/>
    <w:rsid w:val="008019E8"/>
    <w:rsid w:val="00801C16"/>
    <w:rsid w:val="00801D74"/>
    <w:rsid w:val="00801F37"/>
    <w:rsid w:val="0080207F"/>
    <w:rsid w:val="0080231D"/>
    <w:rsid w:val="00802625"/>
    <w:rsid w:val="00802667"/>
    <w:rsid w:val="00802A0D"/>
    <w:rsid w:val="00802BF7"/>
    <w:rsid w:val="00802C72"/>
    <w:rsid w:val="00802C92"/>
    <w:rsid w:val="008035F2"/>
    <w:rsid w:val="008037DE"/>
    <w:rsid w:val="008039DB"/>
    <w:rsid w:val="00803BA3"/>
    <w:rsid w:val="0080403F"/>
    <w:rsid w:val="00804053"/>
    <w:rsid w:val="0080434A"/>
    <w:rsid w:val="00804518"/>
    <w:rsid w:val="008046F1"/>
    <w:rsid w:val="0080486F"/>
    <w:rsid w:val="0080487E"/>
    <w:rsid w:val="00804AE8"/>
    <w:rsid w:val="00804D3C"/>
    <w:rsid w:val="00804DFD"/>
    <w:rsid w:val="0080554C"/>
    <w:rsid w:val="00805726"/>
    <w:rsid w:val="008059DF"/>
    <w:rsid w:val="00805C25"/>
    <w:rsid w:val="00805DA6"/>
    <w:rsid w:val="00805FE5"/>
    <w:rsid w:val="00806157"/>
    <w:rsid w:val="0080621E"/>
    <w:rsid w:val="0080685C"/>
    <w:rsid w:val="00806AF0"/>
    <w:rsid w:val="00806B48"/>
    <w:rsid w:val="00806D5A"/>
    <w:rsid w:val="008070B4"/>
    <w:rsid w:val="008071BD"/>
    <w:rsid w:val="008072F1"/>
    <w:rsid w:val="008074EF"/>
    <w:rsid w:val="0080752B"/>
    <w:rsid w:val="00807589"/>
    <w:rsid w:val="008075DD"/>
    <w:rsid w:val="008078CA"/>
    <w:rsid w:val="00810B68"/>
    <w:rsid w:val="00810BD9"/>
    <w:rsid w:val="00810E68"/>
    <w:rsid w:val="008115E9"/>
    <w:rsid w:val="008119A4"/>
    <w:rsid w:val="00811F02"/>
    <w:rsid w:val="00812193"/>
    <w:rsid w:val="008127C1"/>
    <w:rsid w:val="0081287F"/>
    <w:rsid w:val="00812D0E"/>
    <w:rsid w:val="00812E28"/>
    <w:rsid w:val="00813389"/>
    <w:rsid w:val="008135E9"/>
    <w:rsid w:val="00813890"/>
    <w:rsid w:val="00813B41"/>
    <w:rsid w:val="00813C9C"/>
    <w:rsid w:val="00813CF6"/>
    <w:rsid w:val="00814193"/>
    <w:rsid w:val="0081436B"/>
    <w:rsid w:val="0081499C"/>
    <w:rsid w:val="00814E80"/>
    <w:rsid w:val="00814F0E"/>
    <w:rsid w:val="008153F0"/>
    <w:rsid w:val="008154EF"/>
    <w:rsid w:val="0081570B"/>
    <w:rsid w:val="0081572C"/>
    <w:rsid w:val="00815BD6"/>
    <w:rsid w:val="00815EA9"/>
    <w:rsid w:val="00816318"/>
    <w:rsid w:val="00816548"/>
    <w:rsid w:val="008168D9"/>
    <w:rsid w:val="008169EB"/>
    <w:rsid w:val="00816AF7"/>
    <w:rsid w:val="008170B5"/>
    <w:rsid w:val="008171DA"/>
    <w:rsid w:val="0081726D"/>
    <w:rsid w:val="0081757F"/>
    <w:rsid w:val="00817C33"/>
    <w:rsid w:val="00817EC6"/>
    <w:rsid w:val="00820244"/>
    <w:rsid w:val="0082059C"/>
    <w:rsid w:val="00820695"/>
    <w:rsid w:val="008206EB"/>
    <w:rsid w:val="00820D07"/>
    <w:rsid w:val="00820DC9"/>
    <w:rsid w:val="0082120A"/>
    <w:rsid w:val="008214DE"/>
    <w:rsid w:val="00821531"/>
    <w:rsid w:val="008216AC"/>
    <w:rsid w:val="00821C4A"/>
    <w:rsid w:val="00822200"/>
    <w:rsid w:val="00822224"/>
    <w:rsid w:val="008224FE"/>
    <w:rsid w:val="00822576"/>
    <w:rsid w:val="00822C07"/>
    <w:rsid w:val="00822CCF"/>
    <w:rsid w:val="00822F8C"/>
    <w:rsid w:val="00823218"/>
    <w:rsid w:val="008237BE"/>
    <w:rsid w:val="00823A03"/>
    <w:rsid w:val="00823BF0"/>
    <w:rsid w:val="00823C7D"/>
    <w:rsid w:val="00823D61"/>
    <w:rsid w:val="00823F19"/>
    <w:rsid w:val="00824583"/>
    <w:rsid w:val="008249E8"/>
    <w:rsid w:val="0082509B"/>
    <w:rsid w:val="008251F6"/>
    <w:rsid w:val="0082535D"/>
    <w:rsid w:val="008255BC"/>
    <w:rsid w:val="008255F7"/>
    <w:rsid w:val="008256B4"/>
    <w:rsid w:val="0082578C"/>
    <w:rsid w:val="00825987"/>
    <w:rsid w:val="00825A3A"/>
    <w:rsid w:val="00825E08"/>
    <w:rsid w:val="00825E2B"/>
    <w:rsid w:val="00825FB1"/>
    <w:rsid w:val="00826194"/>
    <w:rsid w:val="00826307"/>
    <w:rsid w:val="00826325"/>
    <w:rsid w:val="00826803"/>
    <w:rsid w:val="00826C85"/>
    <w:rsid w:val="00827135"/>
    <w:rsid w:val="008272DC"/>
    <w:rsid w:val="008272E3"/>
    <w:rsid w:val="00827539"/>
    <w:rsid w:val="008279A0"/>
    <w:rsid w:val="00827A00"/>
    <w:rsid w:val="00827A84"/>
    <w:rsid w:val="00827DAA"/>
    <w:rsid w:val="00827DF7"/>
    <w:rsid w:val="00830668"/>
    <w:rsid w:val="008306E4"/>
    <w:rsid w:val="00830C2D"/>
    <w:rsid w:val="00831267"/>
    <w:rsid w:val="00831B5D"/>
    <w:rsid w:val="0083245C"/>
    <w:rsid w:val="00832702"/>
    <w:rsid w:val="008327EB"/>
    <w:rsid w:val="00832E03"/>
    <w:rsid w:val="00832E0B"/>
    <w:rsid w:val="00832EFD"/>
    <w:rsid w:val="00832F20"/>
    <w:rsid w:val="00833261"/>
    <w:rsid w:val="00833957"/>
    <w:rsid w:val="00833B74"/>
    <w:rsid w:val="00833BE4"/>
    <w:rsid w:val="00833D32"/>
    <w:rsid w:val="00834563"/>
    <w:rsid w:val="00834ACF"/>
    <w:rsid w:val="008350BB"/>
    <w:rsid w:val="00835317"/>
    <w:rsid w:val="008353FA"/>
    <w:rsid w:val="008357CA"/>
    <w:rsid w:val="00835839"/>
    <w:rsid w:val="00835892"/>
    <w:rsid w:val="00836183"/>
    <w:rsid w:val="0083634F"/>
    <w:rsid w:val="00836361"/>
    <w:rsid w:val="008363B9"/>
    <w:rsid w:val="00836AAC"/>
    <w:rsid w:val="00836DDD"/>
    <w:rsid w:val="00836ED0"/>
    <w:rsid w:val="00836F1F"/>
    <w:rsid w:val="00837067"/>
    <w:rsid w:val="0083739B"/>
    <w:rsid w:val="008378CB"/>
    <w:rsid w:val="00837D43"/>
    <w:rsid w:val="008400B5"/>
    <w:rsid w:val="00840247"/>
    <w:rsid w:val="008407CF"/>
    <w:rsid w:val="00840892"/>
    <w:rsid w:val="008409F1"/>
    <w:rsid w:val="00840A75"/>
    <w:rsid w:val="00840CC9"/>
    <w:rsid w:val="008411EE"/>
    <w:rsid w:val="008413D9"/>
    <w:rsid w:val="00841741"/>
    <w:rsid w:val="008417C3"/>
    <w:rsid w:val="008418BC"/>
    <w:rsid w:val="008418C4"/>
    <w:rsid w:val="00841C3D"/>
    <w:rsid w:val="00842514"/>
    <w:rsid w:val="008427FE"/>
    <w:rsid w:val="00842D65"/>
    <w:rsid w:val="00843171"/>
    <w:rsid w:val="0084342B"/>
    <w:rsid w:val="00843664"/>
    <w:rsid w:val="0084381D"/>
    <w:rsid w:val="0084382D"/>
    <w:rsid w:val="00843D58"/>
    <w:rsid w:val="00844274"/>
    <w:rsid w:val="00844390"/>
    <w:rsid w:val="0084456E"/>
    <w:rsid w:val="0084487E"/>
    <w:rsid w:val="00844BFC"/>
    <w:rsid w:val="00844D9F"/>
    <w:rsid w:val="0084504D"/>
    <w:rsid w:val="00845078"/>
    <w:rsid w:val="008454B3"/>
    <w:rsid w:val="0084565D"/>
    <w:rsid w:val="00845783"/>
    <w:rsid w:val="00845ABC"/>
    <w:rsid w:val="00845B4F"/>
    <w:rsid w:val="00845B57"/>
    <w:rsid w:val="00846095"/>
    <w:rsid w:val="008463EB"/>
    <w:rsid w:val="0084644A"/>
    <w:rsid w:val="00846496"/>
    <w:rsid w:val="00846540"/>
    <w:rsid w:val="0084671D"/>
    <w:rsid w:val="00846828"/>
    <w:rsid w:val="00846C3B"/>
    <w:rsid w:val="00846D10"/>
    <w:rsid w:val="00846F75"/>
    <w:rsid w:val="00847504"/>
    <w:rsid w:val="00847634"/>
    <w:rsid w:val="00847A4C"/>
    <w:rsid w:val="00847B4E"/>
    <w:rsid w:val="00847C9D"/>
    <w:rsid w:val="00847E62"/>
    <w:rsid w:val="00847FED"/>
    <w:rsid w:val="00850020"/>
    <w:rsid w:val="008502C8"/>
    <w:rsid w:val="008509F3"/>
    <w:rsid w:val="00850B80"/>
    <w:rsid w:val="00850E98"/>
    <w:rsid w:val="00851449"/>
    <w:rsid w:val="008514EE"/>
    <w:rsid w:val="00851584"/>
    <w:rsid w:val="008516AF"/>
    <w:rsid w:val="00851A7B"/>
    <w:rsid w:val="00851B90"/>
    <w:rsid w:val="00851DEF"/>
    <w:rsid w:val="00851E88"/>
    <w:rsid w:val="00851E93"/>
    <w:rsid w:val="00852440"/>
    <w:rsid w:val="008527AA"/>
    <w:rsid w:val="00852868"/>
    <w:rsid w:val="008529AF"/>
    <w:rsid w:val="00852AB3"/>
    <w:rsid w:val="00852EE4"/>
    <w:rsid w:val="0085337A"/>
    <w:rsid w:val="008536DB"/>
    <w:rsid w:val="00853718"/>
    <w:rsid w:val="00853CC2"/>
    <w:rsid w:val="00853DE3"/>
    <w:rsid w:val="00853DEA"/>
    <w:rsid w:val="00853E3C"/>
    <w:rsid w:val="008544B9"/>
    <w:rsid w:val="0085459B"/>
    <w:rsid w:val="00854AB8"/>
    <w:rsid w:val="00854B47"/>
    <w:rsid w:val="0085514E"/>
    <w:rsid w:val="0085526E"/>
    <w:rsid w:val="008555AD"/>
    <w:rsid w:val="008557D2"/>
    <w:rsid w:val="008559FA"/>
    <w:rsid w:val="00855A16"/>
    <w:rsid w:val="00855AAF"/>
    <w:rsid w:val="00855C70"/>
    <w:rsid w:val="00855DC2"/>
    <w:rsid w:val="00855DE8"/>
    <w:rsid w:val="00856220"/>
    <w:rsid w:val="00856364"/>
    <w:rsid w:val="00856634"/>
    <w:rsid w:val="0085673C"/>
    <w:rsid w:val="0085712F"/>
    <w:rsid w:val="0085734B"/>
    <w:rsid w:val="00857652"/>
    <w:rsid w:val="00857754"/>
    <w:rsid w:val="008577AE"/>
    <w:rsid w:val="00857AC8"/>
    <w:rsid w:val="00857BF8"/>
    <w:rsid w:val="00857CCD"/>
    <w:rsid w:val="00857CDA"/>
    <w:rsid w:val="00860085"/>
    <w:rsid w:val="0086026B"/>
    <w:rsid w:val="008604A3"/>
    <w:rsid w:val="00860952"/>
    <w:rsid w:val="0086129A"/>
    <w:rsid w:val="0086154A"/>
    <w:rsid w:val="00861A45"/>
    <w:rsid w:val="008626AB"/>
    <w:rsid w:val="00862B0A"/>
    <w:rsid w:val="00862B18"/>
    <w:rsid w:val="008633D5"/>
    <w:rsid w:val="008639F2"/>
    <w:rsid w:val="00863BCE"/>
    <w:rsid w:val="0086445F"/>
    <w:rsid w:val="008645A3"/>
    <w:rsid w:val="00864B7C"/>
    <w:rsid w:val="00865156"/>
    <w:rsid w:val="0086516B"/>
    <w:rsid w:val="00865926"/>
    <w:rsid w:val="00865AA1"/>
    <w:rsid w:val="00865EA7"/>
    <w:rsid w:val="008661D2"/>
    <w:rsid w:val="00866255"/>
    <w:rsid w:val="00866A2A"/>
    <w:rsid w:val="00866B46"/>
    <w:rsid w:val="00866D7E"/>
    <w:rsid w:val="00867DD2"/>
    <w:rsid w:val="00867E85"/>
    <w:rsid w:val="0087018F"/>
    <w:rsid w:val="00870208"/>
    <w:rsid w:val="00870637"/>
    <w:rsid w:val="008707E4"/>
    <w:rsid w:val="00870B82"/>
    <w:rsid w:val="00870D94"/>
    <w:rsid w:val="00870E05"/>
    <w:rsid w:val="00870EED"/>
    <w:rsid w:val="008711F6"/>
    <w:rsid w:val="00871430"/>
    <w:rsid w:val="008714D8"/>
    <w:rsid w:val="0087164C"/>
    <w:rsid w:val="00871B4D"/>
    <w:rsid w:val="00871F4F"/>
    <w:rsid w:val="00871FCC"/>
    <w:rsid w:val="00871FEA"/>
    <w:rsid w:val="00872A43"/>
    <w:rsid w:val="00872AA2"/>
    <w:rsid w:val="00872F9F"/>
    <w:rsid w:val="008734F5"/>
    <w:rsid w:val="00873511"/>
    <w:rsid w:val="00873C39"/>
    <w:rsid w:val="00873CDC"/>
    <w:rsid w:val="00873E39"/>
    <w:rsid w:val="00873E91"/>
    <w:rsid w:val="008740BF"/>
    <w:rsid w:val="0087464B"/>
    <w:rsid w:val="00874960"/>
    <w:rsid w:val="00874986"/>
    <w:rsid w:val="00874AAE"/>
    <w:rsid w:val="00874BEC"/>
    <w:rsid w:val="0087516F"/>
    <w:rsid w:val="008756A3"/>
    <w:rsid w:val="008757B6"/>
    <w:rsid w:val="00875BD6"/>
    <w:rsid w:val="00875DFC"/>
    <w:rsid w:val="00875FFA"/>
    <w:rsid w:val="00876086"/>
    <w:rsid w:val="0087621F"/>
    <w:rsid w:val="008762C1"/>
    <w:rsid w:val="008762D1"/>
    <w:rsid w:val="00876467"/>
    <w:rsid w:val="00876C36"/>
    <w:rsid w:val="00876E7D"/>
    <w:rsid w:val="0087715F"/>
    <w:rsid w:val="008777BE"/>
    <w:rsid w:val="00880081"/>
    <w:rsid w:val="008802BA"/>
    <w:rsid w:val="00880373"/>
    <w:rsid w:val="00880AA0"/>
    <w:rsid w:val="00880C8A"/>
    <w:rsid w:val="008810D6"/>
    <w:rsid w:val="00881154"/>
    <w:rsid w:val="0088145B"/>
    <w:rsid w:val="008815C6"/>
    <w:rsid w:val="00881672"/>
    <w:rsid w:val="00881B2A"/>
    <w:rsid w:val="00881BC7"/>
    <w:rsid w:val="00881C47"/>
    <w:rsid w:val="00881D46"/>
    <w:rsid w:val="0088283D"/>
    <w:rsid w:val="0088299A"/>
    <w:rsid w:val="00882BB1"/>
    <w:rsid w:val="00882C49"/>
    <w:rsid w:val="00883D97"/>
    <w:rsid w:val="008840EF"/>
    <w:rsid w:val="00884319"/>
    <w:rsid w:val="00884639"/>
    <w:rsid w:val="008847DE"/>
    <w:rsid w:val="00885601"/>
    <w:rsid w:val="00885D05"/>
    <w:rsid w:val="008861AA"/>
    <w:rsid w:val="008865AF"/>
    <w:rsid w:val="0088672A"/>
    <w:rsid w:val="00886736"/>
    <w:rsid w:val="0088695B"/>
    <w:rsid w:val="00886C2C"/>
    <w:rsid w:val="00886E3D"/>
    <w:rsid w:val="008871A2"/>
    <w:rsid w:val="008871E7"/>
    <w:rsid w:val="00887F5E"/>
    <w:rsid w:val="00890341"/>
    <w:rsid w:val="00890495"/>
    <w:rsid w:val="008904D9"/>
    <w:rsid w:val="008907BB"/>
    <w:rsid w:val="00890830"/>
    <w:rsid w:val="00890841"/>
    <w:rsid w:val="00890AEE"/>
    <w:rsid w:val="00890CE4"/>
    <w:rsid w:val="00890E56"/>
    <w:rsid w:val="00891172"/>
    <w:rsid w:val="00891381"/>
    <w:rsid w:val="008916D7"/>
    <w:rsid w:val="0089180B"/>
    <w:rsid w:val="0089187A"/>
    <w:rsid w:val="0089187F"/>
    <w:rsid w:val="00891E15"/>
    <w:rsid w:val="0089202A"/>
    <w:rsid w:val="0089252E"/>
    <w:rsid w:val="00892A80"/>
    <w:rsid w:val="00892F62"/>
    <w:rsid w:val="00892FF8"/>
    <w:rsid w:val="00893039"/>
    <w:rsid w:val="00893100"/>
    <w:rsid w:val="0089311B"/>
    <w:rsid w:val="0089362C"/>
    <w:rsid w:val="00893D49"/>
    <w:rsid w:val="008945AF"/>
    <w:rsid w:val="00894AA4"/>
    <w:rsid w:val="00894B6D"/>
    <w:rsid w:val="008955FD"/>
    <w:rsid w:val="00895760"/>
    <w:rsid w:val="00895766"/>
    <w:rsid w:val="00895978"/>
    <w:rsid w:val="008959F1"/>
    <w:rsid w:val="00895CAC"/>
    <w:rsid w:val="00895E2E"/>
    <w:rsid w:val="008960E8"/>
    <w:rsid w:val="008961C2"/>
    <w:rsid w:val="0089695D"/>
    <w:rsid w:val="00896CBD"/>
    <w:rsid w:val="00896E8C"/>
    <w:rsid w:val="00896F31"/>
    <w:rsid w:val="0089740A"/>
    <w:rsid w:val="00897A43"/>
    <w:rsid w:val="00897DEE"/>
    <w:rsid w:val="00897FE1"/>
    <w:rsid w:val="008A0184"/>
    <w:rsid w:val="008A0374"/>
    <w:rsid w:val="008A0565"/>
    <w:rsid w:val="008A0703"/>
    <w:rsid w:val="008A0B85"/>
    <w:rsid w:val="008A0BAD"/>
    <w:rsid w:val="008A0FA2"/>
    <w:rsid w:val="008A10FA"/>
    <w:rsid w:val="008A1459"/>
    <w:rsid w:val="008A1528"/>
    <w:rsid w:val="008A1DFE"/>
    <w:rsid w:val="008A236C"/>
    <w:rsid w:val="008A23E9"/>
    <w:rsid w:val="008A246B"/>
    <w:rsid w:val="008A2598"/>
    <w:rsid w:val="008A26E0"/>
    <w:rsid w:val="008A2B16"/>
    <w:rsid w:val="008A2CDE"/>
    <w:rsid w:val="008A311E"/>
    <w:rsid w:val="008A3626"/>
    <w:rsid w:val="008A3823"/>
    <w:rsid w:val="008A3859"/>
    <w:rsid w:val="008A3A28"/>
    <w:rsid w:val="008A3C7C"/>
    <w:rsid w:val="008A3F44"/>
    <w:rsid w:val="008A4368"/>
    <w:rsid w:val="008A439B"/>
    <w:rsid w:val="008A43DD"/>
    <w:rsid w:val="008A46B3"/>
    <w:rsid w:val="008A4E84"/>
    <w:rsid w:val="008A50E7"/>
    <w:rsid w:val="008A5196"/>
    <w:rsid w:val="008A5788"/>
    <w:rsid w:val="008A5836"/>
    <w:rsid w:val="008A5A2C"/>
    <w:rsid w:val="008A5C05"/>
    <w:rsid w:val="008A5DA9"/>
    <w:rsid w:val="008A5E1D"/>
    <w:rsid w:val="008A61FE"/>
    <w:rsid w:val="008A635C"/>
    <w:rsid w:val="008A6450"/>
    <w:rsid w:val="008A64BC"/>
    <w:rsid w:val="008A64C9"/>
    <w:rsid w:val="008A6726"/>
    <w:rsid w:val="008A6A2A"/>
    <w:rsid w:val="008A6BE1"/>
    <w:rsid w:val="008A6CC9"/>
    <w:rsid w:val="008A705D"/>
    <w:rsid w:val="008A7120"/>
    <w:rsid w:val="008A71F3"/>
    <w:rsid w:val="008A7634"/>
    <w:rsid w:val="008A7828"/>
    <w:rsid w:val="008A78FB"/>
    <w:rsid w:val="008A7C6D"/>
    <w:rsid w:val="008B00C7"/>
    <w:rsid w:val="008B0145"/>
    <w:rsid w:val="008B0310"/>
    <w:rsid w:val="008B051A"/>
    <w:rsid w:val="008B0947"/>
    <w:rsid w:val="008B0B48"/>
    <w:rsid w:val="008B12FC"/>
    <w:rsid w:val="008B18EC"/>
    <w:rsid w:val="008B1CD7"/>
    <w:rsid w:val="008B1D0E"/>
    <w:rsid w:val="008B1E4C"/>
    <w:rsid w:val="008B1E7F"/>
    <w:rsid w:val="008B1FB7"/>
    <w:rsid w:val="008B22A3"/>
    <w:rsid w:val="008B24BD"/>
    <w:rsid w:val="008B25CF"/>
    <w:rsid w:val="008B26EE"/>
    <w:rsid w:val="008B29CA"/>
    <w:rsid w:val="008B2A76"/>
    <w:rsid w:val="008B2B27"/>
    <w:rsid w:val="008B32A0"/>
    <w:rsid w:val="008B3506"/>
    <w:rsid w:val="008B35F3"/>
    <w:rsid w:val="008B37C7"/>
    <w:rsid w:val="008B397D"/>
    <w:rsid w:val="008B45D1"/>
    <w:rsid w:val="008B494D"/>
    <w:rsid w:val="008B4A26"/>
    <w:rsid w:val="008B4F8E"/>
    <w:rsid w:val="008B4F99"/>
    <w:rsid w:val="008B51E9"/>
    <w:rsid w:val="008B5890"/>
    <w:rsid w:val="008B5965"/>
    <w:rsid w:val="008B62E4"/>
    <w:rsid w:val="008B6779"/>
    <w:rsid w:val="008B6FBC"/>
    <w:rsid w:val="008B7184"/>
    <w:rsid w:val="008B73F4"/>
    <w:rsid w:val="008B7452"/>
    <w:rsid w:val="008B79FF"/>
    <w:rsid w:val="008B7B33"/>
    <w:rsid w:val="008B7E75"/>
    <w:rsid w:val="008B7FE4"/>
    <w:rsid w:val="008C014B"/>
    <w:rsid w:val="008C024F"/>
    <w:rsid w:val="008C0252"/>
    <w:rsid w:val="008C0388"/>
    <w:rsid w:val="008C05D3"/>
    <w:rsid w:val="008C0641"/>
    <w:rsid w:val="008C075F"/>
    <w:rsid w:val="008C0AF3"/>
    <w:rsid w:val="008C0C1D"/>
    <w:rsid w:val="008C103F"/>
    <w:rsid w:val="008C11D8"/>
    <w:rsid w:val="008C14A5"/>
    <w:rsid w:val="008C154C"/>
    <w:rsid w:val="008C1772"/>
    <w:rsid w:val="008C1AA0"/>
    <w:rsid w:val="008C1C97"/>
    <w:rsid w:val="008C246B"/>
    <w:rsid w:val="008C24B1"/>
    <w:rsid w:val="008C280A"/>
    <w:rsid w:val="008C28C4"/>
    <w:rsid w:val="008C299A"/>
    <w:rsid w:val="008C2BAB"/>
    <w:rsid w:val="008C2D9B"/>
    <w:rsid w:val="008C2E79"/>
    <w:rsid w:val="008C3006"/>
    <w:rsid w:val="008C3133"/>
    <w:rsid w:val="008C3544"/>
    <w:rsid w:val="008C3614"/>
    <w:rsid w:val="008C39B5"/>
    <w:rsid w:val="008C3DA5"/>
    <w:rsid w:val="008C3FFD"/>
    <w:rsid w:val="008C43F6"/>
    <w:rsid w:val="008C471B"/>
    <w:rsid w:val="008C48B2"/>
    <w:rsid w:val="008C49B0"/>
    <w:rsid w:val="008C4C4B"/>
    <w:rsid w:val="008C510B"/>
    <w:rsid w:val="008C5553"/>
    <w:rsid w:val="008C55A1"/>
    <w:rsid w:val="008C5667"/>
    <w:rsid w:val="008C5893"/>
    <w:rsid w:val="008C58C3"/>
    <w:rsid w:val="008C5B65"/>
    <w:rsid w:val="008C5DDF"/>
    <w:rsid w:val="008C5EB9"/>
    <w:rsid w:val="008C5F50"/>
    <w:rsid w:val="008C6149"/>
    <w:rsid w:val="008C6281"/>
    <w:rsid w:val="008C6E38"/>
    <w:rsid w:val="008C7200"/>
    <w:rsid w:val="008C7278"/>
    <w:rsid w:val="008C730D"/>
    <w:rsid w:val="008C77A6"/>
    <w:rsid w:val="008C793E"/>
    <w:rsid w:val="008C7CED"/>
    <w:rsid w:val="008C7E8A"/>
    <w:rsid w:val="008D0084"/>
    <w:rsid w:val="008D01CC"/>
    <w:rsid w:val="008D05A6"/>
    <w:rsid w:val="008D095A"/>
    <w:rsid w:val="008D0BF5"/>
    <w:rsid w:val="008D0D4B"/>
    <w:rsid w:val="008D0E58"/>
    <w:rsid w:val="008D1151"/>
    <w:rsid w:val="008D1693"/>
    <w:rsid w:val="008D17EF"/>
    <w:rsid w:val="008D1B4D"/>
    <w:rsid w:val="008D1D77"/>
    <w:rsid w:val="008D2009"/>
    <w:rsid w:val="008D23CE"/>
    <w:rsid w:val="008D2857"/>
    <w:rsid w:val="008D2A55"/>
    <w:rsid w:val="008D2D10"/>
    <w:rsid w:val="008D2E70"/>
    <w:rsid w:val="008D2EBC"/>
    <w:rsid w:val="008D32D7"/>
    <w:rsid w:val="008D3324"/>
    <w:rsid w:val="008D335B"/>
    <w:rsid w:val="008D33CA"/>
    <w:rsid w:val="008D36AF"/>
    <w:rsid w:val="008D396F"/>
    <w:rsid w:val="008D3C17"/>
    <w:rsid w:val="008D3DE0"/>
    <w:rsid w:val="008D3FE3"/>
    <w:rsid w:val="008D411A"/>
    <w:rsid w:val="008D426F"/>
    <w:rsid w:val="008D4771"/>
    <w:rsid w:val="008D5646"/>
    <w:rsid w:val="008D57CD"/>
    <w:rsid w:val="008D61D3"/>
    <w:rsid w:val="008D6357"/>
    <w:rsid w:val="008D6478"/>
    <w:rsid w:val="008D6859"/>
    <w:rsid w:val="008D7703"/>
    <w:rsid w:val="008D79AA"/>
    <w:rsid w:val="008D7B98"/>
    <w:rsid w:val="008D7CA4"/>
    <w:rsid w:val="008D7D79"/>
    <w:rsid w:val="008D7EA2"/>
    <w:rsid w:val="008E0280"/>
    <w:rsid w:val="008E02E2"/>
    <w:rsid w:val="008E0392"/>
    <w:rsid w:val="008E06CB"/>
    <w:rsid w:val="008E0A4D"/>
    <w:rsid w:val="008E0A8B"/>
    <w:rsid w:val="008E1099"/>
    <w:rsid w:val="008E1222"/>
    <w:rsid w:val="008E176C"/>
    <w:rsid w:val="008E1A96"/>
    <w:rsid w:val="008E24BB"/>
    <w:rsid w:val="008E25F9"/>
    <w:rsid w:val="008E27D9"/>
    <w:rsid w:val="008E29B9"/>
    <w:rsid w:val="008E2A6B"/>
    <w:rsid w:val="008E2D9F"/>
    <w:rsid w:val="008E3075"/>
    <w:rsid w:val="008E3155"/>
    <w:rsid w:val="008E3313"/>
    <w:rsid w:val="008E34DE"/>
    <w:rsid w:val="008E3B05"/>
    <w:rsid w:val="008E48C8"/>
    <w:rsid w:val="008E4D40"/>
    <w:rsid w:val="008E510D"/>
    <w:rsid w:val="008E5255"/>
    <w:rsid w:val="008E548A"/>
    <w:rsid w:val="008E5574"/>
    <w:rsid w:val="008E55E5"/>
    <w:rsid w:val="008E5644"/>
    <w:rsid w:val="008E5799"/>
    <w:rsid w:val="008E5870"/>
    <w:rsid w:val="008E58F3"/>
    <w:rsid w:val="008E5AAD"/>
    <w:rsid w:val="008E60C7"/>
    <w:rsid w:val="008E6206"/>
    <w:rsid w:val="008E6486"/>
    <w:rsid w:val="008E680F"/>
    <w:rsid w:val="008E682F"/>
    <w:rsid w:val="008E6BC2"/>
    <w:rsid w:val="008E6BF0"/>
    <w:rsid w:val="008E7327"/>
    <w:rsid w:val="008E7539"/>
    <w:rsid w:val="008E7784"/>
    <w:rsid w:val="008E79AC"/>
    <w:rsid w:val="008E7AE5"/>
    <w:rsid w:val="008E7CCD"/>
    <w:rsid w:val="008E7EAC"/>
    <w:rsid w:val="008F006E"/>
    <w:rsid w:val="008F05DD"/>
    <w:rsid w:val="008F087D"/>
    <w:rsid w:val="008F0B71"/>
    <w:rsid w:val="008F0CC5"/>
    <w:rsid w:val="008F115D"/>
    <w:rsid w:val="008F13FB"/>
    <w:rsid w:val="008F1496"/>
    <w:rsid w:val="008F1565"/>
    <w:rsid w:val="008F157D"/>
    <w:rsid w:val="008F169B"/>
    <w:rsid w:val="008F16E8"/>
    <w:rsid w:val="008F2001"/>
    <w:rsid w:val="008F20D1"/>
    <w:rsid w:val="008F2200"/>
    <w:rsid w:val="008F22FD"/>
    <w:rsid w:val="008F25F3"/>
    <w:rsid w:val="008F27F9"/>
    <w:rsid w:val="008F308C"/>
    <w:rsid w:val="008F321D"/>
    <w:rsid w:val="008F35F3"/>
    <w:rsid w:val="008F3628"/>
    <w:rsid w:val="008F372B"/>
    <w:rsid w:val="008F3843"/>
    <w:rsid w:val="008F384F"/>
    <w:rsid w:val="008F3BD2"/>
    <w:rsid w:val="008F3ED8"/>
    <w:rsid w:val="008F4164"/>
    <w:rsid w:val="008F4244"/>
    <w:rsid w:val="008F4267"/>
    <w:rsid w:val="008F4502"/>
    <w:rsid w:val="008F485C"/>
    <w:rsid w:val="008F48E8"/>
    <w:rsid w:val="008F4E50"/>
    <w:rsid w:val="008F5223"/>
    <w:rsid w:val="008F56E7"/>
    <w:rsid w:val="008F57E8"/>
    <w:rsid w:val="008F58BF"/>
    <w:rsid w:val="008F5F72"/>
    <w:rsid w:val="008F62C4"/>
    <w:rsid w:val="008F654A"/>
    <w:rsid w:val="008F686A"/>
    <w:rsid w:val="008F692A"/>
    <w:rsid w:val="008F69D8"/>
    <w:rsid w:val="008F6C2E"/>
    <w:rsid w:val="008F6F42"/>
    <w:rsid w:val="008F72F2"/>
    <w:rsid w:val="008F779B"/>
    <w:rsid w:val="00900065"/>
    <w:rsid w:val="009001FB"/>
    <w:rsid w:val="00900368"/>
    <w:rsid w:val="0090043D"/>
    <w:rsid w:val="00900612"/>
    <w:rsid w:val="0090085C"/>
    <w:rsid w:val="00900C08"/>
    <w:rsid w:val="0090106C"/>
    <w:rsid w:val="00901354"/>
    <w:rsid w:val="0090146C"/>
    <w:rsid w:val="00901818"/>
    <w:rsid w:val="00901E6C"/>
    <w:rsid w:val="0090235A"/>
    <w:rsid w:val="009023EE"/>
    <w:rsid w:val="009024DA"/>
    <w:rsid w:val="00902540"/>
    <w:rsid w:val="0090262D"/>
    <w:rsid w:val="00902752"/>
    <w:rsid w:val="00902821"/>
    <w:rsid w:val="00902D07"/>
    <w:rsid w:val="00902E93"/>
    <w:rsid w:val="00902F2F"/>
    <w:rsid w:val="00902F65"/>
    <w:rsid w:val="00903294"/>
    <w:rsid w:val="009035D7"/>
    <w:rsid w:val="00903A17"/>
    <w:rsid w:val="00903A49"/>
    <w:rsid w:val="009043C0"/>
    <w:rsid w:val="009043F4"/>
    <w:rsid w:val="00904ADD"/>
    <w:rsid w:val="00904CF3"/>
    <w:rsid w:val="009050BB"/>
    <w:rsid w:val="00905343"/>
    <w:rsid w:val="00905569"/>
    <w:rsid w:val="009056D3"/>
    <w:rsid w:val="009059A0"/>
    <w:rsid w:val="009059D3"/>
    <w:rsid w:val="0090600A"/>
    <w:rsid w:val="009066CF"/>
    <w:rsid w:val="00906986"/>
    <w:rsid w:val="00906FAA"/>
    <w:rsid w:val="009072B8"/>
    <w:rsid w:val="00907699"/>
    <w:rsid w:val="00907C51"/>
    <w:rsid w:val="00907D57"/>
    <w:rsid w:val="00907F94"/>
    <w:rsid w:val="0091017A"/>
    <w:rsid w:val="00910372"/>
    <w:rsid w:val="00910A6C"/>
    <w:rsid w:val="00910FB9"/>
    <w:rsid w:val="009111D9"/>
    <w:rsid w:val="0091128B"/>
    <w:rsid w:val="00911504"/>
    <w:rsid w:val="009115A9"/>
    <w:rsid w:val="00911F9B"/>
    <w:rsid w:val="00911FA2"/>
    <w:rsid w:val="00912009"/>
    <w:rsid w:val="009121BB"/>
    <w:rsid w:val="009125AB"/>
    <w:rsid w:val="0091287B"/>
    <w:rsid w:val="009129CA"/>
    <w:rsid w:val="00912C33"/>
    <w:rsid w:val="00912F7E"/>
    <w:rsid w:val="00913686"/>
    <w:rsid w:val="00913813"/>
    <w:rsid w:val="00913877"/>
    <w:rsid w:val="009138E6"/>
    <w:rsid w:val="00913BD9"/>
    <w:rsid w:val="00913ED9"/>
    <w:rsid w:val="00913EFC"/>
    <w:rsid w:val="00914173"/>
    <w:rsid w:val="009146EC"/>
    <w:rsid w:val="00914CF8"/>
    <w:rsid w:val="00914DFB"/>
    <w:rsid w:val="00914F83"/>
    <w:rsid w:val="009156EA"/>
    <w:rsid w:val="00915877"/>
    <w:rsid w:val="009158C5"/>
    <w:rsid w:val="00915BD2"/>
    <w:rsid w:val="00915FAB"/>
    <w:rsid w:val="0091612C"/>
    <w:rsid w:val="00916443"/>
    <w:rsid w:val="009167B7"/>
    <w:rsid w:val="00916A74"/>
    <w:rsid w:val="00916F5F"/>
    <w:rsid w:val="0091701E"/>
    <w:rsid w:val="009170FA"/>
    <w:rsid w:val="0091712D"/>
    <w:rsid w:val="009173D1"/>
    <w:rsid w:val="009173F9"/>
    <w:rsid w:val="009174B1"/>
    <w:rsid w:val="00917714"/>
    <w:rsid w:val="00917787"/>
    <w:rsid w:val="00917B4B"/>
    <w:rsid w:val="00920041"/>
    <w:rsid w:val="009201D3"/>
    <w:rsid w:val="009202EB"/>
    <w:rsid w:val="0092044D"/>
    <w:rsid w:val="0092048F"/>
    <w:rsid w:val="0092061D"/>
    <w:rsid w:val="009208BF"/>
    <w:rsid w:val="00920B97"/>
    <w:rsid w:val="00920EE1"/>
    <w:rsid w:val="00921073"/>
    <w:rsid w:val="009210DC"/>
    <w:rsid w:val="00921585"/>
    <w:rsid w:val="00921A0B"/>
    <w:rsid w:val="00921BCC"/>
    <w:rsid w:val="00921F1E"/>
    <w:rsid w:val="009224D9"/>
    <w:rsid w:val="00922507"/>
    <w:rsid w:val="009225F0"/>
    <w:rsid w:val="00922617"/>
    <w:rsid w:val="009228AA"/>
    <w:rsid w:val="00922F5A"/>
    <w:rsid w:val="009232AE"/>
    <w:rsid w:val="00923B66"/>
    <w:rsid w:val="0092451D"/>
    <w:rsid w:val="0092476A"/>
    <w:rsid w:val="0092480B"/>
    <w:rsid w:val="00924884"/>
    <w:rsid w:val="00924975"/>
    <w:rsid w:val="00924A7B"/>
    <w:rsid w:val="00924AEB"/>
    <w:rsid w:val="009250CB"/>
    <w:rsid w:val="009251D2"/>
    <w:rsid w:val="00925427"/>
    <w:rsid w:val="00925750"/>
    <w:rsid w:val="00925D8C"/>
    <w:rsid w:val="00926401"/>
    <w:rsid w:val="009265A8"/>
    <w:rsid w:val="00926640"/>
    <w:rsid w:val="0092670C"/>
    <w:rsid w:val="00926746"/>
    <w:rsid w:val="00926B2E"/>
    <w:rsid w:val="00926DC0"/>
    <w:rsid w:val="009270BE"/>
    <w:rsid w:val="00927497"/>
    <w:rsid w:val="0092749B"/>
    <w:rsid w:val="00927972"/>
    <w:rsid w:val="00930375"/>
    <w:rsid w:val="009303AD"/>
    <w:rsid w:val="009307B2"/>
    <w:rsid w:val="00931079"/>
    <w:rsid w:val="009312AE"/>
    <w:rsid w:val="00931682"/>
    <w:rsid w:val="00931C61"/>
    <w:rsid w:val="00932019"/>
    <w:rsid w:val="0093212E"/>
    <w:rsid w:val="0093264C"/>
    <w:rsid w:val="00932ADE"/>
    <w:rsid w:val="00932B0E"/>
    <w:rsid w:val="00932D60"/>
    <w:rsid w:val="00932FB7"/>
    <w:rsid w:val="009330D6"/>
    <w:rsid w:val="009335B9"/>
    <w:rsid w:val="009337BE"/>
    <w:rsid w:val="0093387F"/>
    <w:rsid w:val="009338F9"/>
    <w:rsid w:val="00933AA8"/>
    <w:rsid w:val="00933D36"/>
    <w:rsid w:val="00933F44"/>
    <w:rsid w:val="0093447A"/>
    <w:rsid w:val="00934C13"/>
    <w:rsid w:val="00935695"/>
    <w:rsid w:val="00935D18"/>
    <w:rsid w:val="00935F37"/>
    <w:rsid w:val="009363E0"/>
    <w:rsid w:val="009364D4"/>
    <w:rsid w:val="00936837"/>
    <w:rsid w:val="00936A76"/>
    <w:rsid w:val="00936F45"/>
    <w:rsid w:val="009371C3"/>
    <w:rsid w:val="0093770B"/>
    <w:rsid w:val="009377C8"/>
    <w:rsid w:val="0093790F"/>
    <w:rsid w:val="00937A5E"/>
    <w:rsid w:val="00937B0F"/>
    <w:rsid w:val="00937BDE"/>
    <w:rsid w:val="00937E82"/>
    <w:rsid w:val="009400CF"/>
    <w:rsid w:val="009404B1"/>
    <w:rsid w:val="00940807"/>
    <w:rsid w:val="00940A70"/>
    <w:rsid w:val="00940AE4"/>
    <w:rsid w:val="00940B59"/>
    <w:rsid w:val="00941030"/>
    <w:rsid w:val="00941052"/>
    <w:rsid w:val="00941E02"/>
    <w:rsid w:val="00941E55"/>
    <w:rsid w:val="0094228B"/>
    <w:rsid w:val="00942505"/>
    <w:rsid w:val="009426A8"/>
    <w:rsid w:val="0094298D"/>
    <w:rsid w:val="00942C9B"/>
    <w:rsid w:val="00942E14"/>
    <w:rsid w:val="009439A5"/>
    <w:rsid w:val="00943EBB"/>
    <w:rsid w:val="00944C88"/>
    <w:rsid w:val="009456A5"/>
    <w:rsid w:val="00945DD4"/>
    <w:rsid w:val="0094626E"/>
    <w:rsid w:val="00946468"/>
    <w:rsid w:val="009466F3"/>
    <w:rsid w:val="0094697B"/>
    <w:rsid w:val="00946CBB"/>
    <w:rsid w:val="00947399"/>
    <w:rsid w:val="00947542"/>
    <w:rsid w:val="009476B0"/>
    <w:rsid w:val="009479E5"/>
    <w:rsid w:val="00947AF2"/>
    <w:rsid w:val="00947F21"/>
    <w:rsid w:val="00950001"/>
    <w:rsid w:val="009504FD"/>
    <w:rsid w:val="009507EE"/>
    <w:rsid w:val="00950815"/>
    <w:rsid w:val="00950B1C"/>
    <w:rsid w:val="00951268"/>
    <w:rsid w:val="00951290"/>
    <w:rsid w:val="009513DE"/>
    <w:rsid w:val="009517E4"/>
    <w:rsid w:val="00951B85"/>
    <w:rsid w:val="009524E2"/>
    <w:rsid w:val="00952945"/>
    <w:rsid w:val="00952B17"/>
    <w:rsid w:val="00952F17"/>
    <w:rsid w:val="0095317D"/>
    <w:rsid w:val="00953CDE"/>
    <w:rsid w:val="00954217"/>
    <w:rsid w:val="009544FC"/>
    <w:rsid w:val="00954608"/>
    <w:rsid w:val="0095460C"/>
    <w:rsid w:val="009546D2"/>
    <w:rsid w:val="0095487D"/>
    <w:rsid w:val="00954919"/>
    <w:rsid w:val="009549DA"/>
    <w:rsid w:val="00954C14"/>
    <w:rsid w:val="00955079"/>
    <w:rsid w:val="009554AA"/>
    <w:rsid w:val="009556CF"/>
    <w:rsid w:val="00955824"/>
    <w:rsid w:val="009560E8"/>
    <w:rsid w:val="009560EE"/>
    <w:rsid w:val="0095633C"/>
    <w:rsid w:val="009564DB"/>
    <w:rsid w:val="009566E2"/>
    <w:rsid w:val="0095685F"/>
    <w:rsid w:val="00956B69"/>
    <w:rsid w:val="00956CC3"/>
    <w:rsid w:val="009570B7"/>
    <w:rsid w:val="00957136"/>
    <w:rsid w:val="00957323"/>
    <w:rsid w:val="009573F7"/>
    <w:rsid w:val="00957B17"/>
    <w:rsid w:val="00957B1B"/>
    <w:rsid w:val="009603E1"/>
    <w:rsid w:val="00960547"/>
    <w:rsid w:val="00960569"/>
    <w:rsid w:val="00960E67"/>
    <w:rsid w:val="00960EA4"/>
    <w:rsid w:val="0096107D"/>
    <w:rsid w:val="009610A5"/>
    <w:rsid w:val="0096125F"/>
    <w:rsid w:val="00961577"/>
    <w:rsid w:val="009617F1"/>
    <w:rsid w:val="009618AE"/>
    <w:rsid w:val="009619FE"/>
    <w:rsid w:val="00961A4B"/>
    <w:rsid w:val="00961C0C"/>
    <w:rsid w:val="009621C6"/>
    <w:rsid w:val="0096241F"/>
    <w:rsid w:val="0096247A"/>
    <w:rsid w:val="00962544"/>
    <w:rsid w:val="009625EA"/>
    <w:rsid w:val="00962603"/>
    <w:rsid w:val="009626ED"/>
    <w:rsid w:val="00962CE9"/>
    <w:rsid w:val="00962E0F"/>
    <w:rsid w:val="00962F9E"/>
    <w:rsid w:val="009630B6"/>
    <w:rsid w:val="00963246"/>
    <w:rsid w:val="009635A4"/>
    <w:rsid w:val="00963966"/>
    <w:rsid w:val="00963A0F"/>
    <w:rsid w:val="00963AE6"/>
    <w:rsid w:val="00963D11"/>
    <w:rsid w:val="00963E01"/>
    <w:rsid w:val="00964369"/>
    <w:rsid w:val="00964E58"/>
    <w:rsid w:val="00964FF0"/>
    <w:rsid w:val="009650EE"/>
    <w:rsid w:val="009656FF"/>
    <w:rsid w:val="0096573F"/>
    <w:rsid w:val="00965745"/>
    <w:rsid w:val="00965881"/>
    <w:rsid w:val="00965ABE"/>
    <w:rsid w:val="00965EE1"/>
    <w:rsid w:val="009664FD"/>
    <w:rsid w:val="00966763"/>
    <w:rsid w:val="009668C0"/>
    <w:rsid w:val="00966DFE"/>
    <w:rsid w:val="00966E49"/>
    <w:rsid w:val="00967016"/>
    <w:rsid w:val="009679D2"/>
    <w:rsid w:val="00967AE4"/>
    <w:rsid w:val="00967FED"/>
    <w:rsid w:val="0097016B"/>
    <w:rsid w:val="009704DE"/>
    <w:rsid w:val="00970512"/>
    <w:rsid w:val="00970970"/>
    <w:rsid w:val="00970D99"/>
    <w:rsid w:val="00970F02"/>
    <w:rsid w:val="00970F34"/>
    <w:rsid w:val="009714B8"/>
    <w:rsid w:val="00971AFC"/>
    <w:rsid w:val="00971C4A"/>
    <w:rsid w:val="00971C50"/>
    <w:rsid w:val="00971D50"/>
    <w:rsid w:val="00971DCC"/>
    <w:rsid w:val="00972298"/>
    <w:rsid w:val="009724B5"/>
    <w:rsid w:val="00972C41"/>
    <w:rsid w:val="00972FED"/>
    <w:rsid w:val="00973347"/>
    <w:rsid w:val="00973361"/>
    <w:rsid w:val="0097372F"/>
    <w:rsid w:val="00973B46"/>
    <w:rsid w:val="00973B60"/>
    <w:rsid w:val="00973F60"/>
    <w:rsid w:val="0097408D"/>
    <w:rsid w:val="00974949"/>
    <w:rsid w:val="00974B31"/>
    <w:rsid w:val="00974B93"/>
    <w:rsid w:val="00974BCC"/>
    <w:rsid w:val="00974CB8"/>
    <w:rsid w:val="0097560E"/>
    <w:rsid w:val="0097593D"/>
    <w:rsid w:val="00975C1A"/>
    <w:rsid w:val="00975F93"/>
    <w:rsid w:val="00976324"/>
    <w:rsid w:val="00976530"/>
    <w:rsid w:val="00976576"/>
    <w:rsid w:val="0097664F"/>
    <w:rsid w:val="00976724"/>
    <w:rsid w:val="00976BBF"/>
    <w:rsid w:val="00976BC6"/>
    <w:rsid w:val="00976BD9"/>
    <w:rsid w:val="00976BEB"/>
    <w:rsid w:val="00976C53"/>
    <w:rsid w:val="00976DF7"/>
    <w:rsid w:val="00977302"/>
    <w:rsid w:val="009775DC"/>
    <w:rsid w:val="00977791"/>
    <w:rsid w:val="00977848"/>
    <w:rsid w:val="00977E17"/>
    <w:rsid w:val="00980090"/>
    <w:rsid w:val="009802C1"/>
    <w:rsid w:val="00980461"/>
    <w:rsid w:val="00980F02"/>
    <w:rsid w:val="0098124E"/>
    <w:rsid w:val="00981B72"/>
    <w:rsid w:val="00981E89"/>
    <w:rsid w:val="0098208A"/>
    <w:rsid w:val="009822F1"/>
    <w:rsid w:val="009823D9"/>
    <w:rsid w:val="009825A6"/>
    <w:rsid w:val="009828C4"/>
    <w:rsid w:val="00982B4E"/>
    <w:rsid w:val="00982DC9"/>
    <w:rsid w:val="009839C0"/>
    <w:rsid w:val="00983B9C"/>
    <w:rsid w:val="00983DF2"/>
    <w:rsid w:val="00983F33"/>
    <w:rsid w:val="00984337"/>
    <w:rsid w:val="00984674"/>
    <w:rsid w:val="009848D6"/>
    <w:rsid w:val="00984C0E"/>
    <w:rsid w:val="00984C1A"/>
    <w:rsid w:val="009851FD"/>
    <w:rsid w:val="0098527D"/>
    <w:rsid w:val="00985315"/>
    <w:rsid w:val="0098536A"/>
    <w:rsid w:val="0098598F"/>
    <w:rsid w:val="00985A75"/>
    <w:rsid w:val="00985C8A"/>
    <w:rsid w:val="00986218"/>
    <w:rsid w:val="00986239"/>
    <w:rsid w:val="009864E7"/>
    <w:rsid w:val="00986707"/>
    <w:rsid w:val="009869D1"/>
    <w:rsid w:val="00986D8F"/>
    <w:rsid w:val="00986F9F"/>
    <w:rsid w:val="00987AEC"/>
    <w:rsid w:val="00987DC9"/>
    <w:rsid w:val="00987F22"/>
    <w:rsid w:val="0099025F"/>
    <w:rsid w:val="00990576"/>
    <w:rsid w:val="009905F4"/>
    <w:rsid w:val="0099077E"/>
    <w:rsid w:val="009908C7"/>
    <w:rsid w:val="00990B75"/>
    <w:rsid w:val="00990DF7"/>
    <w:rsid w:val="00990E25"/>
    <w:rsid w:val="009910A5"/>
    <w:rsid w:val="00991527"/>
    <w:rsid w:val="00991C77"/>
    <w:rsid w:val="00991D8E"/>
    <w:rsid w:val="00991EAC"/>
    <w:rsid w:val="0099270B"/>
    <w:rsid w:val="00992A96"/>
    <w:rsid w:val="00992C7B"/>
    <w:rsid w:val="00992D08"/>
    <w:rsid w:val="00993140"/>
    <w:rsid w:val="009933F9"/>
    <w:rsid w:val="009935D6"/>
    <w:rsid w:val="00993839"/>
    <w:rsid w:val="00993B59"/>
    <w:rsid w:val="00993D5C"/>
    <w:rsid w:val="00994848"/>
    <w:rsid w:val="00994C6C"/>
    <w:rsid w:val="0099506D"/>
    <w:rsid w:val="00995136"/>
    <w:rsid w:val="00995905"/>
    <w:rsid w:val="00995D04"/>
    <w:rsid w:val="00995E90"/>
    <w:rsid w:val="00995EC7"/>
    <w:rsid w:val="009960FB"/>
    <w:rsid w:val="00996634"/>
    <w:rsid w:val="00996768"/>
    <w:rsid w:val="009969B1"/>
    <w:rsid w:val="00996E3C"/>
    <w:rsid w:val="00996F2B"/>
    <w:rsid w:val="00997102"/>
    <w:rsid w:val="00997173"/>
    <w:rsid w:val="00997250"/>
    <w:rsid w:val="009973C1"/>
    <w:rsid w:val="009978FC"/>
    <w:rsid w:val="00997C59"/>
    <w:rsid w:val="00997F94"/>
    <w:rsid w:val="00997FEB"/>
    <w:rsid w:val="009A0030"/>
    <w:rsid w:val="009A01D5"/>
    <w:rsid w:val="009A0410"/>
    <w:rsid w:val="009A0A1C"/>
    <w:rsid w:val="009A0E2C"/>
    <w:rsid w:val="009A1178"/>
    <w:rsid w:val="009A13DC"/>
    <w:rsid w:val="009A1604"/>
    <w:rsid w:val="009A187A"/>
    <w:rsid w:val="009A1A6E"/>
    <w:rsid w:val="009A22F5"/>
    <w:rsid w:val="009A2337"/>
    <w:rsid w:val="009A2AF0"/>
    <w:rsid w:val="009A2B36"/>
    <w:rsid w:val="009A2BA3"/>
    <w:rsid w:val="009A2C04"/>
    <w:rsid w:val="009A2F21"/>
    <w:rsid w:val="009A3085"/>
    <w:rsid w:val="009A3589"/>
    <w:rsid w:val="009A35D6"/>
    <w:rsid w:val="009A40BD"/>
    <w:rsid w:val="009A4197"/>
    <w:rsid w:val="009A419B"/>
    <w:rsid w:val="009A424E"/>
    <w:rsid w:val="009A49ED"/>
    <w:rsid w:val="009A4AF8"/>
    <w:rsid w:val="009A4D6D"/>
    <w:rsid w:val="009A4D95"/>
    <w:rsid w:val="009A4E6B"/>
    <w:rsid w:val="009A4E92"/>
    <w:rsid w:val="009A4EC9"/>
    <w:rsid w:val="009A5183"/>
    <w:rsid w:val="009A524F"/>
    <w:rsid w:val="009A5896"/>
    <w:rsid w:val="009A61D0"/>
    <w:rsid w:val="009A67AE"/>
    <w:rsid w:val="009A6906"/>
    <w:rsid w:val="009A6F46"/>
    <w:rsid w:val="009B00F4"/>
    <w:rsid w:val="009B0DB0"/>
    <w:rsid w:val="009B1190"/>
    <w:rsid w:val="009B12BA"/>
    <w:rsid w:val="009B14E2"/>
    <w:rsid w:val="009B1A1D"/>
    <w:rsid w:val="009B1B41"/>
    <w:rsid w:val="009B20ED"/>
    <w:rsid w:val="009B21D7"/>
    <w:rsid w:val="009B225F"/>
    <w:rsid w:val="009B25E5"/>
    <w:rsid w:val="009B2895"/>
    <w:rsid w:val="009B2971"/>
    <w:rsid w:val="009B2A07"/>
    <w:rsid w:val="009B2C1B"/>
    <w:rsid w:val="009B2C75"/>
    <w:rsid w:val="009B2D2F"/>
    <w:rsid w:val="009B2E5A"/>
    <w:rsid w:val="009B315F"/>
    <w:rsid w:val="009B347A"/>
    <w:rsid w:val="009B3CB7"/>
    <w:rsid w:val="009B3E6B"/>
    <w:rsid w:val="009B3F43"/>
    <w:rsid w:val="009B4053"/>
    <w:rsid w:val="009B4204"/>
    <w:rsid w:val="009B4888"/>
    <w:rsid w:val="009B50BC"/>
    <w:rsid w:val="009B5375"/>
    <w:rsid w:val="009B53AC"/>
    <w:rsid w:val="009B53B6"/>
    <w:rsid w:val="009B554A"/>
    <w:rsid w:val="009B57F2"/>
    <w:rsid w:val="009B5961"/>
    <w:rsid w:val="009B5C3D"/>
    <w:rsid w:val="009B5EEC"/>
    <w:rsid w:val="009B603C"/>
    <w:rsid w:val="009B6263"/>
    <w:rsid w:val="009B6338"/>
    <w:rsid w:val="009B641A"/>
    <w:rsid w:val="009B64FD"/>
    <w:rsid w:val="009B657D"/>
    <w:rsid w:val="009B6588"/>
    <w:rsid w:val="009B6FF6"/>
    <w:rsid w:val="009B72B9"/>
    <w:rsid w:val="009B7345"/>
    <w:rsid w:val="009B750F"/>
    <w:rsid w:val="009B7690"/>
    <w:rsid w:val="009B78EB"/>
    <w:rsid w:val="009B799A"/>
    <w:rsid w:val="009B79E7"/>
    <w:rsid w:val="009C0038"/>
    <w:rsid w:val="009C0176"/>
    <w:rsid w:val="009C08A8"/>
    <w:rsid w:val="009C0AB4"/>
    <w:rsid w:val="009C0FB0"/>
    <w:rsid w:val="009C15E7"/>
    <w:rsid w:val="009C19C5"/>
    <w:rsid w:val="009C200D"/>
    <w:rsid w:val="009C207C"/>
    <w:rsid w:val="009C2956"/>
    <w:rsid w:val="009C3704"/>
    <w:rsid w:val="009C377C"/>
    <w:rsid w:val="009C388F"/>
    <w:rsid w:val="009C3E89"/>
    <w:rsid w:val="009C4216"/>
    <w:rsid w:val="009C4230"/>
    <w:rsid w:val="009C4523"/>
    <w:rsid w:val="009C472A"/>
    <w:rsid w:val="009C4EFE"/>
    <w:rsid w:val="009C510E"/>
    <w:rsid w:val="009C562A"/>
    <w:rsid w:val="009C5701"/>
    <w:rsid w:val="009C5C92"/>
    <w:rsid w:val="009C61FB"/>
    <w:rsid w:val="009C630D"/>
    <w:rsid w:val="009C6936"/>
    <w:rsid w:val="009C6AAC"/>
    <w:rsid w:val="009C6DAB"/>
    <w:rsid w:val="009C713B"/>
    <w:rsid w:val="009C7168"/>
    <w:rsid w:val="009C7265"/>
    <w:rsid w:val="009C7565"/>
    <w:rsid w:val="009C75EF"/>
    <w:rsid w:val="009C7A6B"/>
    <w:rsid w:val="009C7FDC"/>
    <w:rsid w:val="009C8F22"/>
    <w:rsid w:val="009D02A0"/>
    <w:rsid w:val="009D081B"/>
    <w:rsid w:val="009D0CE0"/>
    <w:rsid w:val="009D0E45"/>
    <w:rsid w:val="009D0ECC"/>
    <w:rsid w:val="009D1406"/>
    <w:rsid w:val="009D140A"/>
    <w:rsid w:val="009D14AF"/>
    <w:rsid w:val="009D15B6"/>
    <w:rsid w:val="009D19B0"/>
    <w:rsid w:val="009D1A93"/>
    <w:rsid w:val="009D2506"/>
    <w:rsid w:val="009D2734"/>
    <w:rsid w:val="009D2C1E"/>
    <w:rsid w:val="009D2D59"/>
    <w:rsid w:val="009D2ECC"/>
    <w:rsid w:val="009D2EE5"/>
    <w:rsid w:val="009D303A"/>
    <w:rsid w:val="009D3142"/>
    <w:rsid w:val="009D32B1"/>
    <w:rsid w:val="009D3361"/>
    <w:rsid w:val="009D33F2"/>
    <w:rsid w:val="009D3633"/>
    <w:rsid w:val="009D391B"/>
    <w:rsid w:val="009D3932"/>
    <w:rsid w:val="009D398A"/>
    <w:rsid w:val="009D3CED"/>
    <w:rsid w:val="009D3F2B"/>
    <w:rsid w:val="009D3F56"/>
    <w:rsid w:val="009D3F82"/>
    <w:rsid w:val="009D51C2"/>
    <w:rsid w:val="009D5427"/>
    <w:rsid w:val="009D5430"/>
    <w:rsid w:val="009D57C0"/>
    <w:rsid w:val="009D5CE0"/>
    <w:rsid w:val="009D5EA8"/>
    <w:rsid w:val="009D6438"/>
    <w:rsid w:val="009D6569"/>
    <w:rsid w:val="009D6634"/>
    <w:rsid w:val="009D664C"/>
    <w:rsid w:val="009D68BB"/>
    <w:rsid w:val="009D6B33"/>
    <w:rsid w:val="009D6BF2"/>
    <w:rsid w:val="009D6C18"/>
    <w:rsid w:val="009D6CE7"/>
    <w:rsid w:val="009D6D9D"/>
    <w:rsid w:val="009D6F2A"/>
    <w:rsid w:val="009D7123"/>
    <w:rsid w:val="009D7212"/>
    <w:rsid w:val="009D7252"/>
    <w:rsid w:val="009D739F"/>
    <w:rsid w:val="009D74EB"/>
    <w:rsid w:val="009D755E"/>
    <w:rsid w:val="009D7D3D"/>
    <w:rsid w:val="009D7EDE"/>
    <w:rsid w:val="009E0156"/>
    <w:rsid w:val="009E0ACE"/>
    <w:rsid w:val="009E0AEA"/>
    <w:rsid w:val="009E0C8E"/>
    <w:rsid w:val="009E0E54"/>
    <w:rsid w:val="009E0ED9"/>
    <w:rsid w:val="009E147A"/>
    <w:rsid w:val="009E14B4"/>
    <w:rsid w:val="009E18AC"/>
    <w:rsid w:val="009E1DFF"/>
    <w:rsid w:val="009E20E5"/>
    <w:rsid w:val="009E2856"/>
    <w:rsid w:val="009E38B9"/>
    <w:rsid w:val="009E3B58"/>
    <w:rsid w:val="009E3C2F"/>
    <w:rsid w:val="009E3ECA"/>
    <w:rsid w:val="009E4036"/>
    <w:rsid w:val="009E4296"/>
    <w:rsid w:val="009E4D8F"/>
    <w:rsid w:val="009E4E12"/>
    <w:rsid w:val="009E4E56"/>
    <w:rsid w:val="009E52A6"/>
    <w:rsid w:val="009E5491"/>
    <w:rsid w:val="009E55E8"/>
    <w:rsid w:val="009E56AB"/>
    <w:rsid w:val="009E5705"/>
    <w:rsid w:val="009E5DE3"/>
    <w:rsid w:val="009E5F99"/>
    <w:rsid w:val="009E62EC"/>
    <w:rsid w:val="009E63A2"/>
    <w:rsid w:val="009E6A10"/>
    <w:rsid w:val="009E6F41"/>
    <w:rsid w:val="009E731D"/>
    <w:rsid w:val="009E741E"/>
    <w:rsid w:val="009E75DA"/>
    <w:rsid w:val="009E7A87"/>
    <w:rsid w:val="009E7BC9"/>
    <w:rsid w:val="009E7C7D"/>
    <w:rsid w:val="009F065E"/>
    <w:rsid w:val="009F078E"/>
    <w:rsid w:val="009F0C2C"/>
    <w:rsid w:val="009F0FAA"/>
    <w:rsid w:val="009F139A"/>
    <w:rsid w:val="009F150A"/>
    <w:rsid w:val="009F191B"/>
    <w:rsid w:val="009F1DB3"/>
    <w:rsid w:val="009F1EEE"/>
    <w:rsid w:val="009F2A2B"/>
    <w:rsid w:val="009F2B69"/>
    <w:rsid w:val="009F2BC1"/>
    <w:rsid w:val="009F2C3B"/>
    <w:rsid w:val="009F2CE4"/>
    <w:rsid w:val="009F333A"/>
    <w:rsid w:val="009F366D"/>
    <w:rsid w:val="009F382B"/>
    <w:rsid w:val="009F40B5"/>
    <w:rsid w:val="009F4693"/>
    <w:rsid w:val="009F4719"/>
    <w:rsid w:val="009F4728"/>
    <w:rsid w:val="009F4778"/>
    <w:rsid w:val="009F4A17"/>
    <w:rsid w:val="009F4AED"/>
    <w:rsid w:val="009F4C5C"/>
    <w:rsid w:val="009F4D04"/>
    <w:rsid w:val="009F57F8"/>
    <w:rsid w:val="009F63A5"/>
    <w:rsid w:val="009F6A8D"/>
    <w:rsid w:val="009F6B1E"/>
    <w:rsid w:val="009F6B31"/>
    <w:rsid w:val="009F6D43"/>
    <w:rsid w:val="009F6E8C"/>
    <w:rsid w:val="009F72CE"/>
    <w:rsid w:val="009F7615"/>
    <w:rsid w:val="009F7A73"/>
    <w:rsid w:val="009F7B3B"/>
    <w:rsid w:val="009F7F61"/>
    <w:rsid w:val="00A002FF"/>
    <w:rsid w:val="00A009D3"/>
    <w:rsid w:val="00A00BDF"/>
    <w:rsid w:val="00A00C8F"/>
    <w:rsid w:val="00A00D81"/>
    <w:rsid w:val="00A01078"/>
    <w:rsid w:val="00A0122B"/>
    <w:rsid w:val="00A012DC"/>
    <w:rsid w:val="00A015F8"/>
    <w:rsid w:val="00A01805"/>
    <w:rsid w:val="00A01951"/>
    <w:rsid w:val="00A01C40"/>
    <w:rsid w:val="00A01E1C"/>
    <w:rsid w:val="00A02070"/>
    <w:rsid w:val="00A02190"/>
    <w:rsid w:val="00A0224F"/>
    <w:rsid w:val="00A0231F"/>
    <w:rsid w:val="00A027A8"/>
    <w:rsid w:val="00A027AD"/>
    <w:rsid w:val="00A02A6E"/>
    <w:rsid w:val="00A0345A"/>
    <w:rsid w:val="00A038FE"/>
    <w:rsid w:val="00A03E9B"/>
    <w:rsid w:val="00A04059"/>
    <w:rsid w:val="00A046D1"/>
    <w:rsid w:val="00A04885"/>
    <w:rsid w:val="00A04D00"/>
    <w:rsid w:val="00A056BE"/>
    <w:rsid w:val="00A056C5"/>
    <w:rsid w:val="00A05793"/>
    <w:rsid w:val="00A05D40"/>
    <w:rsid w:val="00A05E86"/>
    <w:rsid w:val="00A06232"/>
    <w:rsid w:val="00A062A3"/>
    <w:rsid w:val="00A067DB"/>
    <w:rsid w:val="00A068A5"/>
    <w:rsid w:val="00A06EC2"/>
    <w:rsid w:val="00A06FEE"/>
    <w:rsid w:val="00A071DF"/>
    <w:rsid w:val="00A072C8"/>
    <w:rsid w:val="00A07329"/>
    <w:rsid w:val="00A074F7"/>
    <w:rsid w:val="00A07532"/>
    <w:rsid w:val="00A07FF8"/>
    <w:rsid w:val="00A1018C"/>
    <w:rsid w:val="00A102F8"/>
    <w:rsid w:val="00A10523"/>
    <w:rsid w:val="00A10618"/>
    <w:rsid w:val="00A10B12"/>
    <w:rsid w:val="00A10B68"/>
    <w:rsid w:val="00A10BE7"/>
    <w:rsid w:val="00A11086"/>
    <w:rsid w:val="00A11331"/>
    <w:rsid w:val="00A11624"/>
    <w:rsid w:val="00A11645"/>
    <w:rsid w:val="00A11932"/>
    <w:rsid w:val="00A11CEE"/>
    <w:rsid w:val="00A11DF4"/>
    <w:rsid w:val="00A11E40"/>
    <w:rsid w:val="00A11F66"/>
    <w:rsid w:val="00A12450"/>
    <w:rsid w:val="00A124EF"/>
    <w:rsid w:val="00A126E2"/>
    <w:rsid w:val="00A12843"/>
    <w:rsid w:val="00A12848"/>
    <w:rsid w:val="00A12BCD"/>
    <w:rsid w:val="00A133D0"/>
    <w:rsid w:val="00A136AF"/>
    <w:rsid w:val="00A13FFB"/>
    <w:rsid w:val="00A14AE4"/>
    <w:rsid w:val="00A14F6B"/>
    <w:rsid w:val="00A151B5"/>
    <w:rsid w:val="00A15EBD"/>
    <w:rsid w:val="00A16147"/>
    <w:rsid w:val="00A16658"/>
    <w:rsid w:val="00A16748"/>
    <w:rsid w:val="00A16812"/>
    <w:rsid w:val="00A16A22"/>
    <w:rsid w:val="00A16A44"/>
    <w:rsid w:val="00A16BB1"/>
    <w:rsid w:val="00A16BCC"/>
    <w:rsid w:val="00A16DFB"/>
    <w:rsid w:val="00A171D8"/>
    <w:rsid w:val="00A17336"/>
    <w:rsid w:val="00A17343"/>
    <w:rsid w:val="00A17ADA"/>
    <w:rsid w:val="00A17C66"/>
    <w:rsid w:val="00A17FC6"/>
    <w:rsid w:val="00A2039B"/>
    <w:rsid w:val="00A207BF"/>
    <w:rsid w:val="00A20D6A"/>
    <w:rsid w:val="00A21013"/>
    <w:rsid w:val="00A21175"/>
    <w:rsid w:val="00A213AB"/>
    <w:rsid w:val="00A21842"/>
    <w:rsid w:val="00A21CDD"/>
    <w:rsid w:val="00A21D75"/>
    <w:rsid w:val="00A21E45"/>
    <w:rsid w:val="00A22159"/>
    <w:rsid w:val="00A222B1"/>
    <w:rsid w:val="00A22629"/>
    <w:rsid w:val="00A228BB"/>
    <w:rsid w:val="00A228C3"/>
    <w:rsid w:val="00A22B38"/>
    <w:rsid w:val="00A22D01"/>
    <w:rsid w:val="00A22D83"/>
    <w:rsid w:val="00A22EAD"/>
    <w:rsid w:val="00A231C5"/>
    <w:rsid w:val="00A231DC"/>
    <w:rsid w:val="00A232DC"/>
    <w:rsid w:val="00A23AA0"/>
    <w:rsid w:val="00A23E01"/>
    <w:rsid w:val="00A240C6"/>
    <w:rsid w:val="00A24838"/>
    <w:rsid w:val="00A24D65"/>
    <w:rsid w:val="00A24F03"/>
    <w:rsid w:val="00A250E4"/>
    <w:rsid w:val="00A2519D"/>
    <w:rsid w:val="00A251B6"/>
    <w:rsid w:val="00A2548D"/>
    <w:rsid w:val="00A259AB"/>
    <w:rsid w:val="00A259B3"/>
    <w:rsid w:val="00A26508"/>
    <w:rsid w:val="00A266EB"/>
    <w:rsid w:val="00A26D9D"/>
    <w:rsid w:val="00A26F2D"/>
    <w:rsid w:val="00A2700A"/>
    <w:rsid w:val="00A27355"/>
    <w:rsid w:val="00A2765D"/>
    <w:rsid w:val="00A27720"/>
    <w:rsid w:val="00A27868"/>
    <w:rsid w:val="00A27ACF"/>
    <w:rsid w:val="00A30004"/>
    <w:rsid w:val="00A302BC"/>
    <w:rsid w:val="00A30F2A"/>
    <w:rsid w:val="00A31047"/>
    <w:rsid w:val="00A3183F"/>
    <w:rsid w:val="00A319E4"/>
    <w:rsid w:val="00A319E9"/>
    <w:rsid w:val="00A32297"/>
    <w:rsid w:val="00A3241A"/>
    <w:rsid w:val="00A32528"/>
    <w:rsid w:val="00A32555"/>
    <w:rsid w:val="00A328B3"/>
    <w:rsid w:val="00A32A50"/>
    <w:rsid w:val="00A32CAE"/>
    <w:rsid w:val="00A331FE"/>
    <w:rsid w:val="00A33632"/>
    <w:rsid w:val="00A33958"/>
    <w:rsid w:val="00A33A91"/>
    <w:rsid w:val="00A33D41"/>
    <w:rsid w:val="00A33EA2"/>
    <w:rsid w:val="00A33F5C"/>
    <w:rsid w:val="00A33FBE"/>
    <w:rsid w:val="00A34694"/>
    <w:rsid w:val="00A34B86"/>
    <w:rsid w:val="00A34D4E"/>
    <w:rsid w:val="00A35162"/>
    <w:rsid w:val="00A35357"/>
    <w:rsid w:val="00A353DB"/>
    <w:rsid w:val="00A35637"/>
    <w:rsid w:val="00A35806"/>
    <w:rsid w:val="00A35B4A"/>
    <w:rsid w:val="00A35D57"/>
    <w:rsid w:val="00A36137"/>
    <w:rsid w:val="00A36313"/>
    <w:rsid w:val="00A36466"/>
    <w:rsid w:val="00A364A6"/>
    <w:rsid w:val="00A36864"/>
    <w:rsid w:val="00A36911"/>
    <w:rsid w:val="00A36DBA"/>
    <w:rsid w:val="00A370B0"/>
    <w:rsid w:val="00A3737A"/>
    <w:rsid w:val="00A3743E"/>
    <w:rsid w:val="00A378C3"/>
    <w:rsid w:val="00A37CF5"/>
    <w:rsid w:val="00A4007A"/>
    <w:rsid w:val="00A401F7"/>
    <w:rsid w:val="00A406FB"/>
    <w:rsid w:val="00A40916"/>
    <w:rsid w:val="00A40B3B"/>
    <w:rsid w:val="00A40C23"/>
    <w:rsid w:val="00A40D28"/>
    <w:rsid w:val="00A40E72"/>
    <w:rsid w:val="00A40F51"/>
    <w:rsid w:val="00A4109B"/>
    <w:rsid w:val="00A412F1"/>
    <w:rsid w:val="00A4156A"/>
    <w:rsid w:val="00A417C1"/>
    <w:rsid w:val="00A41851"/>
    <w:rsid w:val="00A41B45"/>
    <w:rsid w:val="00A42071"/>
    <w:rsid w:val="00A4212B"/>
    <w:rsid w:val="00A423BA"/>
    <w:rsid w:val="00A42D87"/>
    <w:rsid w:val="00A42DB0"/>
    <w:rsid w:val="00A42F2A"/>
    <w:rsid w:val="00A4301F"/>
    <w:rsid w:val="00A4304B"/>
    <w:rsid w:val="00A4310E"/>
    <w:rsid w:val="00A431FA"/>
    <w:rsid w:val="00A432F7"/>
    <w:rsid w:val="00A433DE"/>
    <w:rsid w:val="00A436AC"/>
    <w:rsid w:val="00A43803"/>
    <w:rsid w:val="00A441E8"/>
    <w:rsid w:val="00A44559"/>
    <w:rsid w:val="00A44637"/>
    <w:rsid w:val="00A44984"/>
    <w:rsid w:val="00A44B33"/>
    <w:rsid w:val="00A44FE0"/>
    <w:rsid w:val="00A4508C"/>
    <w:rsid w:val="00A45618"/>
    <w:rsid w:val="00A45723"/>
    <w:rsid w:val="00A45A38"/>
    <w:rsid w:val="00A45D3E"/>
    <w:rsid w:val="00A4618B"/>
    <w:rsid w:val="00A461E0"/>
    <w:rsid w:val="00A463A1"/>
    <w:rsid w:val="00A464F8"/>
    <w:rsid w:val="00A46569"/>
    <w:rsid w:val="00A46710"/>
    <w:rsid w:val="00A46DB1"/>
    <w:rsid w:val="00A46DF0"/>
    <w:rsid w:val="00A46FC3"/>
    <w:rsid w:val="00A47506"/>
    <w:rsid w:val="00A47828"/>
    <w:rsid w:val="00A479DF"/>
    <w:rsid w:val="00A47A29"/>
    <w:rsid w:val="00A47C45"/>
    <w:rsid w:val="00A47C94"/>
    <w:rsid w:val="00A500AB"/>
    <w:rsid w:val="00A50924"/>
    <w:rsid w:val="00A50B42"/>
    <w:rsid w:val="00A50B61"/>
    <w:rsid w:val="00A50D17"/>
    <w:rsid w:val="00A50E8E"/>
    <w:rsid w:val="00A5107A"/>
    <w:rsid w:val="00A51431"/>
    <w:rsid w:val="00A51E56"/>
    <w:rsid w:val="00A52FFD"/>
    <w:rsid w:val="00A5304A"/>
    <w:rsid w:val="00A530DB"/>
    <w:rsid w:val="00A5352B"/>
    <w:rsid w:val="00A537C3"/>
    <w:rsid w:val="00A53A60"/>
    <w:rsid w:val="00A53A65"/>
    <w:rsid w:val="00A53DF1"/>
    <w:rsid w:val="00A53DFF"/>
    <w:rsid w:val="00A54068"/>
    <w:rsid w:val="00A540A1"/>
    <w:rsid w:val="00A5438F"/>
    <w:rsid w:val="00A5474B"/>
    <w:rsid w:val="00A5477B"/>
    <w:rsid w:val="00A54B06"/>
    <w:rsid w:val="00A5519C"/>
    <w:rsid w:val="00A55407"/>
    <w:rsid w:val="00A55C2C"/>
    <w:rsid w:val="00A55C62"/>
    <w:rsid w:val="00A55EBE"/>
    <w:rsid w:val="00A55F1C"/>
    <w:rsid w:val="00A5621B"/>
    <w:rsid w:val="00A56378"/>
    <w:rsid w:val="00A5639E"/>
    <w:rsid w:val="00A56BC3"/>
    <w:rsid w:val="00A56EE6"/>
    <w:rsid w:val="00A571C6"/>
    <w:rsid w:val="00A57434"/>
    <w:rsid w:val="00A574BB"/>
    <w:rsid w:val="00A57648"/>
    <w:rsid w:val="00A57A84"/>
    <w:rsid w:val="00A57E1E"/>
    <w:rsid w:val="00A57F79"/>
    <w:rsid w:val="00A600EE"/>
    <w:rsid w:val="00A60157"/>
    <w:rsid w:val="00A60290"/>
    <w:rsid w:val="00A6048C"/>
    <w:rsid w:val="00A6063C"/>
    <w:rsid w:val="00A60769"/>
    <w:rsid w:val="00A609CE"/>
    <w:rsid w:val="00A6106E"/>
    <w:rsid w:val="00A61297"/>
    <w:rsid w:val="00A614B4"/>
    <w:rsid w:val="00A61541"/>
    <w:rsid w:val="00A617C7"/>
    <w:rsid w:val="00A61D97"/>
    <w:rsid w:val="00A61EA7"/>
    <w:rsid w:val="00A620BF"/>
    <w:rsid w:val="00A62D9B"/>
    <w:rsid w:val="00A62EF0"/>
    <w:rsid w:val="00A6350A"/>
    <w:rsid w:val="00A63565"/>
    <w:rsid w:val="00A635BE"/>
    <w:rsid w:val="00A639D9"/>
    <w:rsid w:val="00A63A83"/>
    <w:rsid w:val="00A63B81"/>
    <w:rsid w:val="00A642A1"/>
    <w:rsid w:val="00A6478D"/>
    <w:rsid w:val="00A64D53"/>
    <w:rsid w:val="00A6518C"/>
    <w:rsid w:val="00A6538D"/>
    <w:rsid w:val="00A655F0"/>
    <w:rsid w:val="00A657C2"/>
    <w:rsid w:val="00A65825"/>
    <w:rsid w:val="00A65AD4"/>
    <w:rsid w:val="00A65EDB"/>
    <w:rsid w:val="00A66116"/>
    <w:rsid w:val="00A66487"/>
    <w:rsid w:val="00A66665"/>
    <w:rsid w:val="00A66681"/>
    <w:rsid w:val="00A667BA"/>
    <w:rsid w:val="00A66A2E"/>
    <w:rsid w:val="00A66A8A"/>
    <w:rsid w:val="00A67082"/>
    <w:rsid w:val="00A6714A"/>
    <w:rsid w:val="00A67312"/>
    <w:rsid w:val="00A6748A"/>
    <w:rsid w:val="00A67B19"/>
    <w:rsid w:val="00A67C23"/>
    <w:rsid w:val="00A67F34"/>
    <w:rsid w:val="00A70116"/>
    <w:rsid w:val="00A701B1"/>
    <w:rsid w:val="00A704DB"/>
    <w:rsid w:val="00A70544"/>
    <w:rsid w:val="00A705B5"/>
    <w:rsid w:val="00A70BEA"/>
    <w:rsid w:val="00A70C7A"/>
    <w:rsid w:val="00A70DB8"/>
    <w:rsid w:val="00A70F50"/>
    <w:rsid w:val="00A7122B"/>
    <w:rsid w:val="00A71A4C"/>
    <w:rsid w:val="00A722DE"/>
    <w:rsid w:val="00A72362"/>
    <w:rsid w:val="00A7239E"/>
    <w:rsid w:val="00A72DBA"/>
    <w:rsid w:val="00A72EDB"/>
    <w:rsid w:val="00A7371E"/>
    <w:rsid w:val="00A73944"/>
    <w:rsid w:val="00A73BC2"/>
    <w:rsid w:val="00A74202"/>
    <w:rsid w:val="00A7424D"/>
    <w:rsid w:val="00A744FB"/>
    <w:rsid w:val="00A745E8"/>
    <w:rsid w:val="00A746A1"/>
    <w:rsid w:val="00A74B8F"/>
    <w:rsid w:val="00A74CA1"/>
    <w:rsid w:val="00A74E2F"/>
    <w:rsid w:val="00A75005"/>
    <w:rsid w:val="00A75031"/>
    <w:rsid w:val="00A751E4"/>
    <w:rsid w:val="00A752B5"/>
    <w:rsid w:val="00A75332"/>
    <w:rsid w:val="00A75F9C"/>
    <w:rsid w:val="00A75FCF"/>
    <w:rsid w:val="00A76285"/>
    <w:rsid w:val="00A76868"/>
    <w:rsid w:val="00A76992"/>
    <w:rsid w:val="00A76A0D"/>
    <w:rsid w:val="00A76C18"/>
    <w:rsid w:val="00A76DE0"/>
    <w:rsid w:val="00A76E0A"/>
    <w:rsid w:val="00A76E24"/>
    <w:rsid w:val="00A77174"/>
    <w:rsid w:val="00A77301"/>
    <w:rsid w:val="00A775F4"/>
    <w:rsid w:val="00A77914"/>
    <w:rsid w:val="00A7791F"/>
    <w:rsid w:val="00A77978"/>
    <w:rsid w:val="00A77990"/>
    <w:rsid w:val="00A77D0A"/>
    <w:rsid w:val="00A80522"/>
    <w:rsid w:val="00A80A92"/>
    <w:rsid w:val="00A80D92"/>
    <w:rsid w:val="00A80EA2"/>
    <w:rsid w:val="00A8112C"/>
    <w:rsid w:val="00A81859"/>
    <w:rsid w:val="00A81C1D"/>
    <w:rsid w:val="00A82033"/>
    <w:rsid w:val="00A824DA"/>
    <w:rsid w:val="00A825E7"/>
    <w:rsid w:val="00A82643"/>
    <w:rsid w:val="00A828A0"/>
    <w:rsid w:val="00A829CA"/>
    <w:rsid w:val="00A82C36"/>
    <w:rsid w:val="00A82FF5"/>
    <w:rsid w:val="00A83212"/>
    <w:rsid w:val="00A837BE"/>
    <w:rsid w:val="00A83B5F"/>
    <w:rsid w:val="00A83EE3"/>
    <w:rsid w:val="00A84184"/>
    <w:rsid w:val="00A8458B"/>
    <w:rsid w:val="00A846D1"/>
    <w:rsid w:val="00A84EEC"/>
    <w:rsid w:val="00A84F86"/>
    <w:rsid w:val="00A851CF"/>
    <w:rsid w:val="00A85219"/>
    <w:rsid w:val="00A852F6"/>
    <w:rsid w:val="00A85775"/>
    <w:rsid w:val="00A85F72"/>
    <w:rsid w:val="00A86169"/>
    <w:rsid w:val="00A86656"/>
    <w:rsid w:val="00A866D6"/>
    <w:rsid w:val="00A86A31"/>
    <w:rsid w:val="00A86B39"/>
    <w:rsid w:val="00A86CB8"/>
    <w:rsid w:val="00A86E41"/>
    <w:rsid w:val="00A872CE"/>
    <w:rsid w:val="00A8735D"/>
    <w:rsid w:val="00A87378"/>
    <w:rsid w:val="00A873F4"/>
    <w:rsid w:val="00A875CB"/>
    <w:rsid w:val="00A8771B"/>
    <w:rsid w:val="00A8795D"/>
    <w:rsid w:val="00A87A15"/>
    <w:rsid w:val="00A87BF0"/>
    <w:rsid w:val="00A87FEF"/>
    <w:rsid w:val="00A90023"/>
    <w:rsid w:val="00A90486"/>
    <w:rsid w:val="00A905C3"/>
    <w:rsid w:val="00A9065C"/>
    <w:rsid w:val="00A90723"/>
    <w:rsid w:val="00A9077A"/>
    <w:rsid w:val="00A909C5"/>
    <w:rsid w:val="00A913C7"/>
    <w:rsid w:val="00A913E7"/>
    <w:rsid w:val="00A91937"/>
    <w:rsid w:val="00A919AF"/>
    <w:rsid w:val="00A91A9C"/>
    <w:rsid w:val="00A91B5F"/>
    <w:rsid w:val="00A91FB6"/>
    <w:rsid w:val="00A92575"/>
    <w:rsid w:val="00A92A94"/>
    <w:rsid w:val="00A92D42"/>
    <w:rsid w:val="00A92DFE"/>
    <w:rsid w:val="00A9304A"/>
    <w:rsid w:val="00A93483"/>
    <w:rsid w:val="00A9384F"/>
    <w:rsid w:val="00A93D76"/>
    <w:rsid w:val="00A94978"/>
    <w:rsid w:val="00A94CE3"/>
    <w:rsid w:val="00A95285"/>
    <w:rsid w:val="00A955C2"/>
    <w:rsid w:val="00A95B7F"/>
    <w:rsid w:val="00A9622C"/>
    <w:rsid w:val="00A96609"/>
    <w:rsid w:val="00A969F8"/>
    <w:rsid w:val="00A96A53"/>
    <w:rsid w:val="00A96C53"/>
    <w:rsid w:val="00A96F2D"/>
    <w:rsid w:val="00A96FF4"/>
    <w:rsid w:val="00A972D9"/>
    <w:rsid w:val="00A97621"/>
    <w:rsid w:val="00A9771E"/>
    <w:rsid w:val="00A979B9"/>
    <w:rsid w:val="00A97D35"/>
    <w:rsid w:val="00AA008C"/>
    <w:rsid w:val="00AA01AF"/>
    <w:rsid w:val="00AA0205"/>
    <w:rsid w:val="00AA0566"/>
    <w:rsid w:val="00AA05F3"/>
    <w:rsid w:val="00AA06DD"/>
    <w:rsid w:val="00AA0AC9"/>
    <w:rsid w:val="00AA0DC9"/>
    <w:rsid w:val="00AA0E00"/>
    <w:rsid w:val="00AA0EED"/>
    <w:rsid w:val="00AA132D"/>
    <w:rsid w:val="00AA15FC"/>
    <w:rsid w:val="00AA1949"/>
    <w:rsid w:val="00AA1A38"/>
    <w:rsid w:val="00AA22E1"/>
    <w:rsid w:val="00AA232C"/>
    <w:rsid w:val="00AA2C28"/>
    <w:rsid w:val="00AA2C55"/>
    <w:rsid w:val="00AA2D3A"/>
    <w:rsid w:val="00AA2D5B"/>
    <w:rsid w:val="00AA2D5F"/>
    <w:rsid w:val="00AA2E0B"/>
    <w:rsid w:val="00AA2E37"/>
    <w:rsid w:val="00AA2F0A"/>
    <w:rsid w:val="00AA2F5B"/>
    <w:rsid w:val="00AA3577"/>
    <w:rsid w:val="00AA3683"/>
    <w:rsid w:val="00AA3A56"/>
    <w:rsid w:val="00AA3D78"/>
    <w:rsid w:val="00AA3E25"/>
    <w:rsid w:val="00AA4350"/>
    <w:rsid w:val="00AA43C5"/>
    <w:rsid w:val="00AA477E"/>
    <w:rsid w:val="00AA4A31"/>
    <w:rsid w:val="00AA4EE3"/>
    <w:rsid w:val="00AA4F8A"/>
    <w:rsid w:val="00AA567F"/>
    <w:rsid w:val="00AA5793"/>
    <w:rsid w:val="00AA5AEF"/>
    <w:rsid w:val="00AA5F04"/>
    <w:rsid w:val="00AA6FCF"/>
    <w:rsid w:val="00AA7B76"/>
    <w:rsid w:val="00AB08DA"/>
    <w:rsid w:val="00AB0F0C"/>
    <w:rsid w:val="00AB11F7"/>
    <w:rsid w:val="00AB1289"/>
    <w:rsid w:val="00AB1554"/>
    <w:rsid w:val="00AB1915"/>
    <w:rsid w:val="00AB1A16"/>
    <w:rsid w:val="00AB20A4"/>
    <w:rsid w:val="00AB21A0"/>
    <w:rsid w:val="00AB21FC"/>
    <w:rsid w:val="00AB23D4"/>
    <w:rsid w:val="00AB2767"/>
    <w:rsid w:val="00AB2959"/>
    <w:rsid w:val="00AB2C9D"/>
    <w:rsid w:val="00AB30EC"/>
    <w:rsid w:val="00AB31C6"/>
    <w:rsid w:val="00AB337C"/>
    <w:rsid w:val="00AB356B"/>
    <w:rsid w:val="00AB36C5"/>
    <w:rsid w:val="00AB3890"/>
    <w:rsid w:val="00AB3C78"/>
    <w:rsid w:val="00AB3CF3"/>
    <w:rsid w:val="00AB3EC1"/>
    <w:rsid w:val="00AB42B3"/>
    <w:rsid w:val="00AB4677"/>
    <w:rsid w:val="00AB4B44"/>
    <w:rsid w:val="00AB5567"/>
    <w:rsid w:val="00AB5731"/>
    <w:rsid w:val="00AB589C"/>
    <w:rsid w:val="00AB5971"/>
    <w:rsid w:val="00AB6179"/>
    <w:rsid w:val="00AB61D2"/>
    <w:rsid w:val="00AB633A"/>
    <w:rsid w:val="00AB650E"/>
    <w:rsid w:val="00AB662D"/>
    <w:rsid w:val="00AB692F"/>
    <w:rsid w:val="00AB69AB"/>
    <w:rsid w:val="00AB6D87"/>
    <w:rsid w:val="00AB74CC"/>
    <w:rsid w:val="00ABF4D0"/>
    <w:rsid w:val="00AC017C"/>
    <w:rsid w:val="00AC03E5"/>
    <w:rsid w:val="00AC0410"/>
    <w:rsid w:val="00AC1187"/>
    <w:rsid w:val="00AC12DB"/>
    <w:rsid w:val="00AC1CDA"/>
    <w:rsid w:val="00AC21E2"/>
    <w:rsid w:val="00AC2252"/>
    <w:rsid w:val="00AC22E1"/>
    <w:rsid w:val="00AC24BF"/>
    <w:rsid w:val="00AC2A79"/>
    <w:rsid w:val="00AC2E87"/>
    <w:rsid w:val="00AC30BA"/>
    <w:rsid w:val="00AC33BC"/>
    <w:rsid w:val="00AC35C9"/>
    <w:rsid w:val="00AC35FC"/>
    <w:rsid w:val="00AC3BCC"/>
    <w:rsid w:val="00AC3E46"/>
    <w:rsid w:val="00AC3EF9"/>
    <w:rsid w:val="00AC4166"/>
    <w:rsid w:val="00AC4362"/>
    <w:rsid w:val="00AC43F7"/>
    <w:rsid w:val="00AC46A8"/>
    <w:rsid w:val="00AC481D"/>
    <w:rsid w:val="00AC482A"/>
    <w:rsid w:val="00AC4904"/>
    <w:rsid w:val="00AC4ADE"/>
    <w:rsid w:val="00AC4CD1"/>
    <w:rsid w:val="00AC4D5F"/>
    <w:rsid w:val="00AC4F21"/>
    <w:rsid w:val="00AC5104"/>
    <w:rsid w:val="00AC5263"/>
    <w:rsid w:val="00AC53A0"/>
    <w:rsid w:val="00AC5936"/>
    <w:rsid w:val="00AC5DB0"/>
    <w:rsid w:val="00AC6288"/>
    <w:rsid w:val="00AC65EE"/>
    <w:rsid w:val="00AC6CAC"/>
    <w:rsid w:val="00AC72D1"/>
    <w:rsid w:val="00AC7341"/>
    <w:rsid w:val="00AC74AC"/>
    <w:rsid w:val="00AC756F"/>
    <w:rsid w:val="00AC7754"/>
    <w:rsid w:val="00AC7816"/>
    <w:rsid w:val="00AC7832"/>
    <w:rsid w:val="00AC7882"/>
    <w:rsid w:val="00AC7BC2"/>
    <w:rsid w:val="00AC7DC5"/>
    <w:rsid w:val="00AC7F22"/>
    <w:rsid w:val="00AC7F51"/>
    <w:rsid w:val="00AD0236"/>
    <w:rsid w:val="00AD05A2"/>
    <w:rsid w:val="00AD05AD"/>
    <w:rsid w:val="00AD09AA"/>
    <w:rsid w:val="00AD12EB"/>
    <w:rsid w:val="00AD150A"/>
    <w:rsid w:val="00AD1A10"/>
    <w:rsid w:val="00AD1B1B"/>
    <w:rsid w:val="00AD1CB6"/>
    <w:rsid w:val="00AD1F51"/>
    <w:rsid w:val="00AD288F"/>
    <w:rsid w:val="00AD2B31"/>
    <w:rsid w:val="00AD33E4"/>
    <w:rsid w:val="00AD3705"/>
    <w:rsid w:val="00AD4022"/>
    <w:rsid w:val="00AD42DF"/>
    <w:rsid w:val="00AD42F8"/>
    <w:rsid w:val="00AD441A"/>
    <w:rsid w:val="00AD4443"/>
    <w:rsid w:val="00AD45B2"/>
    <w:rsid w:val="00AD462D"/>
    <w:rsid w:val="00AD4801"/>
    <w:rsid w:val="00AD4C42"/>
    <w:rsid w:val="00AD4FB7"/>
    <w:rsid w:val="00AD50E8"/>
    <w:rsid w:val="00AD53D9"/>
    <w:rsid w:val="00AD592C"/>
    <w:rsid w:val="00AD5942"/>
    <w:rsid w:val="00AD5A26"/>
    <w:rsid w:val="00AD5FCB"/>
    <w:rsid w:val="00AD6250"/>
    <w:rsid w:val="00AD6698"/>
    <w:rsid w:val="00AD67AB"/>
    <w:rsid w:val="00AD684D"/>
    <w:rsid w:val="00AD6A7D"/>
    <w:rsid w:val="00AD6BE9"/>
    <w:rsid w:val="00AD6FBC"/>
    <w:rsid w:val="00AD7033"/>
    <w:rsid w:val="00AD7397"/>
    <w:rsid w:val="00AD7649"/>
    <w:rsid w:val="00AD7650"/>
    <w:rsid w:val="00AD766E"/>
    <w:rsid w:val="00AD769E"/>
    <w:rsid w:val="00AE04CE"/>
    <w:rsid w:val="00AE0860"/>
    <w:rsid w:val="00AE0AFB"/>
    <w:rsid w:val="00AE0BC2"/>
    <w:rsid w:val="00AE101C"/>
    <w:rsid w:val="00AE145A"/>
    <w:rsid w:val="00AE14A4"/>
    <w:rsid w:val="00AE15CB"/>
    <w:rsid w:val="00AE1A08"/>
    <w:rsid w:val="00AE1EC1"/>
    <w:rsid w:val="00AE1FF8"/>
    <w:rsid w:val="00AE212E"/>
    <w:rsid w:val="00AE222B"/>
    <w:rsid w:val="00AE240C"/>
    <w:rsid w:val="00AE249C"/>
    <w:rsid w:val="00AE24DA"/>
    <w:rsid w:val="00AE2863"/>
    <w:rsid w:val="00AE341C"/>
    <w:rsid w:val="00AE3740"/>
    <w:rsid w:val="00AE3805"/>
    <w:rsid w:val="00AE3C45"/>
    <w:rsid w:val="00AE3FDB"/>
    <w:rsid w:val="00AE4068"/>
    <w:rsid w:val="00AE40B3"/>
    <w:rsid w:val="00AE440C"/>
    <w:rsid w:val="00AE470C"/>
    <w:rsid w:val="00AE4CDF"/>
    <w:rsid w:val="00AE5324"/>
    <w:rsid w:val="00AE5429"/>
    <w:rsid w:val="00AE5859"/>
    <w:rsid w:val="00AE5B9A"/>
    <w:rsid w:val="00AE5C70"/>
    <w:rsid w:val="00AE69A5"/>
    <w:rsid w:val="00AE6F1B"/>
    <w:rsid w:val="00AE70A9"/>
    <w:rsid w:val="00AE7329"/>
    <w:rsid w:val="00AE751A"/>
    <w:rsid w:val="00AE7D99"/>
    <w:rsid w:val="00AE7EAA"/>
    <w:rsid w:val="00AF0016"/>
    <w:rsid w:val="00AF049D"/>
    <w:rsid w:val="00AF04A8"/>
    <w:rsid w:val="00AF07BA"/>
    <w:rsid w:val="00AF0E1E"/>
    <w:rsid w:val="00AF156D"/>
    <w:rsid w:val="00AF16E7"/>
    <w:rsid w:val="00AF198E"/>
    <w:rsid w:val="00AF19C1"/>
    <w:rsid w:val="00AF1D55"/>
    <w:rsid w:val="00AF1FA3"/>
    <w:rsid w:val="00AF1FFE"/>
    <w:rsid w:val="00AF204F"/>
    <w:rsid w:val="00AF2093"/>
    <w:rsid w:val="00AF20D2"/>
    <w:rsid w:val="00AF231A"/>
    <w:rsid w:val="00AF2334"/>
    <w:rsid w:val="00AF236F"/>
    <w:rsid w:val="00AF288D"/>
    <w:rsid w:val="00AF2C7B"/>
    <w:rsid w:val="00AF2D5E"/>
    <w:rsid w:val="00AF2DF3"/>
    <w:rsid w:val="00AF36E2"/>
    <w:rsid w:val="00AF3702"/>
    <w:rsid w:val="00AF3786"/>
    <w:rsid w:val="00AF3848"/>
    <w:rsid w:val="00AF39A3"/>
    <w:rsid w:val="00AF3BDA"/>
    <w:rsid w:val="00AF45BF"/>
    <w:rsid w:val="00AF46F4"/>
    <w:rsid w:val="00AF4C2F"/>
    <w:rsid w:val="00AF4EED"/>
    <w:rsid w:val="00AF549D"/>
    <w:rsid w:val="00AF55CA"/>
    <w:rsid w:val="00AF562C"/>
    <w:rsid w:val="00AF5761"/>
    <w:rsid w:val="00AF5BC6"/>
    <w:rsid w:val="00AF5E5E"/>
    <w:rsid w:val="00AF5E8B"/>
    <w:rsid w:val="00AF6164"/>
    <w:rsid w:val="00AF618F"/>
    <w:rsid w:val="00AF6470"/>
    <w:rsid w:val="00AF6A91"/>
    <w:rsid w:val="00AF6DCA"/>
    <w:rsid w:val="00AF6E63"/>
    <w:rsid w:val="00AF702C"/>
    <w:rsid w:val="00AF72A7"/>
    <w:rsid w:val="00AF735A"/>
    <w:rsid w:val="00AF79F3"/>
    <w:rsid w:val="00AF7EE9"/>
    <w:rsid w:val="00B0021E"/>
    <w:rsid w:val="00B00867"/>
    <w:rsid w:val="00B0086C"/>
    <w:rsid w:val="00B01054"/>
    <w:rsid w:val="00B01622"/>
    <w:rsid w:val="00B0171C"/>
    <w:rsid w:val="00B019E6"/>
    <w:rsid w:val="00B01A28"/>
    <w:rsid w:val="00B01DC4"/>
    <w:rsid w:val="00B01F1A"/>
    <w:rsid w:val="00B01F65"/>
    <w:rsid w:val="00B01FD0"/>
    <w:rsid w:val="00B02019"/>
    <w:rsid w:val="00B021A3"/>
    <w:rsid w:val="00B02376"/>
    <w:rsid w:val="00B0263B"/>
    <w:rsid w:val="00B02642"/>
    <w:rsid w:val="00B02CC5"/>
    <w:rsid w:val="00B02F14"/>
    <w:rsid w:val="00B0313A"/>
    <w:rsid w:val="00B031EA"/>
    <w:rsid w:val="00B039EE"/>
    <w:rsid w:val="00B03C9F"/>
    <w:rsid w:val="00B04132"/>
    <w:rsid w:val="00B0474E"/>
    <w:rsid w:val="00B04801"/>
    <w:rsid w:val="00B04844"/>
    <w:rsid w:val="00B04B27"/>
    <w:rsid w:val="00B04BC0"/>
    <w:rsid w:val="00B050DF"/>
    <w:rsid w:val="00B052DA"/>
    <w:rsid w:val="00B05341"/>
    <w:rsid w:val="00B05A05"/>
    <w:rsid w:val="00B05C31"/>
    <w:rsid w:val="00B05E07"/>
    <w:rsid w:val="00B0603C"/>
    <w:rsid w:val="00B06244"/>
    <w:rsid w:val="00B06737"/>
    <w:rsid w:val="00B067E3"/>
    <w:rsid w:val="00B0681A"/>
    <w:rsid w:val="00B0681E"/>
    <w:rsid w:val="00B06A9A"/>
    <w:rsid w:val="00B06CC9"/>
    <w:rsid w:val="00B072FA"/>
    <w:rsid w:val="00B07420"/>
    <w:rsid w:val="00B07489"/>
    <w:rsid w:val="00B0757D"/>
    <w:rsid w:val="00B07633"/>
    <w:rsid w:val="00B07CA2"/>
    <w:rsid w:val="00B07E75"/>
    <w:rsid w:val="00B10042"/>
    <w:rsid w:val="00B10065"/>
    <w:rsid w:val="00B10211"/>
    <w:rsid w:val="00B10973"/>
    <w:rsid w:val="00B10BF9"/>
    <w:rsid w:val="00B10D61"/>
    <w:rsid w:val="00B11AB7"/>
    <w:rsid w:val="00B11B07"/>
    <w:rsid w:val="00B11C1B"/>
    <w:rsid w:val="00B11EFF"/>
    <w:rsid w:val="00B1208B"/>
    <w:rsid w:val="00B121F7"/>
    <w:rsid w:val="00B1234B"/>
    <w:rsid w:val="00B12562"/>
    <w:rsid w:val="00B12796"/>
    <w:rsid w:val="00B129F3"/>
    <w:rsid w:val="00B1317C"/>
    <w:rsid w:val="00B1382D"/>
    <w:rsid w:val="00B13E42"/>
    <w:rsid w:val="00B13EE0"/>
    <w:rsid w:val="00B143D7"/>
    <w:rsid w:val="00B1462F"/>
    <w:rsid w:val="00B1507E"/>
    <w:rsid w:val="00B157EC"/>
    <w:rsid w:val="00B16903"/>
    <w:rsid w:val="00B16B32"/>
    <w:rsid w:val="00B1701E"/>
    <w:rsid w:val="00B17106"/>
    <w:rsid w:val="00B172AD"/>
    <w:rsid w:val="00B176CD"/>
    <w:rsid w:val="00B17CB8"/>
    <w:rsid w:val="00B17E37"/>
    <w:rsid w:val="00B20055"/>
    <w:rsid w:val="00B20302"/>
    <w:rsid w:val="00B2092F"/>
    <w:rsid w:val="00B20E3F"/>
    <w:rsid w:val="00B210A3"/>
    <w:rsid w:val="00B2122C"/>
    <w:rsid w:val="00B21438"/>
    <w:rsid w:val="00B21E24"/>
    <w:rsid w:val="00B21FD8"/>
    <w:rsid w:val="00B2268B"/>
    <w:rsid w:val="00B22B75"/>
    <w:rsid w:val="00B22CB1"/>
    <w:rsid w:val="00B22D0D"/>
    <w:rsid w:val="00B22EA5"/>
    <w:rsid w:val="00B23144"/>
    <w:rsid w:val="00B2355A"/>
    <w:rsid w:val="00B239ED"/>
    <w:rsid w:val="00B23A2B"/>
    <w:rsid w:val="00B23A99"/>
    <w:rsid w:val="00B23BA7"/>
    <w:rsid w:val="00B23E16"/>
    <w:rsid w:val="00B23E51"/>
    <w:rsid w:val="00B24570"/>
    <w:rsid w:val="00B247A3"/>
    <w:rsid w:val="00B24831"/>
    <w:rsid w:val="00B2499F"/>
    <w:rsid w:val="00B24B56"/>
    <w:rsid w:val="00B25108"/>
    <w:rsid w:val="00B25288"/>
    <w:rsid w:val="00B254AE"/>
    <w:rsid w:val="00B25673"/>
    <w:rsid w:val="00B25691"/>
    <w:rsid w:val="00B2573C"/>
    <w:rsid w:val="00B25C4E"/>
    <w:rsid w:val="00B26037"/>
    <w:rsid w:val="00B262C3"/>
    <w:rsid w:val="00B263EE"/>
    <w:rsid w:val="00B266C8"/>
    <w:rsid w:val="00B26813"/>
    <w:rsid w:val="00B26DBB"/>
    <w:rsid w:val="00B27116"/>
    <w:rsid w:val="00B27430"/>
    <w:rsid w:val="00B2761C"/>
    <w:rsid w:val="00B2766D"/>
    <w:rsid w:val="00B2797D"/>
    <w:rsid w:val="00B27ADC"/>
    <w:rsid w:val="00B303B1"/>
    <w:rsid w:val="00B3047B"/>
    <w:rsid w:val="00B30516"/>
    <w:rsid w:val="00B306F3"/>
    <w:rsid w:val="00B30857"/>
    <w:rsid w:val="00B30A67"/>
    <w:rsid w:val="00B30AE0"/>
    <w:rsid w:val="00B30BC1"/>
    <w:rsid w:val="00B31467"/>
    <w:rsid w:val="00B31598"/>
    <w:rsid w:val="00B31A23"/>
    <w:rsid w:val="00B31C86"/>
    <w:rsid w:val="00B31D0B"/>
    <w:rsid w:val="00B32748"/>
    <w:rsid w:val="00B32F17"/>
    <w:rsid w:val="00B33057"/>
    <w:rsid w:val="00B330D8"/>
    <w:rsid w:val="00B334FD"/>
    <w:rsid w:val="00B335D2"/>
    <w:rsid w:val="00B336C8"/>
    <w:rsid w:val="00B33B0B"/>
    <w:rsid w:val="00B33B35"/>
    <w:rsid w:val="00B33C4A"/>
    <w:rsid w:val="00B33FAD"/>
    <w:rsid w:val="00B33FCC"/>
    <w:rsid w:val="00B33FD8"/>
    <w:rsid w:val="00B34A51"/>
    <w:rsid w:val="00B34AAC"/>
    <w:rsid w:val="00B34C3C"/>
    <w:rsid w:val="00B34D89"/>
    <w:rsid w:val="00B34F75"/>
    <w:rsid w:val="00B34FBA"/>
    <w:rsid w:val="00B351B6"/>
    <w:rsid w:val="00B35692"/>
    <w:rsid w:val="00B35835"/>
    <w:rsid w:val="00B35BED"/>
    <w:rsid w:val="00B35E12"/>
    <w:rsid w:val="00B35FAF"/>
    <w:rsid w:val="00B36412"/>
    <w:rsid w:val="00B36678"/>
    <w:rsid w:val="00B368DF"/>
    <w:rsid w:val="00B36900"/>
    <w:rsid w:val="00B3694F"/>
    <w:rsid w:val="00B36F0D"/>
    <w:rsid w:val="00B36FB9"/>
    <w:rsid w:val="00B36FF7"/>
    <w:rsid w:val="00B3720B"/>
    <w:rsid w:val="00B374FA"/>
    <w:rsid w:val="00B37553"/>
    <w:rsid w:val="00B375BC"/>
    <w:rsid w:val="00B37932"/>
    <w:rsid w:val="00B37A8F"/>
    <w:rsid w:val="00B37B9F"/>
    <w:rsid w:val="00B37DED"/>
    <w:rsid w:val="00B37F67"/>
    <w:rsid w:val="00B37FEB"/>
    <w:rsid w:val="00B40B6C"/>
    <w:rsid w:val="00B40FD1"/>
    <w:rsid w:val="00B41145"/>
    <w:rsid w:val="00B41153"/>
    <w:rsid w:val="00B41259"/>
    <w:rsid w:val="00B4157A"/>
    <w:rsid w:val="00B415FD"/>
    <w:rsid w:val="00B419BA"/>
    <w:rsid w:val="00B41A8F"/>
    <w:rsid w:val="00B42063"/>
    <w:rsid w:val="00B423EC"/>
    <w:rsid w:val="00B4275C"/>
    <w:rsid w:val="00B42CDF"/>
    <w:rsid w:val="00B42EE7"/>
    <w:rsid w:val="00B4399B"/>
    <w:rsid w:val="00B43A42"/>
    <w:rsid w:val="00B43AEF"/>
    <w:rsid w:val="00B43CFE"/>
    <w:rsid w:val="00B43F76"/>
    <w:rsid w:val="00B445FD"/>
    <w:rsid w:val="00B4478B"/>
    <w:rsid w:val="00B4484A"/>
    <w:rsid w:val="00B45050"/>
    <w:rsid w:val="00B4547E"/>
    <w:rsid w:val="00B455B1"/>
    <w:rsid w:val="00B456BD"/>
    <w:rsid w:val="00B45817"/>
    <w:rsid w:val="00B45A2F"/>
    <w:rsid w:val="00B45D8D"/>
    <w:rsid w:val="00B45E7B"/>
    <w:rsid w:val="00B463E9"/>
    <w:rsid w:val="00B46526"/>
    <w:rsid w:val="00B465C2"/>
    <w:rsid w:val="00B4661F"/>
    <w:rsid w:val="00B46823"/>
    <w:rsid w:val="00B469B7"/>
    <w:rsid w:val="00B46F29"/>
    <w:rsid w:val="00B4705F"/>
    <w:rsid w:val="00B472C5"/>
    <w:rsid w:val="00B50358"/>
    <w:rsid w:val="00B50587"/>
    <w:rsid w:val="00B50829"/>
    <w:rsid w:val="00B50961"/>
    <w:rsid w:val="00B50A27"/>
    <w:rsid w:val="00B51004"/>
    <w:rsid w:val="00B510DB"/>
    <w:rsid w:val="00B51276"/>
    <w:rsid w:val="00B5133A"/>
    <w:rsid w:val="00B5161B"/>
    <w:rsid w:val="00B518A3"/>
    <w:rsid w:val="00B51960"/>
    <w:rsid w:val="00B51D6C"/>
    <w:rsid w:val="00B51DA7"/>
    <w:rsid w:val="00B52129"/>
    <w:rsid w:val="00B52516"/>
    <w:rsid w:val="00B52B57"/>
    <w:rsid w:val="00B533FC"/>
    <w:rsid w:val="00B53730"/>
    <w:rsid w:val="00B539DA"/>
    <w:rsid w:val="00B53B30"/>
    <w:rsid w:val="00B53BCA"/>
    <w:rsid w:val="00B53D67"/>
    <w:rsid w:val="00B53E40"/>
    <w:rsid w:val="00B54060"/>
    <w:rsid w:val="00B542D1"/>
    <w:rsid w:val="00B5433E"/>
    <w:rsid w:val="00B54873"/>
    <w:rsid w:val="00B54D92"/>
    <w:rsid w:val="00B551E8"/>
    <w:rsid w:val="00B55247"/>
    <w:rsid w:val="00B552CF"/>
    <w:rsid w:val="00B55345"/>
    <w:rsid w:val="00B5537C"/>
    <w:rsid w:val="00B555AF"/>
    <w:rsid w:val="00B558E1"/>
    <w:rsid w:val="00B55CF3"/>
    <w:rsid w:val="00B563E2"/>
    <w:rsid w:val="00B56544"/>
    <w:rsid w:val="00B56759"/>
    <w:rsid w:val="00B56952"/>
    <w:rsid w:val="00B56BE1"/>
    <w:rsid w:val="00B56C9B"/>
    <w:rsid w:val="00B56CF0"/>
    <w:rsid w:val="00B56FE0"/>
    <w:rsid w:val="00B57035"/>
    <w:rsid w:val="00B57095"/>
    <w:rsid w:val="00B57902"/>
    <w:rsid w:val="00B57E27"/>
    <w:rsid w:val="00B60114"/>
    <w:rsid w:val="00B602B9"/>
    <w:rsid w:val="00B60340"/>
    <w:rsid w:val="00B60A62"/>
    <w:rsid w:val="00B60A69"/>
    <w:rsid w:val="00B60DB0"/>
    <w:rsid w:val="00B6136F"/>
    <w:rsid w:val="00B61A2A"/>
    <w:rsid w:val="00B61B5F"/>
    <w:rsid w:val="00B61B92"/>
    <w:rsid w:val="00B61DC0"/>
    <w:rsid w:val="00B62137"/>
    <w:rsid w:val="00B621C8"/>
    <w:rsid w:val="00B6278F"/>
    <w:rsid w:val="00B62931"/>
    <w:rsid w:val="00B635CF"/>
    <w:rsid w:val="00B63736"/>
    <w:rsid w:val="00B6380A"/>
    <w:rsid w:val="00B6396F"/>
    <w:rsid w:val="00B63F7B"/>
    <w:rsid w:val="00B640B9"/>
    <w:rsid w:val="00B6429E"/>
    <w:rsid w:val="00B64866"/>
    <w:rsid w:val="00B64FC7"/>
    <w:rsid w:val="00B651C1"/>
    <w:rsid w:val="00B652B3"/>
    <w:rsid w:val="00B6539B"/>
    <w:rsid w:val="00B6539D"/>
    <w:rsid w:val="00B65546"/>
    <w:rsid w:val="00B6574F"/>
    <w:rsid w:val="00B6591A"/>
    <w:rsid w:val="00B66080"/>
    <w:rsid w:val="00B665B5"/>
    <w:rsid w:val="00B6718C"/>
    <w:rsid w:val="00B672CA"/>
    <w:rsid w:val="00B672FF"/>
    <w:rsid w:val="00B67315"/>
    <w:rsid w:val="00B67394"/>
    <w:rsid w:val="00B6748F"/>
    <w:rsid w:val="00B67777"/>
    <w:rsid w:val="00B67D4E"/>
    <w:rsid w:val="00B67DE6"/>
    <w:rsid w:val="00B67E7A"/>
    <w:rsid w:val="00B703F0"/>
    <w:rsid w:val="00B70811"/>
    <w:rsid w:val="00B7094B"/>
    <w:rsid w:val="00B709A9"/>
    <w:rsid w:val="00B70B0E"/>
    <w:rsid w:val="00B70C6E"/>
    <w:rsid w:val="00B70D94"/>
    <w:rsid w:val="00B71158"/>
    <w:rsid w:val="00B7124A"/>
    <w:rsid w:val="00B7134E"/>
    <w:rsid w:val="00B71548"/>
    <w:rsid w:val="00B71564"/>
    <w:rsid w:val="00B718E9"/>
    <w:rsid w:val="00B71902"/>
    <w:rsid w:val="00B71B4B"/>
    <w:rsid w:val="00B72239"/>
    <w:rsid w:val="00B7225D"/>
    <w:rsid w:val="00B726DE"/>
    <w:rsid w:val="00B72B84"/>
    <w:rsid w:val="00B735DE"/>
    <w:rsid w:val="00B73CC8"/>
    <w:rsid w:val="00B741B5"/>
    <w:rsid w:val="00B75576"/>
    <w:rsid w:val="00B758DC"/>
    <w:rsid w:val="00B75908"/>
    <w:rsid w:val="00B75EB4"/>
    <w:rsid w:val="00B7610A"/>
    <w:rsid w:val="00B7610F"/>
    <w:rsid w:val="00B7669E"/>
    <w:rsid w:val="00B76766"/>
    <w:rsid w:val="00B76860"/>
    <w:rsid w:val="00B768B8"/>
    <w:rsid w:val="00B7722D"/>
    <w:rsid w:val="00B77818"/>
    <w:rsid w:val="00B77A5A"/>
    <w:rsid w:val="00B77A8F"/>
    <w:rsid w:val="00B77C5D"/>
    <w:rsid w:val="00B800DA"/>
    <w:rsid w:val="00B80B1A"/>
    <w:rsid w:val="00B8193B"/>
    <w:rsid w:val="00B8198B"/>
    <w:rsid w:val="00B81B55"/>
    <w:rsid w:val="00B82476"/>
    <w:rsid w:val="00B82B23"/>
    <w:rsid w:val="00B82CB2"/>
    <w:rsid w:val="00B82CF0"/>
    <w:rsid w:val="00B82D09"/>
    <w:rsid w:val="00B82EC8"/>
    <w:rsid w:val="00B8303F"/>
    <w:rsid w:val="00B8332F"/>
    <w:rsid w:val="00B8334E"/>
    <w:rsid w:val="00B8342A"/>
    <w:rsid w:val="00B83794"/>
    <w:rsid w:val="00B83968"/>
    <w:rsid w:val="00B839FA"/>
    <w:rsid w:val="00B83A96"/>
    <w:rsid w:val="00B83D41"/>
    <w:rsid w:val="00B83E2D"/>
    <w:rsid w:val="00B841F3"/>
    <w:rsid w:val="00B845F4"/>
    <w:rsid w:val="00B85236"/>
    <w:rsid w:val="00B854D6"/>
    <w:rsid w:val="00B8576F"/>
    <w:rsid w:val="00B861D5"/>
    <w:rsid w:val="00B86361"/>
    <w:rsid w:val="00B86951"/>
    <w:rsid w:val="00B873E6"/>
    <w:rsid w:val="00B87422"/>
    <w:rsid w:val="00B87560"/>
    <w:rsid w:val="00B87904"/>
    <w:rsid w:val="00B879E3"/>
    <w:rsid w:val="00B87B38"/>
    <w:rsid w:val="00B87D18"/>
    <w:rsid w:val="00B87FCE"/>
    <w:rsid w:val="00B90080"/>
    <w:rsid w:val="00B900C8"/>
    <w:rsid w:val="00B900D9"/>
    <w:rsid w:val="00B90389"/>
    <w:rsid w:val="00B90469"/>
    <w:rsid w:val="00B91027"/>
    <w:rsid w:val="00B911F5"/>
    <w:rsid w:val="00B91AE5"/>
    <w:rsid w:val="00B920D8"/>
    <w:rsid w:val="00B92184"/>
    <w:rsid w:val="00B924B8"/>
    <w:rsid w:val="00B928F7"/>
    <w:rsid w:val="00B9296A"/>
    <w:rsid w:val="00B92ABB"/>
    <w:rsid w:val="00B92CD3"/>
    <w:rsid w:val="00B92D03"/>
    <w:rsid w:val="00B92D38"/>
    <w:rsid w:val="00B92E1F"/>
    <w:rsid w:val="00B931BD"/>
    <w:rsid w:val="00B93570"/>
    <w:rsid w:val="00B93588"/>
    <w:rsid w:val="00B9361B"/>
    <w:rsid w:val="00B93DB0"/>
    <w:rsid w:val="00B93E44"/>
    <w:rsid w:val="00B93FAD"/>
    <w:rsid w:val="00B93FD2"/>
    <w:rsid w:val="00B941DF"/>
    <w:rsid w:val="00B941F8"/>
    <w:rsid w:val="00B94D52"/>
    <w:rsid w:val="00B94E81"/>
    <w:rsid w:val="00B9502C"/>
    <w:rsid w:val="00B95106"/>
    <w:rsid w:val="00B9531B"/>
    <w:rsid w:val="00B95781"/>
    <w:rsid w:val="00B957E2"/>
    <w:rsid w:val="00B96002"/>
    <w:rsid w:val="00B96390"/>
    <w:rsid w:val="00B964D0"/>
    <w:rsid w:val="00B9682D"/>
    <w:rsid w:val="00B968D7"/>
    <w:rsid w:val="00B96D1E"/>
    <w:rsid w:val="00B97430"/>
    <w:rsid w:val="00B974D2"/>
    <w:rsid w:val="00B978BA"/>
    <w:rsid w:val="00B97C8E"/>
    <w:rsid w:val="00B97D69"/>
    <w:rsid w:val="00BA05C4"/>
    <w:rsid w:val="00BA098A"/>
    <w:rsid w:val="00BA0A9E"/>
    <w:rsid w:val="00BA0B02"/>
    <w:rsid w:val="00BA0BBD"/>
    <w:rsid w:val="00BA0C5B"/>
    <w:rsid w:val="00BA1094"/>
    <w:rsid w:val="00BA111B"/>
    <w:rsid w:val="00BA11ED"/>
    <w:rsid w:val="00BA14D4"/>
    <w:rsid w:val="00BA14FC"/>
    <w:rsid w:val="00BA159C"/>
    <w:rsid w:val="00BA164B"/>
    <w:rsid w:val="00BA17D8"/>
    <w:rsid w:val="00BA1B75"/>
    <w:rsid w:val="00BA1C94"/>
    <w:rsid w:val="00BA2BFC"/>
    <w:rsid w:val="00BA32EF"/>
    <w:rsid w:val="00BA33F9"/>
    <w:rsid w:val="00BA3A39"/>
    <w:rsid w:val="00BA4295"/>
    <w:rsid w:val="00BA44F3"/>
    <w:rsid w:val="00BA47B8"/>
    <w:rsid w:val="00BA4B14"/>
    <w:rsid w:val="00BA4C1F"/>
    <w:rsid w:val="00BA4C43"/>
    <w:rsid w:val="00BA4FD7"/>
    <w:rsid w:val="00BA553D"/>
    <w:rsid w:val="00BA5565"/>
    <w:rsid w:val="00BA59AC"/>
    <w:rsid w:val="00BA5A47"/>
    <w:rsid w:val="00BA5DCA"/>
    <w:rsid w:val="00BA62B3"/>
    <w:rsid w:val="00BA62F7"/>
    <w:rsid w:val="00BA63EC"/>
    <w:rsid w:val="00BA6889"/>
    <w:rsid w:val="00BA6B58"/>
    <w:rsid w:val="00BA735B"/>
    <w:rsid w:val="00BA73E6"/>
    <w:rsid w:val="00BA769B"/>
    <w:rsid w:val="00BA7948"/>
    <w:rsid w:val="00BA7A05"/>
    <w:rsid w:val="00BA7A0D"/>
    <w:rsid w:val="00BA7F03"/>
    <w:rsid w:val="00BB06BA"/>
    <w:rsid w:val="00BB07B1"/>
    <w:rsid w:val="00BB0C1D"/>
    <w:rsid w:val="00BB0D58"/>
    <w:rsid w:val="00BB0E7D"/>
    <w:rsid w:val="00BB12AE"/>
    <w:rsid w:val="00BB188C"/>
    <w:rsid w:val="00BB1A0D"/>
    <w:rsid w:val="00BB1CC1"/>
    <w:rsid w:val="00BB1D5B"/>
    <w:rsid w:val="00BB225B"/>
    <w:rsid w:val="00BB24D1"/>
    <w:rsid w:val="00BB27DC"/>
    <w:rsid w:val="00BB29BA"/>
    <w:rsid w:val="00BB2B92"/>
    <w:rsid w:val="00BB2C44"/>
    <w:rsid w:val="00BB2DCE"/>
    <w:rsid w:val="00BB2E53"/>
    <w:rsid w:val="00BB3140"/>
    <w:rsid w:val="00BB32A9"/>
    <w:rsid w:val="00BB3D97"/>
    <w:rsid w:val="00BB4258"/>
    <w:rsid w:val="00BB42FA"/>
    <w:rsid w:val="00BB4632"/>
    <w:rsid w:val="00BB46A3"/>
    <w:rsid w:val="00BB48C2"/>
    <w:rsid w:val="00BB4A49"/>
    <w:rsid w:val="00BB4CED"/>
    <w:rsid w:val="00BB5434"/>
    <w:rsid w:val="00BB54F2"/>
    <w:rsid w:val="00BB57B3"/>
    <w:rsid w:val="00BB5919"/>
    <w:rsid w:val="00BB5E53"/>
    <w:rsid w:val="00BB6340"/>
    <w:rsid w:val="00BB675B"/>
    <w:rsid w:val="00BB67F3"/>
    <w:rsid w:val="00BB68EA"/>
    <w:rsid w:val="00BB6D5C"/>
    <w:rsid w:val="00BB6E77"/>
    <w:rsid w:val="00BB6F33"/>
    <w:rsid w:val="00BB76D0"/>
    <w:rsid w:val="00BB77B0"/>
    <w:rsid w:val="00BB796F"/>
    <w:rsid w:val="00BB7EC0"/>
    <w:rsid w:val="00BC01CB"/>
    <w:rsid w:val="00BC0321"/>
    <w:rsid w:val="00BC039F"/>
    <w:rsid w:val="00BC052F"/>
    <w:rsid w:val="00BC0818"/>
    <w:rsid w:val="00BC0932"/>
    <w:rsid w:val="00BC0AC2"/>
    <w:rsid w:val="00BC0FF4"/>
    <w:rsid w:val="00BC11C9"/>
    <w:rsid w:val="00BC1202"/>
    <w:rsid w:val="00BC154B"/>
    <w:rsid w:val="00BC1999"/>
    <w:rsid w:val="00BC1CAE"/>
    <w:rsid w:val="00BC1F39"/>
    <w:rsid w:val="00BC2044"/>
    <w:rsid w:val="00BC22AB"/>
    <w:rsid w:val="00BC249D"/>
    <w:rsid w:val="00BC261F"/>
    <w:rsid w:val="00BC2AAF"/>
    <w:rsid w:val="00BC2C2D"/>
    <w:rsid w:val="00BC2C89"/>
    <w:rsid w:val="00BC3260"/>
    <w:rsid w:val="00BC33C9"/>
    <w:rsid w:val="00BC35BF"/>
    <w:rsid w:val="00BC3786"/>
    <w:rsid w:val="00BC41D9"/>
    <w:rsid w:val="00BC4259"/>
    <w:rsid w:val="00BC432E"/>
    <w:rsid w:val="00BC449A"/>
    <w:rsid w:val="00BC4BC1"/>
    <w:rsid w:val="00BC4BF2"/>
    <w:rsid w:val="00BC5046"/>
    <w:rsid w:val="00BC52A0"/>
    <w:rsid w:val="00BC53C9"/>
    <w:rsid w:val="00BC58A2"/>
    <w:rsid w:val="00BC5A29"/>
    <w:rsid w:val="00BC5A2A"/>
    <w:rsid w:val="00BC5A5E"/>
    <w:rsid w:val="00BC60CF"/>
    <w:rsid w:val="00BC6908"/>
    <w:rsid w:val="00BC6BCB"/>
    <w:rsid w:val="00BC6E18"/>
    <w:rsid w:val="00BC6E2F"/>
    <w:rsid w:val="00BC794C"/>
    <w:rsid w:val="00BC7F05"/>
    <w:rsid w:val="00BD01C1"/>
    <w:rsid w:val="00BD06F8"/>
    <w:rsid w:val="00BD0B10"/>
    <w:rsid w:val="00BD0BD3"/>
    <w:rsid w:val="00BD0CC8"/>
    <w:rsid w:val="00BD0F59"/>
    <w:rsid w:val="00BD101A"/>
    <w:rsid w:val="00BD13B1"/>
    <w:rsid w:val="00BD2820"/>
    <w:rsid w:val="00BD2A22"/>
    <w:rsid w:val="00BD30C6"/>
    <w:rsid w:val="00BD3784"/>
    <w:rsid w:val="00BD39E6"/>
    <w:rsid w:val="00BD3F17"/>
    <w:rsid w:val="00BD4054"/>
    <w:rsid w:val="00BD41CD"/>
    <w:rsid w:val="00BD426D"/>
    <w:rsid w:val="00BD4283"/>
    <w:rsid w:val="00BD446E"/>
    <w:rsid w:val="00BD4576"/>
    <w:rsid w:val="00BD4B87"/>
    <w:rsid w:val="00BD5127"/>
    <w:rsid w:val="00BD5266"/>
    <w:rsid w:val="00BD527F"/>
    <w:rsid w:val="00BD5304"/>
    <w:rsid w:val="00BD55CC"/>
    <w:rsid w:val="00BD55F1"/>
    <w:rsid w:val="00BD59E5"/>
    <w:rsid w:val="00BD5B65"/>
    <w:rsid w:val="00BD61E4"/>
    <w:rsid w:val="00BD6328"/>
    <w:rsid w:val="00BD64B7"/>
    <w:rsid w:val="00BD6C5E"/>
    <w:rsid w:val="00BD6CBA"/>
    <w:rsid w:val="00BD6E67"/>
    <w:rsid w:val="00BD7279"/>
    <w:rsid w:val="00BD748E"/>
    <w:rsid w:val="00BD7750"/>
    <w:rsid w:val="00BD791D"/>
    <w:rsid w:val="00BD7A29"/>
    <w:rsid w:val="00BD7E30"/>
    <w:rsid w:val="00BE0022"/>
    <w:rsid w:val="00BE0426"/>
    <w:rsid w:val="00BE05DE"/>
    <w:rsid w:val="00BE063B"/>
    <w:rsid w:val="00BE08FC"/>
    <w:rsid w:val="00BE0A6A"/>
    <w:rsid w:val="00BE11C7"/>
    <w:rsid w:val="00BE12E7"/>
    <w:rsid w:val="00BE143D"/>
    <w:rsid w:val="00BE21E5"/>
    <w:rsid w:val="00BE24A8"/>
    <w:rsid w:val="00BE2A6B"/>
    <w:rsid w:val="00BE2BB4"/>
    <w:rsid w:val="00BE2DE6"/>
    <w:rsid w:val="00BE33D6"/>
    <w:rsid w:val="00BE3474"/>
    <w:rsid w:val="00BE3B16"/>
    <w:rsid w:val="00BE4067"/>
    <w:rsid w:val="00BE438C"/>
    <w:rsid w:val="00BE4441"/>
    <w:rsid w:val="00BE46FC"/>
    <w:rsid w:val="00BE485A"/>
    <w:rsid w:val="00BE5327"/>
    <w:rsid w:val="00BE5B72"/>
    <w:rsid w:val="00BE5DAD"/>
    <w:rsid w:val="00BE61E7"/>
    <w:rsid w:val="00BE626B"/>
    <w:rsid w:val="00BE6504"/>
    <w:rsid w:val="00BE6590"/>
    <w:rsid w:val="00BE6A17"/>
    <w:rsid w:val="00BE6AB2"/>
    <w:rsid w:val="00BE6D4D"/>
    <w:rsid w:val="00BE6ED6"/>
    <w:rsid w:val="00BE712E"/>
    <w:rsid w:val="00BE7167"/>
    <w:rsid w:val="00BE72F5"/>
    <w:rsid w:val="00BE751D"/>
    <w:rsid w:val="00BE78E7"/>
    <w:rsid w:val="00BF00F8"/>
    <w:rsid w:val="00BF02EE"/>
    <w:rsid w:val="00BF0730"/>
    <w:rsid w:val="00BF0D5F"/>
    <w:rsid w:val="00BF0EB2"/>
    <w:rsid w:val="00BF0FEA"/>
    <w:rsid w:val="00BF1271"/>
    <w:rsid w:val="00BF140D"/>
    <w:rsid w:val="00BF18F9"/>
    <w:rsid w:val="00BF1D6C"/>
    <w:rsid w:val="00BF1FD1"/>
    <w:rsid w:val="00BF27F1"/>
    <w:rsid w:val="00BF2F32"/>
    <w:rsid w:val="00BF30C4"/>
    <w:rsid w:val="00BF3235"/>
    <w:rsid w:val="00BF342D"/>
    <w:rsid w:val="00BF3464"/>
    <w:rsid w:val="00BF3548"/>
    <w:rsid w:val="00BF36E6"/>
    <w:rsid w:val="00BF3909"/>
    <w:rsid w:val="00BF39AB"/>
    <w:rsid w:val="00BF3C5F"/>
    <w:rsid w:val="00BF3C6F"/>
    <w:rsid w:val="00BF3F06"/>
    <w:rsid w:val="00BF42BB"/>
    <w:rsid w:val="00BF4338"/>
    <w:rsid w:val="00BF4446"/>
    <w:rsid w:val="00BF446B"/>
    <w:rsid w:val="00BF4ADD"/>
    <w:rsid w:val="00BF4E4F"/>
    <w:rsid w:val="00BF561B"/>
    <w:rsid w:val="00BF5F5C"/>
    <w:rsid w:val="00BF5FA2"/>
    <w:rsid w:val="00BF60BF"/>
    <w:rsid w:val="00BF6448"/>
    <w:rsid w:val="00BF6691"/>
    <w:rsid w:val="00BF6D2C"/>
    <w:rsid w:val="00BF6D36"/>
    <w:rsid w:val="00BF6D50"/>
    <w:rsid w:val="00BF6E58"/>
    <w:rsid w:val="00BF72F8"/>
    <w:rsid w:val="00BF7772"/>
    <w:rsid w:val="00BF7A04"/>
    <w:rsid w:val="00BF7C3A"/>
    <w:rsid w:val="00C00130"/>
    <w:rsid w:val="00C00700"/>
    <w:rsid w:val="00C0076C"/>
    <w:rsid w:val="00C00817"/>
    <w:rsid w:val="00C00AB1"/>
    <w:rsid w:val="00C00B95"/>
    <w:rsid w:val="00C01216"/>
    <w:rsid w:val="00C0135A"/>
    <w:rsid w:val="00C01816"/>
    <w:rsid w:val="00C01EC4"/>
    <w:rsid w:val="00C02012"/>
    <w:rsid w:val="00C021F8"/>
    <w:rsid w:val="00C02440"/>
    <w:rsid w:val="00C02529"/>
    <w:rsid w:val="00C025F5"/>
    <w:rsid w:val="00C026E5"/>
    <w:rsid w:val="00C026E7"/>
    <w:rsid w:val="00C0275E"/>
    <w:rsid w:val="00C02EDC"/>
    <w:rsid w:val="00C02FA1"/>
    <w:rsid w:val="00C030A5"/>
    <w:rsid w:val="00C030DD"/>
    <w:rsid w:val="00C0321E"/>
    <w:rsid w:val="00C032C3"/>
    <w:rsid w:val="00C038E1"/>
    <w:rsid w:val="00C03C41"/>
    <w:rsid w:val="00C03ECC"/>
    <w:rsid w:val="00C04055"/>
    <w:rsid w:val="00C04278"/>
    <w:rsid w:val="00C042DA"/>
    <w:rsid w:val="00C04C05"/>
    <w:rsid w:val="00C05096"/>
    <w:rsid w:val="00C051E1"/>
    <w:rsid w:val="00C0547C"/>
    <w:rsid w:val="00C055DF"/>
    <w:rsid w:val="00C056D8"/>
    <w:rsid w:val="00C05945"/>
    <w:rsid w:val="00C05B2F"/>
    <w:rsid w:val="00C05CBD"/>
    <w:rsid w:val="00C05E5D"/>
    <w:rsid w:val="00C06222"/>
    <w:rsid w:val="00C06539"/>
    <w:rsid w:val="00C0656B"/>
    <w:rsid w:val="00C0683F"/>
    <w:rsid w:val="00C06DDB"/>
    <w:rsid w:val="00C06F71"/>
    <w:rsid w:val="00C06F77"/>
    <w:rsid w:val="00C070B8"/>
    <w:rsid w:val="00C07638"/>
    <w:rsid w:val="00C0767F"/>
    <w:rsid w:val="00C076BE"/>
    <w:rsid w:val="00C07CD0"/>
    <w:rsid w:val="00C07DB2"/>
    <w:rsid w:val="00C07E72"/>
    <w:rsid w:val="00C10547"/>
    <w:rsid w:val="00C10578"/>
    <w:rsid w:val="00C1060A"/>
    <w:rsid w:val="00C10684"/>
    <w:rsid w:val="00C107AB"/>
    <w:rsid w:val="00C107EF"/>
    <w:rsid w:val="00C108AA"/>
    <w:rsid w:val="00C11697"/>
    <w:rsid w:val="00C118A4"/>
    <w:rsid w:val="00C11CFD"/>
    <w:rsid w:val="00C11DCE"/>
    <w:rsid w:val="00C11F85"/>
    <w:rsid w:val="00C11FEB"/>
    <w:rsid w:val="00C12023"/>
    <w:rsid w:val="00C12321"/>
    <w:rsid w:val="00C12692"/>
    <w:rsid w:val="00C1281A"/>
    <w:rsid w:val="00C1296F"/>
    <w:rsid w:val="00C129BE"/>
    <w:rsid w:val="00C12A7F"/>
    <w:rsid w:val="00C12CE7"/>
    <w:rsid w:val="00C12D6B"/>
    <w:rsid w:val="00C12E05"/>
    <w:rsid w:val="00C131DD"/>
    <w:rsid w:val="00C1324F"/>
    <w:rsid w:val="00C133F8"/>
    <w:rsid w:val="00C1359D"/>
    <w:rsid w:val="00C135A0"/>
    <w:rsid w:val="00C13657"/>
    <w:rsid w:val="00C140E9"/>
    <w:rsid w:val="00C14279"/>
    <w:rsid w:val="00C142A9"/>
    <w:rsid w:val="00C14883"/>
    <w:rsid w:val="00C1489F"/>
    <w:rsid w:val="00C14CCE"/>
    <w:rsid w:val="00C1572A"/>
    <w:rsid w:val="00C157C5"/>
    <w:rsid w:val="00C161F9"/>
    <w:rsid w:val="00C164A9"/>
    <w:rsid w:val="00C169A9"/>
    <w:rsid w:val="00C16AAF"/>
    <w:rsid w:val="00C16D65"/>
    <w:rsid w:val="00C16EA8"/>
    <w:rsid w:val="00C1762A"/>
    <w:rsid w:val="00C177C4"/>
    <w:rsid w:val="00C1796C"/>
    <w:rsid w:val="00C17E40"/>
    <w:rsid w:val="00C20463"/>
    <w:rsid w:val="00C20519"/>
    <w:rsid w:val="00C20AEB"/>
    <w:rsid w:val="00C20B85"/>
    <w:rsid w:val="00C20BFE"/>
    <w:rsid w:val="00C20C8A"/>
    <w:rsid w:val="00C20D89"/>
    <w:rsid w:val="00C2115F"/>
    <w:rsid w:val="00C211A2"/>
    <w:rsid w:val="00C212FC"/>
    <w:rsid w:val="00C21349"/>
    <w:rsid w:val="00C21523"/>
    <w:rsid w:val="00C21A0D"/>
    <w:rsid w:val="00C21AB0"/>
    <w:rsid w:val="00C21CE5"/>
    <w:rsid w:val="00C2234F"/>
    <w:rsid w:val="00C228A2"/>
    <w:rsid w:val="00C22992"/>
    <w:rsid w:val="00C23190"/>
    <w:rsid w:val="00C242EB"/>
    <w:rsid w:val="00C2431E"/>
    <w:rsid w:val="00C245DD"/>
    <w:rsid w:val="00C25838"/>
    <w:rsid w:val="00C25E8F"/>
    <w:rsid w:val="00C25F3D"/>
    <w:rsid w:val="00C26540"/>
    <w:rsid w:val="00C26C7C"/>
    <w:rsid w:val="00C278B5"/>
    <w:rsid w:val="00C27AE6"/>
    <w:rsid w:val="00C3003D"/>
    <w:rsid w:val="00C303F6"/>
    <w:rsid w:val="00C30527"/>
    <w:rsid w:val="00C30B5A"/>
    <w:rsid w:val="00C30B8B"/>
    <w:rsid w:val="00C30BDC"/>
    <w:rsid w:val="00C30F42"/>
    <w:rsid w:val="00C31124"/>
    <w:rsid w:val="00C3149D"/>
    <w:rsid w:val="00C31B5B"/>
    <w:rsid w:val="00C31BA8"/>
    <w:rsid w:val="00C3211B"/>
    <w:rsid w:val="00C328A5"/>
    <w:rsid w:val="00C328E0"/>
    <w:rsid w:val="00C3365E"/>
    <w:rsid w:val="00C33A23"/>
    <w:rsid w:val="00C34340"/>
    <w:rsid w:val="00C344FA"/>
    <w:rsid w:val="00C346C1"/>
    <w:rsid w:val="00C35030"/>
    <w:rsid w:val="00C351EA"/>
    <w:rsid w:val="00C352BB"/>
    <w:rsid w:val="00C35467"/>
    <w:rsid w:val="00C354D2"/>
    <w:rsid w:val="00C355FA"/>
    <w:rsid w:val="00C35922"/>
    <w:rsid w:val="00C35C2D"/>
    <w:rsid w:val="00C35D7D"/>
    <w:rsid w:val="00C35F92"/>
    <w:rsid w:val="00C35F9D"/>
    <w:rsid w:val="00C361D7"/>
    <w:rsid w:val="00C363B9"/>
    <w:rsid w:val="00C36473"/>
    <w:rsid w:val="00C3682D"/>
    <w:rsid w:val="00C36D09"/>
    <w:rsid w:val="00C375E2"/>
    <w:rsid w:val="00C37823"/>
    <w:rsid w:val="00C401F0"/>
    <w:rsid w:val="00C403A9"/>
    <w:rsid w:val="00C4062D"/>
    <w:rsid w:val="00C406D5"/>
    <w:rsid w:val="00C40737"/>
    <w:rsid w:val="00C4079A"/>
    <w:rsid w:val="00C40CB0"/>
    <w:rsid w:val="00C40DF9"/>
    <w:rsid w:val="00C40E47"/>
    <w:rsid w:val="00C414A9"/>
    <w:rsid w:val="00C41F40"/>
    <w:rsid w:val="00C41FA0"/>
    <w:rsid w:val="00C42007"/>
    <w:rsid w:val="00C42225"/>
    <w:rsid w:val="00C42B8C"/>
    <w:rsid w:val="00C4311A"/>
    <w:rsid w:val="00C43400"/>
    <w:rsid w:val="00C434B9"/>
    <w:rsid w:val="00C43BFA"/>
    <w:rsid w:val="00C43DFE"/>
    <w:rsid w:val="00C43E4D"/>
    <w:rsid w:val="00C43FA9"/>
    <w:rsid w:val="00C44188"/>
    <w:rsid w:val="00C4487E"/>
    <w:rsid w:val="00C44AF2"/>
    <w:rsid w:val="00C44F3F"/>
    <w:rsid w:val="00C45053"/>
    <w:rsid w:val="00C45163"/>
    <w:rsid w:val="00C451C7"/>
    <w:rsid w:val="00C45293"/>
    <w:rsid w:val="00C454A8"/>
    <w:rsid w:val="00C4574F"/>
    <w:rsid w:val="00C45755"/>
    <w:rsid w:val="00C45C23"/>
    <w:rsid w:val="00C45E8F"/>
    <w:rsid w:val="00C4605C"/>
    <w:rsid w:val="00C462B7"/>
    <w:rsid w:val="00C4631E"/>
    <w:rsid w:val="00C4651D"/>
    <w:rsid w:val="00C4673B"/>
    <w:rsid w:val="00C46A67"/>
    <w:rsid w:val="00C46DD8"/>
    <w:rsid w:val="00C46F34"/>
    <w:rsid w:val="00C4719C"/>
    <w:rsid w:val="00C47CBB"/>
    <w:rsid w:val="00C4DCF6"/>
    <w:rsid w:val="00C5023C"/>
    <w:rsid w:val="00C50937"/>
    <w:rsid w:val="00C50956"/>
    <w:rsid w:val="00C50986"/>
    <w:rsid w:val="00C50C57"/>
    <w:rsid w:val="00C50C5B"/>
    <w:rsid w:val="00C50D68"/>
    <w:rsid w:val="00C51140"/>
    <w:rsid w:val="00C51420"/>
    <w:rsid w:val="00C514A8"/>
    <w:rsid w:val="00C514CF"/>
    <w:rsid w:val="00C51570"/>
    <w:rsid w:val="00C51A32"/>
    <w:rsid w:val="00C51FAD"/>
    <w:rsid w:val="00C523AB"/>
    <w:rsid w:val="00C52435"/>
    <w:rsid w:val="00C52477"/>
    <w:rsid w:val="00C52CC6"/>
    <w:rsid w:val="00C53078"/>
    <w:rsid w:val="00C5313B"/>
    <w:rsid w:val="00C5347F"/>
    <w:rsid w:val="00C53A7F"/>
    <w:rsid w:val="00C53B3B"/>
    <w:rsid w:val="00C53CA0"/>
    <w:rsid w:val="00C54692"/>
    <w:rsid w:val="00C546A3"/>
    <w:rsid w:val="00C5485E"/>
    <w:rsid w:val="00C54CC7"/>
    <w:rsid w:val="00C551D2"/>
    <w:rsid w:val="00C5542A"/>
    <w:rsid w:val="00C55542"/>
    <w:rsid w:val="00C55632"/>
    <w:rsid w:val="00C5566F"/>
    <w:rsid w:val="00C55972"/>
    <w:rsid w:val="00C55C3C"/>
    <w:rsid w:val="00C55CCC"/>
    <w:rsid w:val="00C55DA5"/>
    <w:rsid w:val="00C56221"/>
    <w:rsid w:val="00C56581"/>
    <w:rsid w:val="00C56A27"/>
    <w:rsid w:val="00C56B3B"/>
    <w:rsid w:val="00C5709D"/>
    <w:rsid w:val="00C570D1"/>
    <w:rsid w:val="00C57129"/>
    <w:rsid w:val="00C600C7"/>
    <w:rsid w:val="00C60112"/>
    <w:rsid w:val="00C6015A"/>
    <w:rsid w:val="00C60276"/>
    <w:rsid w:val="00C602B1"/>
    <w:rsid w:val="00C6042B"/>
    <w:rsid w:val="00C60507"/>
    <w:rsid w:val="00C60D23"/>
    <w:rsid w:val="00C60E6B"/>
    <w:rsid w:val="00C6114E"/>
    <w:rsid w:val="00C616C8"/>
    <w:rsid w:val="00C61D6A"/>
    <w:rsid w:val="00C621CD"/>
    <w:rsid w:val="00C622C2"/>
    <w:rsid w:val="00C6254D"/>
    <w:rsid w:val="00C627D8"/>
    <w:rsid w:val="00C6285C"/>
    <w:rsid w:val="00C62B0B"/>
    <w:rsid w:val="00C62E4E"/>
    <w:rsid w:val="00C62F0B"/>
    <w:rsid w:val="00C631C3"/>
    <w:rsid w:val="00C63283"/>
    <w:rsid w:val="00C6364B"/>
    <w:rsid w:val="00C63932"/>
    <w:rsid w:val="00C63EB9"/>
    <w:rsid w:val="00C63F69"/>
    <w:rsid w:val="00C642ED"/>
    <w:rsid w:val="00C6442E"/>
    <w:rsid w:val="00C64504"/>
    <w:rsid w:val="00C6471B"/>
    <w:rsid w:val="00C64A48"/>
    <w:rsid w:val="00C64B43"/>
    <w:rsid w:val="00C64D18"/>
    <w:rsid w:val="00C64DE2"/>
    <w:rsid w:val="00C64EFA"/>
    <w:rsid w:val="00C65091"/>
    <w:rsid w:val="00C65110"/>
    <w:rsid w:val="00C656BE"/>
    <w:rsid w:val="00C65818"/>
    <w:rsid w:val="00C65A46"/>
    <w:rsid w:val="00C65AAE"/>
    <w:rsid w:val="00C65BAE"/>
    <w:rsid w:val="00C65E6E"/>
    <w:rsid w:val="00C661B9"/>
    <w:rsid w:val="00C66BA5"/>
    <w:rsid w:val="00C67040"/>
    <w:rsid w:val="00C6729E"/>
    <w:rsid w:val="00C675C6"/>
    <w:rsid w:val="00C67808"/>
    <w:rsid w:val="00C67877"/>
    <w:rsid w:val="00C67A80"/>
    <w:rsid w:val="00C67B8A"/>
    <w:rsid w:val="00C703FE"/>
    <w:rsid w:val="00C70A63"/>
    <w:rsid w:val="00C70DC0"/>
    <w:rsid w:val="00C711D0"/>
    <w:rsid w:val="00C7127A"/>
    <w:rsid w:val="00C7133A"/>
    <w:rsid w:val="00C716FB"/>
    <w:rsid w:val="00C7187E"/>
    <w:rsid w:val="00C71B78"/>
    <w:rsid w:val="00C71DE3"/>
    <w:rsid w:val="00C72AA8"/>
    <w:rsid w:val="00C732CF"/>
    <w:rsid w:val="00C73E72"/>
    <w:rsid w:val="00C74089"/>
    <w:rsid w:val="00C74E28"/>
    <w:rsid w:val="00C75099"/>
    <w:rsid w:val="00C75307"/>
    <w:rsid w:val="00C755C9"/>
    <w:rsid w:val="00C7593F"/>
    <w:rsid w:val="00C75A83"/>
    <w:rsid w:val="00C75D46"/>
    <w:rsid w:val="00C75F2C"/>
    <w:rsid w:val="00C76217"/>
    <w:rsid w:val="00C76DFE"/>
    <w:rsid w:val="00C7731E"/>
    <w:rsid w:val="00C778C5"/>
    <w:rsid w:val="00C77C68"/>
    <w:rsid w:val="00C77FC9"/>
    <w:rsid w:val="00C8060B"/>
    <w:rsid w:val="00C80854"/>
    <w:rsid w:val="00C80B05"/>
    <w:rsid w:val="00C80E61"/>
    <w:rsid w:val="00C80F1E"/>
    <w:rsid w:val="00C81155"/>
    <w:rsid w:val="00C81504"/>
    <w:rsid w:val="00C81677"/>
    <w:rsid w:val="00C81751"/>
    <w:rsid w:val="00C81893"/>
    <w:rsid w:val="00C81F75"/>
    <w:rsid w:val="00C822E9"/>
    <w:rsid w:val="00C82485"/>
    <w:rsid w:val="00C824C5"/>
    <w:rsid w:val="00C82546"/>
    <w:rsid w:val="00C826E4"/>
    <w:rsid w:val="00C82A44"/>
    <w:rsid w:val="00C82E9A"/>
    <w:rsid w:val="00C832BF"/>
    <w:rsid w:val="00C834D7"/>
    <w:rsid w:val="00C83984"/>
    <w:rsid w:val="00C83AFA"/>
    <w:rsid w:val="00C84233"/>
    <w:rsid w:val="00C846B1"/>
    <w:rsid w:val="00C84769"/>
    <w:rsid w:val="00C84808"/>
    <w:rsid w:val="00C8490E"/>
    <w:rsid w:val="00C84D66"/>
    <w:rsid w:val="00C84FA6"/>
    <w:rsid w:val="00C85670"/>
    <w:rsid w:val="00C85E07"/>
    <w:rsid w:val="00C85FA6"/>
    <w:rsid w:val="00C85FC9"/>
    <w:rsid w:val="00C86565"/>
    <w:rsid w:val="00C86BD1"/>
    <w:rsid w:val="00C86EDC"/>
    <w:rsid w:val="00C86FD3"/>
    <w:rsid w:val="00C872B3"/>
    <w:rsid w:val="00C873AC"/>
    <w:rsid w:val="00C90253"/>
    <w:rsid w:val="00C904C0"/>
    <w:rsid w:val="00C90974"/>
    <w:rsid w:val="00C90E10"/>
    <w:rsid w:val="00C90EFF"/>
    <w:rsid w:val="00C9125C"/>
    <w:rsid w:val="00C91F0C"/>
    <w:rsid w:val="00C91FEF"/>
    <w:rsid w:val="00C9209D"/>
    <w:rsid w:val="00C927AF"/>
    <w:rsid w:val="00C928EA"/>
    <w:rsid w:val="00C9307F"/>
    <w:rsid w:val="00C930D2"/>
    <w:rsid w:val="00C93253"/>
    <w:rsid w:val="00C93374"/>
    <w:rsid w:val="00C936E9"/>
    <w:rsid w:val="00C93725"/>
    <w:rsid w:val="00C9469B"/>
    <w:rsid w:val="00C94A87"/>
    <w:rsid w:val="00C94FD9"/>
    <w:rsid w:val="00C95582"/>
    <w:rsid w:val="00C958A7"/>
    <w:rsid w:val="00C9644B"/>
    <w:rsid w:val="00C9649A"/>
    <w:rsid w:val="00C96635"/>
    <w:rsid w:val="00C967FF"/>
    <w:rsid w:val="00C96881"/>
    <w:rsid w:val="00C9701A"/>
    <w:rsid w:val="00C97497"/>
    <w:rsid w:val="00C975DE"/>
    <w:rsid w:val="00C977F5"/>
    <w:rsid w:val="00C979A0"/>
    <w:rsid w:val="00C979DA"/>
    <w:rsid w:val="00CA011F"/>
    <w:rsid w:val="00CA07A8"/>
    <w:rsid w:val="00CA0B94"/>
    <w:rsid w:val="00CA0DAC"/>
    <w:rsid w:val="00CA1490"/>
    <w:rsid w:val="00CA1645"/>
    <w:rsid w:val="00CA1692"/>
    <w:rsid w:val="00CA16ED"/>
    <w:rsid w:val="00CA18F1"/>
    <w:rsid w:val="00CA1A72"/>
    <w:rsid w:val="00CA1B83"/>
    <w:rsid w:val="00CA1B8E"/>
    <w:rsid w:val="00CA1CDB"/>
    <w:rsid w:val="00CA1FA9"/>
    <w:rsid w:val="00CA26D0"/>
    <w:rsid w:val="00CA2DE5"/>
    <w:rsid w:val="00CA2F66"/>
    <w:rsid w:val="00CA30A3"/>
    <w:rsid w:val="00CA3729"/>
    <w:rsid w:val="00CA3FA3"/>
    <w:rsid w:val="00CA40F1"/>
    <w:rsid w:val="00CA4201"/>
    <w:rsid w:val="00CA4707"/>
    <w:rsid w:val="00CA471C"/>
    <w:rsid w:val="00CA4FDE"/>
    <w:rsid w:val="00CA517B"/>
    <w:rsid w:val="00CA57DE"/>
    <w:rsid w:val="00CA594B"/>
    <w:rsid w:val="00CA5F8F"/>
    <w:rsid w:val="00CA6136"/>
    <w:rsid w:val="00CA6348"/>
    <w:rsid w:val="00CA6855"/>
    <w:rsid w:val="00CA6F56"/>
    <w:rsid w:val="00CA74DA"/>
    <w:rsid w:val="00CA7511"/>
    <w:rsid w:val="00CA79C1"/>
    <w:rsid w:val="00CA7BDD"/>
    <w:rsid w:val="00CA7D01"/>
    <w:rsid w:val="00CB0072"/>
    <w:rsid w:val="00CB02B4"/>
    <w:rsid w:val="00CB06D6"/>
    <w:rsid w:val="00CB0BB7"/>
    <w:rsid w:val="00CB0E81"/>
    <w:rsid w:val="00CB0FA3"/>
    <w:rsid w:val="00CB100D"/>
    <w:rsid w:val="00CB124E"/>
    <w:rsid w:val="00CB1300"/>
    <w:rsid w:val="00CB1942"/>
    <w:rsid w:val="00CB1A27"/>
    <w:rsid w:val="00CB1C13"/>
    <w:rsid w:val="00CB1DC9"/>
    <w:rsid w:val="00CB2282"/>
    <w:rsid w:val="00CB2305"/>
    <w:rsid w:val="00CB24ED"/>
    <w:rsid w:val="00CB2D5D"/>
    <w:rsid w:val="00CB2E74"/>
    <w:rsid w:val="00CB306B"/>
    <w:rsid w:val="00CB341A"/>
    <w:rsid w:val="00CB35F1"/>
    <w:rsid w:val="00CB3A5C"/>
    <w:rsid w:val="00CB3D42"/>
    <w:rsid w:val="00CB40DF"/>
    <w:rsid w:val="00CB458A"/>
    <w:rsid w:val="00CB45AC"/>
    <w:rsid w:val="00CB47C2"/>
    <w:rsid w:val="00CB5C9A"/>
    <w:rsid w:val="00CB610D"/>
    <w:rsid w:val="00CB6270"/>
    <w:rsid w:val="00CB69D7"/>
    <w:rsid w:val="00CB6F70"/>
    <w:rsid w:val="00CB721E"/>
    <w:rsid w:val="00CB7988"/>
    <w:rsid w:val="00CB7A8F"/>
    <w:rsid w:val="00CB7C1B"/>
    <w:rsid w:val="00CB7D6D"/>
    <w:rsid w:val="00CC0096"/>
    <w:rsid w:val="00CC0111"/>
    <w:rsid w:val="00CC0118"/>
    <w:rsid w:val="00CC0330"/>
    <w:rsid w:val="00CC0354"/>
    <w:rsid w:val="00CC0CFE"/>
    <w:rsid w:val="00CC11D8"/>
    <w:rsid w:val="00CC1496"/>
    <w:rsid w:val="00CC159F"/>
    <w:rsid w:val="00CC16CD"/>
    <w:rsid w:val="00CC17AA"/>
    <w:rsid w:val="00CC1F9B"/>
    <w:rsid w:val="00CC1FD1"/>
    <w:rsid w:val="00CC2408"/>
    <w:rsid w:val="00CC25C9"/>
    <w:rsid w:val="00CC2806"/>
    <w:rsid w:val="00CC32FD"/>
    <w:rsid w:val="00CC3707"/>
    <w:rsid w:val="00CC3761"/>
    <w:rsid w:val="00CC3819"/>
    <w:rsid w:val="00CC3874"/>
    <w:rsid w:val="00CC3AD3"/>
    <w:rsid w:val="00CC41DC"/>
    <w:rsid w:val="00CC4C36"/>
    <w:rsid w:val="00CC4CC3"/>
    <w:rsid w:val="00CC4D78"/>
    <w:rsid w:val="00CC4DEF"/>
    <w:rsid w:val="00CC5737"/>
    <w:rsid w:val="00CC5936"/>
    <w:rsid w:val="00CC6487"/>
    <w:rsid w:val="00CC6514"/>
    <w:rsid w:val="00CC6835"/>
    <w:rsid w:val="00CC6A53"/>
    <w:rsid w:val="00CC6AE0"/>
    <w:rsid w:val="00CC6CD3"/>
    <w:rsid w:val="00CC70DA"/>
    <w:rsid w:val="00CC72E7"/>
    <w:rsid w:val="00CC759B"/>
    <w:rsid w:val="00CC799A"/>
    <w:rsid w:val="00CC7A0A"/>
    <w:rsid w:val="00CC7DAD"/>
    <w:rsid w:val="00CD01B7"/>
    <w:rsid w:val="00CD041A"/>
    <w:rsid w:val="00CD05E5"/>
    <w:rsid w:val="00CD0B99"/>
    <w:rsid w:val="00CD0D2D"/>
    <w:rsid w:val="00CD0F70"/>
    <w:rsid w:val="00CD1E2C"/>
    <w:rsid w:val="00CD1F66"/>
    <w:rsid w:val="00CD2CC7"/>
    <w:rsid w:val="00CD2CCD"/>
    <w:rsid w:val="00CD3112"/>
    <w:rsid w:val="00CD3159"/>
    <w:rsid w:val="00CD3441"/>
    <w:rsid w:val="00CD34CD"/>
    <w:rsid w:val="00CD3757"/>
    <w:rsid w:val="00CD3A16"/>
    <w:rsid w:val="00CD3B58"/>
    <w:rsid w:val="00CD3F1B"/>
    <w:rsid w:val="00CD45B1"/>
    <w:rsid w:val="00CD4708"/>
    <w:rsid w:val="00CD4770"/>
    <w:rsid w:val="00CD4CF5"/>
    <w:rsid w:val="00CD4DC5"/>
    <w:rsid w:val="00CD500E"/>
    <w:rsid w:val="00CD5089"/>
    <w:rsid w:val="00CD53FF"/>
    <w:rsid w:val="00CD5595"/>
    <w:rsid w:val="00CD5631"/>
    <w:rsid w:val="00CD583F"/>
    <w:rsid w:val="00CD5868"/>
    <w:rsid w:val="00CD5F56"/>
    <w:rsid w:val="00CD629F"/>
    <w:rsid w:val="00CD63D1"/>
    <w:rsid w:val="00CD6567"/>
    <w:rsid w:val="00CD69A2"/>
    <w:rsid w:val="00CD6A50"/>
    <w:rsid w:val="00CD6BC0"/>
    <w:rsid w:val="00CD6EC8"/>
    <w:rsid w:val="00CD6F7F"/>
    <w:rsid w:val="00CD7555"/>
    <w:rsid w:val="00CD7631"/>
    <w:rsid w:val="00CD779D"/>
    <w:rsid w:val="00CD789C"/>
    <w:rsid w:val="00CD79AB"/>
    <w:rsid w:val="00CD79EB"/>
    <w:rsid w:val="00CD7A6D"/>
    <w:rsid w:val="00CD7A78"/>
    <w:rsid w:val="00CD7B36"/>
    <w:rsid w:val="00CE0541"/>
    <w:rsid w:val="00CE0A57"/>
    <w:rsid w:val="00CE0CBB"/>
    <w:rsid w:val="00CE0D8F"/>
    <w:rsid w:val="00CE0FE9"/>
    <w:rsid w:val="00CE18C9"/>
    <w:rsid w:val="00CE1BB6"/>
    <w:rsid w:val="00CE1C18"/>
    <w:rsid w:val="00CE1F8F"/>
    <w:rsid w:val="00CE21A9"/>
    <w:rsid w:val="00CE2385"/>
    <w:rsid w:val="00CE24A9"/>
    <w:rsid w:val="00CE265B"/>
    <w:rsid w:val="00CE28C4"/>
    <w:rsid w:val="00CE2A31"/>
    <w:rsid w:val="00CE30B0"/>
    <w:rsid w:val="00CE37A0"/>
    <w:rsid w:val="00CE3B5D"/>
    <w:rsid w:val="00CE3F6A"/>
    <w:rsid w:val="00CE4042"/>
    <w:rsid w:val="00CE4324"/>
    <w:rsid w:val="00CE4A21"/>
    <w:rsid w:val="00CE5238"/>
    <w:rsid w:val="00CE527B"/>
    <w:rsid w:val="00CE5287"/>
    <w:rsid w:val="00CE52E7"/>
    <w:rsid w:val="00CE54BB"/>
    <w:rsid w:val="00CE5590"/>
    <w:rsid w:val="00CE5ACC"/>
    <w:rsid w:val="00CE5C41"/>
    <w:rsid w:val="00CE5D82"/>
    <w:rsid w:val="00CE5DDC"/>
    <w:rsid w:val="00CE5F4C"/>
    <w:rsid w:val="00CE6367"/>
    <w:rsid w:val="00CE65B3"/>
    <w:rsid w:val="00CE6A15"/>
    <w:rsid w:val="00CE6AB2"/>
    <w:rsid w:val="00CE6CD4"/>
    <w:rsid w:val="00CE7408"/>
    <w:rsid w:val="00CE768A"/>
    <w:rsid w:val="00CE7A05"/>
    <w:rsid w:val="00CE7AF3"/>
    <w:rsid w:val="00CE7B59"/>
    <w:rsid w:val="00CE7C4E"/>
    <w:rsid w:val="00CE7CA0"/>
    <w:rsid w:val="00CE7E84"/>
    <w:rsid w:val="00CF0344"/>
    <w:rsid w:val="00CF03DC"/>
    <w:rsid w:val="00CF0623"/>
    <w:rsid w:val="00CF0832"/>
    <w:rsid w:val="00CF0AAA"/>
    <w:rsid w:val="00CF0CCA"/>
    <w:rsid w:val="00CF0FB9"/>
    <w:rsid w:val="00CF0FF8"/>
    <w:rsid w:val="00CF11A1"/>
    <w:rsid w:val="00CF12BA"/>
    <w:rsid w:val="00CF1B03"/>
    <w:rsid w:val="00CF1E4B"/>
    <w:rsid w:val="00CF1FA1"/>
    <w:rsid w:val="00CF2593"/>
    <w:rsid w:val="00CF30EF"/>
    <w:rsid w:val="00CF32C3"/>
    <w:rsid w:val="00CF331F"/>
    <w:rsid w:val="00CF33DC"/>
    <w:rsid w:val="00CF361A"/>
    <w:rsid w:val="00CF3F7B"/>
    <w:rsid w:val="00CF4554"/>
    <w:rsid w:val="00CF4B3B"/>
    <w:rsid w:val="00CF4FA5"/>
    <w:rsid w:val="00CF5011"/>
    <w:rsid w:val="00CF53CC"/>
    <w:rsid w:val="00CF54BB"/>
    <w:rsid w:val="00CF59C5"/>
    <w:rsid w:val="00CF5BBA"/>
    <w:rsid w:val="00CF5D9A"/>
    <w:rsid w:val="00CF5F74"/>
    <w:rsid w:val="00CF60BB"/>
    <w:rsid w:val="00CF60C8"/>
    <w:rsid w:val="00CF6344"/>
    <w:rsid w:val="00CF6423"/>
    <w:rsid w:val="00CF6BA1"/>
    <w:rsid w:val="00CF6BA2"/>
    <w:rsid w:val="00CF7536"/>
    <w:rsid w:val="00CF758B"/>
    <w:rsid w:val="00CF76DD"/>
    <w:rsid w:val="00CF7A44"/>
    <w:rsid w:val="00CF7C37"/>
    <w:rsid w:val="00D00D60"/>
    <w:rsid w:val="00D00E04"/>
    <w:rsid w:val="00D011C4"/>
    <w:rsid w:val="00D015B6"/>
    <w:rsid w:val="00D0168C"/>
    <w:rsid w:val="00D017C3"/>
    <w:rsid w:val="00D01EFC"/>
    <w:rsid w:val="00D0203D"/>
    <w:rsid w:val="00D02328"/>
    <w:rsid w:val="00D02552"/>
    <w:rsid w:val="00D0276F"/>
    <w:rsid w:val="00D02D6F"/>
    <w:rsid w:val="00D032FF"/>
    <w:rsid w:val="00D034EA"/>
    <w:rsid w:val="00D035AD"/>
    <w:rsid w:val="00D03EAF"/>
    <w:rsid w:val="00D04200"/>
    <w:rsid w:val="00D043C1"/>
    <w:rsid w:val="00D044DE"/>
    <w:rsid w:val="00D04668"/>
    <w:rsid w:val="00D0533C"/>
    <w:rsid w:val="00D055D6"/>
    <w:rsid w:val="00D05647"/>
    <w:rsid w:val="00D05789"/>
    <w:rsid w:val="00D05799"/>
    <w:rsid w:val="00D05AF9"/>
    <w:rsid w:val="00D05BC1"/>
    <w:rsid w:val="00D05F6A"/>
    <w:rsid w:val="00D06848"/>
    <w:rsid w:val="00D06A80"/>
    <w:rsid w:val="00D06AA2"/>
    <w:rsid w:val="00D07532"/>
    <w:rsid w:val="00D0760C"/>
    <w:rsid w:val="00D077BD"/>
    <w:rsid w:val="00D07812"/>
    <w:rsid w:val="00D078DA"/>
    <w:rsid w:val="00D07C2E"/>
    <w:rsid w:val="00D07D1A"/>
    <w:rsid w:val="00D07D29"/>
    <w:rsid w:val="00D07EF6"/>
    <w:rsid w:val="00D104B3"/>
    <w:rsid w:val="00D107F9"/>
    <w:rsid w:val="00D108F7"/>
    <w:rsid w:val="00D108F9"/>
    <w:rsid w:val="00D10A75"/>
    <w:rsid w:val="00D10B73"/>
    <w:rsid w:val="00D10C86"/>
    <w:rsid w:val="00D10EF1"/>
    <w:rsid w:val="00D10F3F"/>
    <w:rsid w:val="00D10F6A"/>
    <w:rsid w:val="00D1109E"/>
    <w:rsid w:val="00D1127A"/>
    <w:rsid w:val="00D1138E"/>
    <w:rsid w:val="00D11558"/>
    <w:rsid w:val="00D116A1"/>
    <w:rsid w:val="00D118C5"/>
    <w:rsid w:val="00D11A3D"/>
    <w:rsid w:val="00D12641"/>
    <w:rsid w:val="00D128A8"/>
    <w:rsid w:val="00D12A9A"/>
    <w:rsid w:val="00D12B67"/>
    <w:rsid w:val="00D12E33"/>
    <w:rsid w:val="00D12F7A"/>
    <w:rsid w:val="00D13262"/>
    <w:rsid w:val="00D1327D"/>
    <w:rsid w:val="00D13428"/>
    <w:rsid w:val="00D135AD"/>
    <w:rsid w:val="00D13F4E"/>
    <w:rsid w:val="00D140FB"/>
    <w:rsid w:val="00D1457C"/>
    <w:rsid w:val="00D1490A"/>
    <w:rsid w:val="00D1512A"/>
    <w:rsid w:val="00D154EE"/>
    <w:rsid w:val="00D155C4"/>
    <w:rsid w:val="00D15825"/>
    <w:rsid w:val="00D15C0F"/>
    <w:rsid w:val="00D15E44"/>
    <w:rsid w:val="00D15E86"/>
    <w:rsid w:val="00D15EB5"/>
    <w:rsid w:val="00D16104"/>
    <w:rsid w:val="00D164B8"/>
    <w:rsid w:val="00D165AE"/>
    <w:rsid w:val="00D16C13"/>
    <w:rsid w:val="00D16CAF"/>
    <w:rsid w:val="00D16DC6"/>
    <w:rsid w:val="00D16E61"/>
    <w:rsid w:val="00D16EE4"/>
    <w:rsid w:val="00D17030"/>
    <w:rsid w:val="00D173CF"/>
    <w:rsid w:val="00D174D7"/>
    <w:rsid w:val="00D17748"/>
    <w:rsid w:val="00D17A9B"/>
    <w:rsid w:val="00D17D00"/>
    <w:rsid w:val="00D2061B"/>
    <w:rsid w:val="00D20F12"/>
    <w:rsid w:val="00D20F73"/>
    <w:rsid w:val="00D20FF2"/>
    <w:rsid w:val="00D21389"/>
    <w:rsid w:val="00D21670"/>
    <w:rsid w:val="00D21BAD"/>
    <w:rsid w:val="00D21CDD"/>
    <w:rsid w:val="00D22300"/>
    <w:rsid w:val="00D22A63"/>
    <w:rsid w:val="00D23540"/>
    <w:rsid w:val="00D239D9"/>
    <w:rsid w:val="00D239E7"/>
    <w:rsid w:val="00D24183"/>
    <w:rsid w:val="00D242F0"/>
    <w:rsid w:val="00D2435A"/>
    <w:rsid w:val="00D24C48"/>
    <w:rsid w:val="00D25018"/>
    <w:rsid w:val="00D251D7"/>
    <w:rsid w:val="00D25295"/>
    <w:rsid w:val="00D25319"/>
    <w:rsid w:val="00D25362"/>
    <w:rsid w:val="00D2539E"/>
    <w:rsid w:val="00D2568F"/>
    <w:rsid w:val="00D256BE"/>
    <w:rsid w:val="00D256F4"/>
    <w:rsid w:val="00D25728"/>
    <w:rsid w:val="00D25C7D"/>
    <w:rsid w:val="00D2607A"/>
    <w:rsid w:val="00D2655B"/>
    <w:rsid w:val="00D26628"/>
    <w:rsid w:val="00D266B8"/>
    <w:rsid w:val="00D2694F"/>
    <w:rsid w:val="00D269C0"/>
    <w:rsid w:val="00D26AC4"/>
    <w:rsid w:val="00D26B23"/>
    <w:rsid w:val="00D26D33"/>
    <w:rsid w:val="00D2702A"/>
    <w:rsid w:val="00D2718A"/>
    <w:rsid w:val="00D27323"/>
    <w:rsid w:val="00D278FD"/>
    <w:rsid w:val="00D27C38"/>
    <w:rsid w:val="00D27D09"/>
    <w:rsid w:val="00D27DF9"/>
    <w:rsid w:val="00D27F44"/>
    <w:rsid w:val="00D30317"/>
    <w:rsid w:val="00D30A94"/>
    <w:rsid w:val="00D30D80"/>
    <w:rsid w:val="00D3169B"/>
    <w:rsid w:val="00D31792"/>
    <w:rsid w:val="00D31D00"/>
    <w:rsid w:val="00D3256A"/>
    <w:rsid w:val="00D325F6"/>
    <w:rsid w:val="00D326CC"/>
    <w:rsid w:val="00D32C54"/>
    <w:rsid w:val="00D32D04"/>
    <w:rsid w:val="00D33C0D"/>
    <w:rsid w:val="00D33E39"/>
    <w:rsid w:val="00D33E8D"/>
    <w:rsid w:val="00D34220"/>
    <w:rsid w:val="00D342E5"/>
    <w:rsid w:val="00D34478"/>
    <w:rsid w:val="00D344FD"/>
    <w:rsid w:val="00D34621"/>
    <w:rsid w:val="00D34CCB"/>
    <w:rsid w:val="00D34FC2"/>
    <w:rsid w:val="00D35015"/>
    <w:rsid w:val="00D351FB"/>
    <w:rsid w:val="00D353FE"/>
    <w:rsid w:val="00D35607"/>
    <w:rsid w:val="00D356EC"/>
    <w:rsid w:val="00D36A7F"/>
    <w:rsid w:val="00D36AC3"/>
    <w:rsid w:val="00D36ACE"/>
    <w:rsid w:val="00D36B0D"/>
    <w:rsid w:val="00D370BE"/>
    <w:rsid w:val="00D371C8"/>
    <w:rsid w:val="00D3741E"/>
    <w:rsid w:val="00D37480"/>
    <w:rsid w:val="00D3765B"/>
    <w:rsid w:val="00D37CE2"/>
    <w:rsid w:val="00D40149"/>
    <w:rsid w:val="00D401B2"/>
    <w:rsid w:val="00D4039A"/>
    <w:rsid w:val="00D40511"/>
    <w:rsid w:val="00D40A3F"/>
    <w:rsid w:val="00D40CAB"/>
    <w:rsid w:val="00D40D0A"/>
    <w:rsid w:val="00D410F8"/>
    <w:rsid w:val="00D41B99"/>
    <w:rsid w:val="00D42325"/>
    <w:rsid w:val="00D427D3"/>
    <w:rsid w:val="00D42B75"/>
    <w:rsid w:val="00D43451"/>
    <w:rsid w:val="00D43A3F"/>
    <w:rsid w:val="00D441A8"/>
    <w:rsid w:val="00D443A2"/>
    <w:rsid w:val="00D446CD"/>
    <w:rsid w:val="00D44717"/>
    <w:rsid w:val="00D447C9"/>
    <w:rsid w:val="00D44CB4"/>
    <w:rsid w:val="00D44D0D"/>
    <w:rsid w:val="00D44D56"/>
    <w:rsid w:val="00D45634"/>
    <w:rsid w:val="00D45745"/>
    <w:rsid w:val="00D45763"/>
    <w:rsid w:val="00D4591C"/>
    <w:rsid w:val="00D45948"/>
    <w:rsid w:val="00D45C2A"/>
    <w:rsid w:val="00D461BD"/>
    <w:rsid w:val="00D463D9"/>
    <w:rsid w:val="00D46AC6"/>
    <w:rsid w:val="00D46BDD"/>
    <w:rsid w:val="00D46FB3"/>
    <w:rsid w:val="00D506FE"/>
    <w:rsid w:val="00D50706"/>
    <w:rsid w:val="00D50784"/>
    <w:rsid w:val="00D50859"/>
    <w:rsid w:val="00D51D8B"/>
    <w:rsid w:val="00D51FFB"/>
    <w:rsid w:val="00D5228F"/>
    <w:rsid w:val="00D5290A"/>
    <w:rsid w:val="00D5294F"/>
    <w:rsid w:val="00D52A19"/>
    <w:rsid w:val="00D52E4A"/>
    <w:rsid w:val="00D52E8F"/>
    <w:rsid w:val="00D530B7"/>
    <w:rsid w:val="00D53340"/>
    <w:rsid w:val="00D53724"/>
    <w:rsid w:val="00D539BA"/>
    <w:rsid w:val="00D54163"/>
    <w:rsid w:val="00D543C8"/>
    <w:rsid w:val="00D54A2D"/>
    <w:rsid w:val="00D54B1D"/>
    <w:rsid w:val="00D54B4A"/>
    <w:rsid w:val="00D54EDB"/>
    <w:rsid w:val="00D551C5"/>
    <w:rsid w:val="00D55399"/>
    <w:rsid w:val="00D55617"/>
    <w:rsid w:val="00D55929"/>
    <w:rsid w:val="00D55AB3"/>
    <w:rsid w:val="00D55E6E"/>
    <w:rsid w:val="00D56136"/>
    <w:rsid w:val="00D5652B"/>
    <w:rsid w:val="00D56BEB"/>
    <w:rsid w:val="00D56C0C"/>
    <w:rsid w:val="00D56C91"/>
    <w:rsid w:val="00D57076"/>
    <w:rsid w:val="00D5748B"/>
    <w:rsid w:val="00D57561"/>
    <w:rsid w:val="00D575A5"/>
    <w:rsid w:val="00D577C2"/>
    <w:rsid w:val="00D57938"/>
    <w:rsid w:val="00D57B6D"/>
    <w:rsid w:val="00D57E56"/>
    <w:rsid w:val="00D600BB"/>
    <w:rsid w:val="00D6016E"/>
    <w:rsid w:val="00D6023A"/>
    <w:rsid w:val="00D60A48"/>
    <w:rsid w:val="00D60D92"/>
    <w:rsid w:val="00D60FED"/>
    <w:rsid w:val="00D61443"/>
    <w:rsid w:val="00D6174E"/>
    <w:rsid w:val="00D61767"/>
    <w:rsid w:val="00D61A53"/>
    <w:rsid w:val="00D61D73"/>
    <w:rsid w:val="00D620D1"/>
    <w:rsid w:val="00D62206"/>
    <w:rsid w:val="00D624EC"/>
    <w:rsid w:val="00D6314C"/>
    <w:rsid w:val="00D63721"/>
    <w:rsid w:val="00D63828"/>
    <w:rsid w:val="00D63DC8"/>
    <w:rsid w:val="00D63E97"/>
    <w:rsid w:val="00D64093"/>
    <w:rsid w:val="00D64492"/>
    <w:rsid w:val="00D64605"/>
    <w:rsid w:val="00D64686"/>
    <w:rsid w:val="00D649C8"/>
    <w:rsid w:val="00D64AC5"/>
    <w:rsid w:val="00D64F30"/>
    <w:rsid w:val="00D65236"/>
    <w:rsid w:val="00D65269"/>
    <w:rsid w:val="00D652DD"/>
    <w:rsid w:val="00D6552E"/>
    <w:rsid w:val="00D658AF"/>
    <w:rsid w:val="00D659DB"/>
    <w:rsid w:val="00D65A5D"/>
    <w:rsid w:val="00D65DAF"/>
    <w:rsid w:val="00D66225"/>
    <w:rsid w:val="00D66E20"/>
    <w:rsid w:val="00D67043"/>
    <w:rsid w:val="00D6714C"/>
    <w:rsid w:val="00D6744C"/>
    <w:rsid w:val="00D67543"/>
    <w:rsid w:val="00D67787"/>
    <w:rsid w:val="00D67946"/>
    <w:rsid w:val="00D67A2E"/>
    <w:rsid w:val="00D67C1B"/>
    <w:rsid w:val="00D67D7A"/>
    <w:rsid w:val="00D67ECB"/>
    <w:rsid w:val="00D70052"/>
    <w:rsid w:val="00D70070"/>
    <w:rsid w:val="00D701D6"/>
    <w:rsid w:val="00D70415"/>
    <w:rsid w:val="00D704C8"/>
    <w:rsid w:val="00D70625"/>
    <w:rsid w:val="00D70716"/>
    <w:rsid w:val="00D707A0"/>
    <w:rsid w:val="00D707CA"/>
    <w:rsid w:val="00D70800"/>
    <w:rsid w:val="00D7083D"/>
    <w:rsid w:val="00D70853"/>
    <w:rsid w:val="00D70D1B"/>
    <w:rsid w:val="00D70E04"/>
    <w:rsid w:val="00D70E07"/>
    <w:rsid w:val="00D716E3"/>
    <w:rsid w:val="00D71A55"/>
    <w:rsid w:val="00D71B85"/>
    <w:rsid w:val="00D7207F"/>
    <w:rsid w:val="00D72688"/>
    <w:rsid w:val="00D731B1"/>
    <w:rsid w:val="00D735B5"/>
    <w:rsid w:val="00D735BD"/>
    <w:rsid w:val="00D736DA"/>
    <w:rsid w:val="00D73ED2"/>
    <w:rsid w:val="00D74524"/>
    <w:rsid w:val="00D745AB"/>
    <w:rsid w:val="00D747B4"/>
    <w:rsid w:val="00D747F8"/>
    <w:rsid w:val="00D7492E"/>
    <w:rsid w:val="00D74AD2"/>
    <w:rsid w:val="00D74B56"/>
    <w:rsid w:val="00D74BC5"/>
    <w:rsid w:val="00D7509E"/>
    <w:rsid w:val="00D751D6"/>
    <w:rsid w:val="00D75339"/>
    <w:rsid w:val="00D75725"/>
    <w:rsid w:val="00D757EA"/>
    <w:rsid w:val="00D75826"/>
    <w:rsid w:val="00D759E5"/>
    <w:rsid w:val="00D7610E"/>
    <w:rsid w:val="00D7614F"/>
    <w:rsid w:val="00D76491"/>
    <w:rsid w:val="00D76B68"/>
    <w:rsid w:val="00D76E00"/>
    <w:rsid w:val="00D76EB8"/>
    <w:rsid w:val="00D76F7A"/>
    <w:rsid w:val="00D76F87"/>
    <w:rsid w:val="00D77099"/>
    <w:rsid w:val="00D774DE"/>
    <w:rsid w:val="00D776DD"/>
    <w:rsid w:val="00D77943"/>
    <w:rsid w:val="00D77A1B"/>
    <w:rsid w:val="00D77A4D"/>
    <w:rsid w:val="00D77A87"/>
    <w:rsid w:val="00D77CD2"/>
    <w:rsid w:val="00D802B8"/>
    <w:rsid w:val="00D8049D"/>
    <w:rsid w:val="00D804B2"/>
    <w:rsid w:val="00D80689"/>
    <w:rsid w:val="00D80BAF"/>
    <w:rsid w:val="00D810E9"/>
    <w:rsid w:val="00D811DB"/>
    <w:rsid w:val="00D8146D"/>
    <w:rsid w:val="00D81F76"/>
    <w:rsid w:val="00D820B8"/>
    <w:rsid w:val="00D822D5"/>
    <w:rsid w:val="00D823CD"/>
    <w:rsid w:val="00D82722"/>
    <w:rsid w:val="00D82879"/>
    <w:rsid w:val="00D82A4D"/>
    <w:rsid w:val="00D82C21"/>
    <w:rsid w:val="00D82D29"/>
    <w:rsid w:val="00D82D2B"/>
    <w:rsid w:val="00D82D86"/>
    <w:rsid w:val="00D8305D"/>
    <w:rsid w:val="00D830AF"/>
    <w:rsid w:val="00D830C1"/>
    <w:rsid w:val="00D832DA"/>
    <w:rsid w:val="00D8381F"/>
    <w:rsid w:val="00D83A0A"/>
    <w:rsid w:val="00D83A67"/>
    <w:rsid w:val="00D83B26"/>
    <w:rsid w:val="00D83DFA"/>
    <w:rsid w:val="00D84114"/>
    <w:rsid w:val="00D848B4"/>
    <w:rsid w:val="00D84A64"/>
    <w:rsid w:val="00D84AF7"/>
    <w:rsid w:val="00D850A6"/>
    <w:rsid w:val="00D851BE"/>
    <w:rsid w:val="00D852D0"/>
    <w:rsid w:val="00D854F2"/>
    <w:rsid w:val="00D85688"/>
    <w:rsid w:val="00D856A9"/>
    <w:rsid w:val="00D85A8F"/>
    <w:rsid w:val="00D85CE9"/>
    <w:rsid w:val="00D866EC"/>
    <w:rsid w:val="00D86783"/>
    <w:rsid w:val="00D86DBF"/>
    <w:rsid w:val="00D86F08"/>
    <w:rsid w:val="00D871EE"/>
    <w:rsid w:val="00D873D8"/>
    <w:rsid w:val="00D87618"/>
    <w:rsid w:val="00D87680"/>
    <w:rsid w:val="00D87B2F"/>
    <w:rsid w:val="00D900D8"/>
    <w:rsid w:val="00D905F5"/>
    <w:rsid w:val="00D90C33"/>
    <w:rsid w:val="00D90E15"/>
    <w:rsid w:val="00D91591"/>
    <w:rsid w:val="00D917C3"/>
    <w:rsid w:val="00D91C77"/>
    <w:rsid w:val="00D921F1"/>
    <w:rsid w:val="00D925A3"/>
    <w:rsid w:val="00D92985"/>
    <w:rsid w:val="00D92DF6"/>
    <w:rsid w:val="00D92EF1"/>
    <w:rsid w:val="00D932A2"/>
    <w:rsid w:val="00D934AB"/>
    <w:rsid w:val="00D9364B"/>
    <w:rsid w:val="00D93841"/>
    <w:rsid w:val="00D942CB"/>
    <w:rsid w:val="00D94632"/>
    <w:rsid w:val="00D946AD"/>
    <w:rsid w:val="00D94932"/>
    <w:rsid w:val="00D94DBC"/>
    <w:rsid w:val="00D950C2"/>
    <w:rsid w:val="00D9525B"/>
    <w:rsid w:val="00D954E5"/>
    <w:rsid w:val="00D956C8"/>
    <w:rsid w:val="00D95E03"/>
    <w:rsid w:val="00D95F06"/>
    <w:rsid w:val="00D95F99"/>
    <w:rsid w:val="00D96531"/>
    <w:rsid w:val="00D96A2E"/>
    <w:rsid w:val="00D96BA8"/>
    <w:rsid w:val="00D96BF6"/>
    <w:rsid w:val="00D96C92"/>
    <w:rsid w:val="00D970AC"/>
    <w:rsid w:val="00D977AE"/>
    <w:rsid w:val="00D97802"/>
    <w:rsid w:val="00DA0422"/>
    <w:rsid w:val="00DA0535"/>
    <w:rsid w:val="00DA0602"/>
    <w:rsid w:val="00DA0BAE"/>
    <w:rsid w:val="00DA0DF1"/>
    <w:rsid w:val="00DA0E3B"/>
    <w:rsid w:val="00DA1044"/>
    <w:rsid w:val="00DA17A2"/>
    <w:rsid w:val="00DA1DFA"/>
    <w:rsid w:val="00DA1FE1"/>
    <w:rsid w:val="00DA3071"/>
    <w:rsid w:val="00DA30C1"/>
    <w:rsid w:val="00DA333E"/>
    <w:rsid w:val="00DA353F"/>
    <w:rsid w:val="00DA3607"/>
    <w:rsid w:val="00DA3D18"/>
    <w:rsid w:val="00DA3EB8"/>
    <w:rsid w:val="00DA41A0"/>
    <w:rsid w:val="00DA4331"/>
    <w:rsid w:val="00DA44B4"/>
    <w:rsid w:val="00DA4537"/>
    <w:rsid w:val="00DA45BA"/>
    <w:rsid w:val="00DA466B"/>
    <w:rsid w:val="00DA4686"/>
    <w:rsid w:val="00DA4DE4"/>
    <w:rsid w:val="00DA5532"/>
    <w:rsid w:val="00DA5618"/>
    <w:rsid w:val="00DA5732"/>
    <w:rsid w:val="00DA5AE7"/>
    <w:rsid w:val="00DA5B1A"/>
    <w:rsid w:val="00DA60C5"/>
    <w:rsid w:val="00DA62BD"/>
    <w:rsid w:val="00DA6487"/>
    <w:rsid w:val="00DA65D2"/>
    <w:rsid w:val="00DA6DA1"/>
    <w:rsid w:val="00DA6E86"/>
    <w:rsid w:val="00DA70B4"/>
    <w:rsid w:val="00DA785C"/>
    <w:rsid w:val="00DA7871"/>
    <w:rsid w:val="00DA7D68"/>
    <w:rsid w:val="00DA7F62"/>
    <w:rsid w:val="00DB081F"/>
    <w:rsid w:val="00DB10CC"/>
    <w:rsid w:val="00DB1382"/>
    <w:rsid w:val="00DB14AC"/>
    <w:rsid w:val="00DB14E1"/>
    <w:rsid w:val="00DB17EC"/>
    <w:rsid w:val="00DB1D5F"/>
    <w:rsid w:val="00DB1FE8"/>
    <w:rsid w:val="00DB20B5"/>
    <w:rsid w:val="00DB224B"/>
    <w:rsid w:val="00DB25BD"/>
    <w:rsid w:val="00DB26DC"/>
    <w:rsid w:val="00DB27DB"/>
    <w:rsid w:val="00DB287F"/>
    <w:rsid w:val="00DB2978"/>
    <w:rsid w:val="00DB2BFA"/>
    <w:rsid w:val="00DB2C88"/>
    <w:rsid w:val="00DB2CD8"/>
    <w:rsid w:val="00DB2DBF"/>
    <w:rsid w:val="00DB2E06"/>
    <w:rsid w:val="00DB325A"/>
    <w:rsid w:val="00DB3561"/>
    <w:rsid w:val="00DB3621"/>
    <w:rsid w:val="00DB369C"/>
    <w:rsid w:val="00DB4485"/>
    <w:rsid w:val="00DB44A1"/>
    <w:rsid w:val="00DB450C"/>
    <w:rsid w:val="00DB46CD"/>
    <w:rsid w:val="00DB49D5"/>
    <w:rsid w:val="00DB5259"/>
    <w:rsid w:val="00DB526F"/>
    <w:rsid w:val="00DB5637"/>
    <w:rsid w:val="00DB569E"/>
    <w:rsid w:val="00DB57C9"/>
    <w:rsid w:val="00DB580E"/>
    <w:rsid w:val="00DB5DEC"/>
    <w:rsid w:val="00DB622C"/>
    <w:rsid w:val="00DB6AFD"/>
    <w:rsid w:val="00DB6BE1"/>
    <w:rsid w:val="00DB6C80"/>
    <w:rsid w:val="00DB6DF7"/>
    <w:rsid w:val="00DB724A"/>
    <w:rsid w:val="00DB741C"/>
    <w:rsid w:val="00DB7782"/>
    <w:rsid w:val="00DB77CA"/>
    <w:rsid w:val="00DC06D9"/>
    <w:rsid w:val="00DC07BD"/>
    <w:rsid w:val="00DC0BDA"/>
    <w:rsid w:val="00DC0D6A"/>
    <w:rsid w:val="00DC0E7C"/>
    <w:rsid w:val="00DC0E8F"/>
    <w:rsid w:val="00DC11E1"/>
    <w:rsid w:val="00DC1A36"/>
    <w:rsid w:val="00DC1C45"/>
    <w:rsid w:val="00DC1EAC"/>
    <w:rsid w:val="00DC243B"/>
    <w:rsid w:val="00DC26A0"/>
    <w:rsid w:val="00DC27FF"/>
    <w:rsid w:val="00DC2C1F"/>
    <w:rsid w:val="00DC364D"/>
    <w:rsid w:val="00DC365C"/>
    <w:rsid w:val="00DC376C"/>
    <w:rsid w:val="00DC37CE"/>
    <w:rsid w:val="00DC396F"/>
    <w:rsid w:val="00DC3B8E"/>
    <w:rsid w:val="00DC3BB8"/>
    <w:rsid w:val="00DC3BDF"/>
    <w:rsid w:val="00DC3D4C"/>
    <w:rsid w:val="00DC4055"/>
    <w:rsid w:val="00DC43BF"/>
    <w:rsid w:val="00DC5070"/>
    <w:rsid w:val="00DC5A0D"/>
    <w:rsid w:val="00DC5A9C"/>
    <w:rsid w:val="00DC5E3C"/>
    <w:rsid w:val="00DC5E46"/>
    <w:rsid w:val="00DC5F6F"/>
    <w:rsid w:val="00DC6626"/>
    <w:rsid w:val="00DC68DB"/>
    <w:rsid w:val="00DC6D28"/>
    <w:rsid w:val="00DC6EDB"/>
    <w:rsid w:val="00DC73D3"/>
    <w:rsid w:val="00DC73F9"/>
    <w:rsid w:val="00DC74D2"/>
    <w:rsid w:val="00DC789D"/>
    <w:rsid w:val="00DC7A4B"/>
    <w:rsid w:val="00DC7CA6"/>
    <w:rsid w:val="00DC7D5C"/>
    <w:rsid w:val="00DC7D94"/>
    <w:rsid w:val="00DC7F4F"/>
    <w:rsid w:val="00DD008C"/>
    <w:rsid w:val="00DD0219"/>
    <w:rsid w:val="00DD03EF"/>
    <w:rsid w:val="00DD0A6E"/>
    <w:rsid w:val="00DD0B3D"/>
    <w:rsid w:val="00DD1011"/>
    <w:rsid w:val="00DD1022"/>
    <w:rsid w:val="00DD132A"/>
    <w:rsid w:val="00DD14D5"/>
    <w:rsid w:val="00DD1525"/>
    <w:rsid w:val="00DD1AEC"/>
    <w:rsid w:val="00DD1B04"/>
    <w:rsid w:val="00DD201C"/>
    <w:rsid w:val="00DD2352"/>
    <w:rsid w:val="00DD23E8"/>
    <w:rsid w:val="00DD2734"/>
    <w:rsid w:val="00DD2C03"/>
    <w:rsid w:val="00DD2DC9"/>
    <w:rsid w:val="00DD2FC1"/>
    <w:rsid w:val="00DD341F"/>
    <w:rsid w:val="00DD3FB1"/>
    <w:rsid w:val="00DD40F1"/>
    <w:rsid w:val="00DD43B6"/>
    <w:rsid w:val="00DD44AF"/>
    <w:rsid w:val="00DD45F3"/>
    <w:rsid w:val="00DD463B"/>
    <w:rsid w:val="00DD4721"/>
    <w:rsid w:val="00DD4F20"/>
    <w:rsid w:val="00DD5198"/>
    <w:rsid w:val="00DD57B3"/>
    <w:rsid w:val="00DD5B2D"/>
    <w:rsid w:val="00DD5EF0"/>
    <w:rsid w:val="00DD6062"/>
    <w:rsid w:val="00DD6217"/>
    <w:rsid w:val="00DD6362"/>
    <w:rsid w:val="00DD63B4"/>
    <w:rsid w:val="00DD65F2"/>
    <w:rsid w:val="00DD695A"/>
    <w:rsid w:val="00DD69B7"/>
    <w:rsid w:val="00DD6B57"/>
    <w:rsid w:val="00DD6DC1"/>
    <w:rsid w:val="00DD6E5A"/>
    <w:rsid w:val="00DD6E9F"/>
    <w:rsid w:val="00DD774A"/>
    <w:rsid w:val="00DD7B0D"/>
    <w:rsid w:val="00DD7B97"/>
    <w:rsid w:val="00DD7EF6"/>
    <w:rsid w:val="00DE0045"/>
    <w:rsid w:val="00DE00C5"/>
    <w:rsid w:val="00DE0B41"/>
    <w:rsid w:val="00DE0DC1"/>
    <w:rsid w:val="00DE0FF0"/>
    <w:rsid w:val="00DE10C1"/>
    <w:rsid w:val="00DE11B9"/>
    <w:rsid w:val="00DE1242"/>
    <w:rsid w:val="00DE1260"/>
    <w:rsid w:val="00DE19E2"/>
    <w:rsid w:val="00DE1ACE"/>
    <w:rsid w:val="00DE1BC9"/>
    <w:rsid w:val="00DE1D16"/>
    <w:rsid w:val="00DE1DE6"/>
    <w:rsid w:val="00DE20CB"/>
    <w:rsid w:val="00DE21BA"/>
    <w:rsid w:val="00DE231D"/>
    <w:rsid w:val="00DE2386"/>
    <w:rsid w:val="00DE2D7A"/>
    <w:rsid w:val="00DE2D96"/>
    <w:rsid w:val="00DE2E68"/>
    <w:rsid w:val="00DE3075"/>
    <w:rsid w:val="00DE30D4"/>
    <w:rsid w:val="00DE33F6"/>
    <w:rsid w:val="00DE3407"/>
    <w:rsid w:val="00DE3810"/>
    <w:rsid w:val="00DE3D8F"/>
    <w:rsid w:val="00DE42AF"/>
    <w:rsid w:val="00DE4379"/>
    <w:rsid w:val="00DE43A9"/>
    <w:rsid w:val="00DE469E"/>
    <w:rsid w:val="00DE4845"/>
    <w:rsid w:val="00DE4B89"/>
    <w:rsid w:val="00DE4EE7"/>
    <w:rsid w:val="00DE5B81"/>
    <w:rsid w:val="00DE5F70"/>
    <w:rsid w:val="00DE61F3"/>
    <w:rsid w:val="00DE643E"/>
    <w:rsid w:val="00DE64FF"/>
    <w:rsid w:val="00DE65FC"/>
    <w:rsid w:val="00DE6ABC"/>
    <w:rsid w:val="00DE6B3D"/>
    <w:rsid w:val="00DE6E18"/>
    <w:rsid w:val="00DE772C"/>
    <w:rsid w:val="00DE7808"/>
    <w:rsid w:val="00DE7D05"/>
    <w:rsid w:val="00DE7D91"/>
    <w:rsid w:val="00DF0250"/>
    <w:rsid w:val="00DF02D5"/>
    <w:rsid w:val="00DF03A9"/>
    <w:rsid w:val="00DF0582"/>
    <w:rsid w:val="00DF06D9"/>
    <w:rsid w:val="00DF0992"/>
    <w:rsid w:val="00DF0B53"/>
    <w:rsid w:val="00DF0F36"/>
    <w:rsid w:val="00DF0F69"/>
    <w:rsid w:val="00DF136D"/>
    <w:rsid w:val="00DF1379"/>
    <w:rsid w:val="00DF1482"/>
    <w:rsid w:val="00DF1E26"/>
    <w:rsid w:val="00DF20F3"/>
    <w:rsid w:val="00DF2197"/>
    <w:rsid w:val="00DF21D4"/>
    <w:rsid w:val="00DF23CD"/>
    <w:rsid w:val="00DF24F6"/>
    <w:rsid w:val="00DF2E93"/>
    <w:rsid w:val="00DF38DD"/>
    <w:rsid w:val="00DF3F3C"/>
    <w:rsid w:val="00DF4214"/>
    <w:rsid w:val="00DF42B4"/>
    <w:rsid w:val="00DF441F"/>
    <w:rsid w:val="00DF4579"/>
    <w:rsid w:val="00DF458A"/>
    <w:rsid w:val="00DF46C1"/>
    <w:rsid w:val="00DF46E7"/>
    <w:rsid w:val="00DF4BCE"/>
    <w:rsid w:val="00DF56E9"/>
    <w:rsid w:val="00DF570D"/>
    <w:rsid w:val="00DF5765"/>
    <w:rsid w:val="00DF5990"/>
    <w:rsid w:val="00DF5ED2"/>
    <w:rsid w:val="00DF62E8"/>
    <w:rsid w:val="00DF63DC"/>
    <w:rsid w:val="00DF65DC"/>
    <w:rsid w:val="00DF65EA"/>
    <w:rsid w:val="00DF68A7"/>
    <w:rsid w:val="00DF6B65"/>
    <w:rsid w:val="00DF6C17"/>
    <w:rsid w:val="00DF70E0"/>
    <w:rsid w:val="00DF7BCD"/>
    <w:rsid w:val="00DF7C85"/>
    <w:rsid w:val="00DF7CC4"/>
    <w:rsid w:val="00E001D4"/>
    <w:rsid w:val="00E005E3"/>
    <w:rsid w:val="00E00663"/>
    <w:rsid w:val="00E006FD"/>
    <w:rsid w:val="00E00AA0"/>
    <w:rsid w:val="00E010B9"/>
    <w:rsid w:val="00E019BA"/>
    <w:rsid w:val="00E01BC7"/>
    <w:rsid w:val="00E01D15"/>
    <w:rsid w:val="00E01F4A"/>
    <w:rsid w:val="00E01F6D"/>
    <w:rsid w:val="00E024D8"/>
    <w:rsid w:val="00E024DF"/>
    <w:rsid w:val="00E02A5D"/>
    <w:rsid w:val="00E02C98"/>
    <w:rsid w:val="00E02F11"/>
    <w:rsid w:val="00E03125"/>
    <w:rsid w:val="00E03353"/>
    <w:rsid w:val="00E0359B"/>
    <w:rsid w:val="00E035C8"/>
    <w:rsid w:val="00E0373C"/>
    <w:rsid w:val="00E040E0"/>
    <w:rsid w:val="00E0417D"/>
    <w:rsid w:val="00E042EF"/>
    <w:rsid w:val="00E04466"/>
    <w:rsid w:val="00E0493B"/>
    <w:rsid w:val="00E04F9F"/>
    <w:rsid w:val="00E0543A"/>
    <w:rsid w:val="00E05E38"/>
    <w:rsid w:val="00E063B4"/>
    <w:rsid w:val="00E06567"/>
    <w:rsid w:val="00E06A03"/>
    <w:rsid w:val="00E06DB6"/>
    <w:rsid w:val="00E07257"/>
    <w:rsid w:val="00E076FA"/>
    <w:rsid w:val="00E07807"/>
    <w:rsid w:val="00E078CC"/>
    <w:rsid w:val="00E079E7"/>
    <w:rsid w:val="00E07E5E"/>
    <w:rsid w:val="00E07F60"/>
    <w:rsid w:val="00E10184"/>
    <w:rsid w:val="00E104E9"/>
    <w:rsid w:val="00E10BE1"/>
    <w:rsid w:val="00E10FEE"/>
    <w:rsid w:val="00E111B4"/>
    <w:rsid w:val="00E118F7"/>
    <w:rsid w:val="00E119C1"/>
    <w:rsid w:val="00E12190"/>
    <w:rsid w:val="00E12D05"/>
    <w:rsid w:val="00E12D9F"/>
    <w:rsid w:val="00E132D4"/>
    <w:rsid w:val="00E136E0"/>
    <w:rsid w:val="00E138C1"/>
    <w:rsid w:val="00E13AAE"/>
    <w:rsid w:val="00E13B27"/>
    <w:rsid w:val="00E13E78"/>
    <w:rsid w:val="00E13F74"/>
    <w:rsid w:val="00E140C4"/>
    <w:rsid w:val="00E14104"/>
    <w:rsid w:val="00E1416E"/>
    <w:rsid w:val="00E1420E"/>
    <w:rsid w:val="00E14415"/>
    <w:rsid w:val="00E14738"/>
    <w:rsid w:val="00E14B2A"/>
    <w:rsid w:val="00E14B7B"/>
    <w:rsid w:val="00E14CDA"/>
    <w:rsid w:val="00E14D4F"/>
    <w:rsid w:val="00E15046"/>
    <w:rsid w:val="00E15330"/>
    <w:rsid w:val="00E1593A"/>
    <w:rsid w:val="00E15A46"/>
    <w:rsid w:val="00E15F10"/>
    <w:rsid w:val="00E1634A"/>
    <w:rsid w:val="00E163D3"/>
    <w:rsid w:val="00E16746"/>
    <w:rsid w:val="00E1692A"/>
    <w:rsid w:val="00E169A8"/>
    <w:rsid w:val="00E16FAD"/>
    <w:rsid w:val="00E1720F"/>
    <w:rsid w:val="00E173BF"/>
    <w:rsid w:val="00E17529"/>
    <w:rsid w:val="00E17668"/>
    <w:rsid w:val="00E176DA"/>
    <w:rsid w:val="00E17743"/>
    <w:rsid w:val="00E17ACD"/>
    <w:rsid w:val="00E17BAE"/>
    <w:rsid w:val="00E17BFD"/>
    <w:rsid w:val="00E17C9F"/>
    <w:rsid w:val="00E17D18"/>
    <w:rsid w:val="00E17F64"/>
    <w:rsid w:val="00E20241"/>
    <w:rsid w:val="00E20315"/>
    <w:rsid w:val="00E20B1D"/>
    <w:rsid w:val="00E20C80"/>
    <w:rsid w:val="00E20F2E"/>
    <w:rsid w:val="00E214A2"/>
    <w:rsid w:val="00E214F8"/>
    <w:rsid w:val="00E2185E"/>
    <w:rsid w:val="00E21BDE"/>
    <w:rsid w:val="00E21EC7"/>
    <w:rsid w:val="00E22066"/>
    <w:rsid w:val="00E222C5"/>
    <w:rsid w:val="00E22C01"/>
    <w:rsid w:val="00E22E75"/>
    <w:rsid w:val="00E22F3F"/>
    <w:rsid w:val="00E2306F"/>
    <w:rsid w:val="00E232C6"/>
    <w:rsid w:val="00E23307"/>
    <w:rsid w:val="00E23580"/>
    <w:rsid w:val="00E23E73"/>
    <w:rsid w:val="00E24062"/>
    <w:rsid w:val="00E242A3"/>
    <w:rsid w:val="00E24876"/>
    <w:rsid w:val="00E24D99"/>
    <w:rsid w:val="00E2517B"/>
    <w:rsid w:val="00E252A7"/>
    <w:rsid w:val="00E25341"/>
    <w:rsid w:val="00E255D4"/>
    <w:rsid w:val="00E257E0"/>
    <w:rsid w:val="00E25AB7"/>
    <w:rsid w:val="00E25C15"/>
    <w:rsid w:val="00E26050"/>
    <w:rsid w:val="00E260C6"/>
    <w:rsid w:val="00E2632A"/>
    <w:rsid w:val="00E26387"/>
    <w:rsid w:val="00E264FD"/>
    <w:rsid w:val="00E26FEA"/>
    <w:rsid w:val="00E27362"/>
    <w:rsid w:val="00E273A3"/>
    <w:rsid w:val="00E27557"/>
    <w:rsid w:val="00E27A3F"/>
    <w:rsid w:val="00E27C36"/>
    <w:rsid w:val="00E27CB2"/>
    <w:rsid w:val="00E27D15"/>
    <w:rsid w:val="00E301ED"/>
    <w:rsid w:val="00E30832"/>
    <w:rsid w:val="00E308B6"/>
    <w:rsid w:val="00E308B8"/>
    <w:rsid w:val="00E30959"/>
    <w:rsid w:val="00E309E8"/>
    <w:rsid w:val="00E30C8F"/>
    <w:rsid w:val="00E30EC7"/>
    <w:rsid w:val="00E30FA0"/>
    <w:rsid w:val="00E31062"/>
    <w:rsid w:val="00E31221"/>
    <w:rsid w:val="00E3163F"/>
    <w:rsid w:val="00E31761"/>
    <w:rsid w:val="00E31953"/>
    <w:rsid w:val="00E31A20"/>
    <w:rsid w:val="00E31FEE"/>
    <w:rsid w:val="00E322BA"/>
    <w:rsid w:val="00E322DA"/>
    <w:rsid w:val="00E328CF"/>
    <w:rsid w:val="00E328F2"/>
    <w:rsid w:val="00E32B6B"/>
    <w:rsid w:val="00E32C0D"/>
    <w:rsid w:val="00E32C86"/>
    <w:rsid w:val="00E333A6"/>
    <w:rsid w:val="00E3344A"/>
    <w:rsid w:val="00E33783"/>
    <w:rsid w:val="00E33BB5"/>
    <w:rsid w:val="00E33E2C"/>
    <w:rsid w:val="00E33E59"/>
    <w:rsid w:val="00E340F5"/>
    <w:rsid w:val="00E34151"/>
    <w:rsid w:val="00E34242"/>
    <w:rsid w:val="00E342A7"/>
    <w:rsid w:val="00E3478F"/>
    <w:rsid w:val="00E34B1E"/>
    <w:rsid w:val="00E34C1D"/>
    <w:rsid w:val="00E34CEB"/>
    <w:rsid w:val="00E34E30"/>
    <w:rsid w:val="00E35068"/>
    <w:rsid w:val="00E35189"/>
    <w:rsid w:val="00E35368"/>
    <w:rsid w:val="00E3588C"/>
    <w:rsid w:val="00E358E0"/>
    <w:rsid w:val="00E35DE0"/>
    <w:rsid w:val="00E35DE7"/>
    <w:rsid w:val="00E35E6B"/>
    <w:rsid w:val="00E3676A"/>
    <w:rsid w:val="00E368ED"/>
    <w:rsid w:val="00E36B43"/>
    <w:rsid w:val="00E36BD4"/>
    <w:rsid w:val="00E36F19"/>
    <w:rsid w:val="00E376CC"/>
    <w:rsid w:val="00E377C8"/>
    <w:rsid w:val="00E37DEE"/>
    <w:rsid w:val="00E400D9"/>
    <w:rsid w:val="00E40380"/>
    <w:rsid w:val="00E40A41"/>
    <w:rsid w:val="00E40DE2"/>
    <w:rsid w:val="00E41007"/>
    <w:rsid w:val="00E41816"/>
    <w:rsid w:val="00E41962"/>
    <w:rsid w:val="00E427DF"/>
    <w:rsid w:val="00E42872"/>
    <w:rsid w:val="00E429E4"/>
    <w:rsid w:val="00E42A34"/>
    <w:rsid w:val="00E42AD8"/>
    <w:rsid w:val="00E42CF7"/>
    <w:rsid w:val="00E42F49"/>
    <w:rsid w:val="00E43347"/>
    <w:rsid w:val="00E43A1A"/>
    <w:rsid w:val="00E43EC1"/>
    <w:rsid w:val="00E4481A"/>
    <w:rsid w:val="00E44BA0"/>
    <w:rsid w:val="00E44EB7"/>
    <w:rsid w:val="00E45191"/>
    <w:rsid w:val="00E453CF"/>
    <w:rsid w:val="00E454DC"/>
    <w:rsid w:val="00E4564F"/>
    <w:rsid w:val="00E45707"/>
    <w:rsid w:val="00E45BA1"/>
    <w:rsid w:val="00E45CB9"/>
    <w:rsid w:val="00E45E85"/>
    <w:rsid w:val="00E463E2"/>
    <w:rsid w:val="00E46758"/>
    <w:rsid w:val="00E467E7"/>
    <w:rsid w:val="00E46C38"/>
    <w:rsid w:val="00E47366"/>
    <w:rsid w:val="00E474C7"/>
    <w:rsid w:val="00E4752D"/>
    <w:rsid w:val="00E47A11"/>
    <w:rsid w:val="00E47A99"/>
    <w:rsid w:val="00E50015"/>
    <w:rsid w:val="00E50189"/>
    <w:rsid w:val="00E5033A"/>
    <w:rsid w:val="00E50503"/>
    <w:rsid w:val="00E50777"/>
    <w:rsid w:val="00E50A04"/>
    <w:rsid w:val="00E50AF1"/>
    <w:rsid w:val="00E513DB"/>
    <w:rsid w:val="00E518E4"/>
    <w:rsid w:val="00E52009"/>
    <w:rsid w:val="00E52102"/>
    <w:rsid w:val="00E5230F"/>
    <w:rsid w:val="00E5263A"/>
    <w:rsid w:val="00E5263E"/>
    <w:rsid w:val="00E5270D"/>
    <w:rsid w:val="00E52EBD"/>
    <w:rsid w:val="00E5312F"/>
    <w:rsid w:val="00E53A67"/>
    <w:rsid w:val="00E53BA0"/>
    <w:rsid w:val="00E53D4A"/>
    <w:rsid w:val="00E53F41"/>
    <w:rsid w:val="00E54950"/>
    <w:rsid w:val="00E54952"/>
    <w:rsid w:val="00E55078"/>
    <w:rsid w:val="00E55090"/>
    <w:rsid w:val="00E550A7"/>
    <w:rsid w:val="00E55224"/>
    <w:rsid w:val="00E5532E"/>
    <w:rsid w:val="00E55DCE"/>
    <w:rsid w:val="00E5623B"/>
    <w:rsid w:val="00E56490"/>
    <w:rsid w:val="00E564F5"/>
    <w:rsid w:val="00E56B2B"/>
    <w:rsid w:val="00E57076"/>
    <w:rsid w:val="00E570E8"/>
    <w:rsid w:val="00E5755E"/>
    <w:rsid w:val="00E57A94"/>
    <w:rsid w:val="00E57D75"/>
    <w:rsid w:val="00E604C5"/>
    <w:rsid w:val="00E604D2"/>
    <w:rsid w:val="00E6061A"/>
    <w:rsid w:val="00E60EB2"/>
    <w:rsid w:val="00E61058"/>
    <w:rsid w:val="00E61418"/>
    <w:rsid w:val="00E6149D"/>
    <w:rsid w:val="00E61A64"/>
    <w:rsid w:val="00E61D9E"/>
    <w:rsid w:val="00E62692"/>
    <w:rsid w:val="00E6286F"/>
    <w:rsid w:val="00E629C9"/>
    <w:rsid w:val="00E62A46"/>
    <w:rsid w:val="00E62A85"/>
    <w:rsid w:val="00E62DD9"/>
    <w:rsid w:val="00E62EBF"/>
    <w:rsid w:val="00E630AD"/>
    <w:rsid w:val="00E63726"/>
    <w:rsid w:val="00E638E0"/>
    <w:rsid w:val="00E63900"/>
    <w:rsid w:val="00E639D1"/>
    <w:rsid w:val="00E63E10"/>
    <w:rsid w:val="00E63E75"/>
    <w:rsid w:val="00E63ECC"/>
    <w:rsid w:val="00E63F2D"/>
    <w:rsid w:val="00E642D3"/>
    <w:rsid w:val="00E64617"/>
    <w:rsid w:val="00E6461C"/>
    <w:rsid w:val="00E647BB"/>
    <w:rsid w:val="00E648FA"/>
    <w:rsid w:val="00E6494C"/>
    <w:rsid w:val="00E64D98"/>
    <w:rsid w:val="00E64E31"/>
    <w:rsid w:val="00E64F86"/>
    <w:rsid w:val="00E654F1"/>
    <w:rsid w:val="00E656A9"/>
    <w:rsid w:val="00E656BE"/>
    <w:rsid w:val="00E656D2"/>
    <w:rsid w:val="00E65BE0"/>
    <w:rsid w:val="00E662C4"/>
    <w:rsid w:val="00E665F2"/>
    <w:rsid w:val="00E66691"/>
    <w:rsid w:val="00E66A48"/>
    <w:rsid w:val="00E66CF3"/>
    <w:rsid w:val="00E66DA8"/>
    <w:rsid w:val="00E66E57"/>
    <w:rsid w:val="00E67053"/>
    <w:rsid w:val="00E67191"/>
    <w:rsid w:val="00E67718"/>
    <w:rsid w:val="00E6779E"/>
    <w:rsid w:val="00E67D7D"/>
    <w:rsid w:val="00E70312"/>
    <w:rsid w:val="00E704F0"/>
    <w:rsid w:val="00E705F8"/>
    <w:rsid w:val="00E7072D"/>
    <w:rsid w:val="00E7089B"/>
    <w:rsid w:val="00E708DC"/>
    <w:rsid w:val="00E70FBB"/>
    <w:rsid w:val="00E7161D"/>
    <w:rsid w:val="00E71919"/>
    <w:rsid w:val="00E7193A"/>
    <w:rsid w:val="00E71B9A"/>
    <w:rsid w:val="00E71C92"/>
    <w:rsid w:val="00E71E26"/>
    <w:rsid w:val="00E72096"/>
    <w:rsid w:val="00E72261"/>
    <w:rsid w:val="00E7250C"/>
    <w:rsid w:val="00E72544"/>
    <w:rsid w:val="00E72632"/>
    <w:rsid w:val="00E726B4"/>
    <w:rsid w:val="00E72DF8"/>
    <w:rsid w:val="00E7305F"/>
    <w:rsid w:val="00E7316C"/>
    <w:rsid w:val="00E732FD"/>
    <w:rsid w:val="00E73488"/>
    <w:rsid w:val="00E734BD"/>
    <w:rsid w:val="00E7389C"/>
    <w:rsid w:val="00E73A3F"/>
    <w:rsid w:val="00E73A70"/>
    <w:rsid w:val="00E73AA0"/>
    <w:rsid w:val="00E73D8F"/>
    <w:rsid w:val="00E73F36"/>
    <w:rsid w:val="00E744A8"/>
    <w:rsid w:val="00E74D10"/>
    <w:rsid w:val="00E74DDD"/>
    <w:rsid w:val="00E74E0D"/>
    <w:rsid w:val="00E74F1F"/>
    <w:rsid w:val="00E758B4"/>
    <w:rsid w:val="00E7594D"/>
    <w:rsid w:val="00E75B1B"/>
    <w:rsid w:val="00E75B27"/>
    <w:rsid w:val="00E75C59"/>
    <w:rsid w:val="00E75D5A"/>
    <w:rsid w:val="00E75FF4"/>
    <w:rsid w:val="00E7600B"/>
    <w:rsid w:val="00E76281"/>
    <w:rsid w:val="00E7641D"/>
    <w:rsid w:val="00E76A92"/>
    <w:rsid w:val="00E76AC4"/>
    <w:rsid w:val="00E76AD9"/>
    <w:rsid w:val="00E76C58"/>
    <w:rsid w:val="00E76EFC"/>
    <w:rsid w:val="00E76FA4"/>
    <w:rsid w:val="00E77409"/>
    <w:rsid w:val="00E776E9"/>
    <w:rsid w:val="00E77864"/>
    <w:rsid w:val="00E77EA5"/>
    <w:rsid w:val="00E8048D"/>
    <w:rsid w:val="00E806CA"/>
    <w:rsid w:val="00E8077F"/>
    <w:rsid w:val="00E80C6F"/>
    <w:rsid w:val="00E80CCA"/>
    <w:rsid w:val="00E80D31"/>
    <w:rsid w:val="00E80D7D"/>
    <w:rsid w:val="00E819EF"/>
    <w:rsid w:val="00E81BE7"/>
    <w:rsid w:val="00E81F98"/>
    <w:rsid w:val="00E82114"/>
    <w:rsid w:val="00E82198"/>
    <w:rsid w:val="00E82392"/>
    <w:rsid w:val="00E824BD"/>
    <w:rsid w:val="00E826D6"/>
    <w:rsid w:val="00E82779"/>
    <w:rsid w:val="00E82F9C"/>
    <w:rsid w:val="00E830CE"/>
    <w:rsid w:val="00E831B9"/>
    <w:rsid w:val="00E8328C"/>
    <w:rsid w:val="00E8355E"/>
    <w:rsid w:val="00E835EB"/>
    <w:rsid w:val="00E83A92"/>
    <w:rsid w:val="00E83CE5"/>
    <w:rsid w:val="00E83E1A"/>
    <w:rsid w:val="00E842ED"/>
    <w:rsid w:val="00E84302"/>
    <w:rsid w:val="00E847EF"/>
    <w:rsid w:val="00E84970"/>
    <w:rsid w:val="00E84A08"/>
    <w:rsid w:val="00E85503"/>
    <w:rsid w:val="00E85569"/>
    <w:rsid w:val="00E858D3"/>
    <w:rsid w:val="00E85BE2"/>
    <w:rsid w:val="00E85D82"/>
    <w:rsid w:val="00E871CE"/>
    <w:rsid w:val="00E872C7"/>
    <w:rsid w:val="00E8735E"/>
    <w:rsid w:val="00E87374"/>
    <w:rsid w:val="00E873C3"/>
    <w:rsid w:val="00E87F17"/>
    <w:rsid w:val="00E90416"/>
    <w:rsid w:val="00E906AA"/>
    <w:rsid w:val="00E906F7"/>
    <w:rsid w:val="00E907E4"/>
    <w:rsid w:val="00E909B9"/>
    <w:rsid w:val="00E90AB9"/>
    <w:rsid w:val="00E91169"/>
    <w:rsid w:val="00E9155D"/>
    <w:rsid w:val="00E91B1B"/>
    <w:rsid w:val="00E920A0"/>
    <w:rsid w:val="00E92156"/>
    <w:rsid w:val="00E921A2"/>
    <w:rsid w:val="00E922BA"/>
    <w:rsid w:val="00E9249A"/>
    <w:rsid w:val="00E92695"/>
    <w:rsid w:val="00E926A6"/>
    <w:rsid w:val="00E92AB3"/>
    <w:rsid w:val="00E92DAC"/>
    <w:rsid w:val="00E930CF"/>
    <w:rsid w:val="00E9312F"/>
    <w:rsid w:val="00E93680"/>
    <w:rsid w:val="00E937CA"/>
    <w:rsid w:val="00E93959"/>
    <w:rsid w:val="00E939BB"/>
    <w:rsid w:val="00E93DAA"/>
    <w:rsid w:val="00E9406F"/>
    <w:rsid w:val="00E9424D"/>
    <w:rsid w:val="00E94A06"/>
    <w:rsid w:val="00E94FD1"/>
    <w:rsid w:val="00E95299"/>
    <w:rsid w:val="00E952A1"/>
    <w:rsid w:val="00E95958"/>
    <w:rsid w:val="00E95A94"/>
    <w:rsid w:val="00E95E98"/>
    <w:rsid w:val="00E967C0"/>
    <w:rsid w:val="00E967E4"/>
    <w:rsid w:val="00E967FD"/>
    <w:rsid w:val="00E96945"/>
    <w:rsid w:val="00E969E6"/>
    <w:rsid w:val="00E9757E"/>
    <w:rsid w:val="00E97924"/>
    <w:rsid w:val="00E97BEC"/>
    <w:rsid w:val="00E97D14"/>
    <w:rsid w:val="00E97F55"/>
    <w:rsid w:val="00EA044E"/>
    <w:rsid w:val="00EA0458"/>
    <w:rsid w:val="00EA0B12"/>
    <w:rsid w:val="00EA0B4E"/>
    <w:rsid w:val="00EA12E3"/>
    <w:rsid w:val="00EA19E1"/>
    <w:rsid w:val="00EA1F27"/>
    <w:rsid w:val="00EA2088"/>
    <w:rsid w:val="00EA2382"/>
    <w:rsid w:val="00EA24DA"/>
    <w:rsid w:val="00EA26C9"/>
    <w:rsid w:val="00EA2783"/>
    <w:rsid w:val="00EA27A6"/>
    <w:rsid w:val="00EA2840"/>
    <w:rsid w:val="00EA292C"/>
    <w:rsid w:val="00EA29CC"/>
    <w:rsid w:val="00EA2E09"/>
    <w:rsid w:val="00EA2E9D"/>
    <w:rsid w:val="00EA33D5"/>
    <w:rsid w:val="00EA3AE4"/>
    <w:rsid w:val="00EA3C32"/>
    <w:rsid w:val="00EA4669"/>
    <w:rsid w:val="00EA474A"/>
    <w:rsid w:val="00EA4E12"/>
    <w:rsid w:val="00EA4F2F"/>
    <w:rsid w:val="00EA4F3D"/>
    <w:rsid w:val="00EA519C"/>
    <w:rsid w:val="00EA542E"/>
    <w:rsid w:val="00EA57CD"/>
    <w:rsid w:val="00EA57DD"/>
    <w:rsid w:val="00EA5CCB"/>
    <w:rsid w:val="00EA6149"/>
    <w:rsid w:val="00EA686F"/>
    <w:rsid w:val="00EA6C2E"/>
    <w:rsid w:val="00EA7195"/>
    <w:rsid w:val="00EA71A3"/>
    <w:rsid w:val="00EA73EA"/>
    <w:rsid w:val="00EA747C"/>
    <w:rsid w:val="00EA78C8"/>
    <w:rsid w:val="00EA7A55"/>
    <w:rsid w:val="00EA7FFA"/>
    <w:rsid w:val="00EB01BA"/>
    <w:rsid w:val="00EB0359"/>
    <w:rsid w:val="00EB054F"/>
    <w:rsid w:val="00EB06D5"/>
    <w:rsid w:val="00EB091A"/>
    <w:rsid w:val="00EB0F41"/>
    <w:rsid w:val="00EB0FB9"/>
    <w:rsid w:val="00EB10E8"/>
    <w:rsid w:val="00EB120E"/>
    <w:rsid w:val="00EB14B9"/>
    <w:rsid w:val="00EB1A9C"/>
    <w:rsid w:val="00EB1E9F"/>
    <w:rsid w:val="00EB1F70"/>
    <w:rsid w:val="00EB21A6"/>
    <w:rsid w:val="00EB2671"/>
    <w:rsid w:val="00EB29AC"/>
    <w:rsid w:val="00EB2A40"/>
    <w:rsid w:val="00EB2A4E"/>
    <w:rsid w:val="00EB362F"/>
    <w:rsid w:val="00EB3858"/>
    <w:rsid w:val="00EB3D3F"/>
    <w:rsid w:val="00EB3FA7"/>
    <w:rsid w:val="00EB42A0"/>
    <w:rsid w:val="00EB450B"/>
    <w:rsid w:val="00EB4661"/>
    <w:rsid w:val="00EB496A"/>
    <w:rsid w:val="00EB4AC0"/>
    <w:rsid w:val="00EB4AD8"/>
    <w:rsid w:val="00EB4DB3"/>
    <w:rsid w:val="00EB538E"/>
    <w:rsid w:val="00EB54E0"/>
    <w:rsid w:val="00EB575E"/>
    <w:rsid w:val="00EB5E1A"/>
    <w:rsid w:val="00EB6988"/>
    <w:rsid w:val="00EB6997"/>
    <w:rsid w:val="00EB7198"/>
    <w:rsid w:val="00EB73F1"/>
    <w:rsid w:val="00EB7958"/>
    <w:rsid w:val="00EB7FA8"/>
    <w:rsid w:val="00EC014B"/>
    <w:rsid w:val="00EC01EF"/>
    <w:rsid w:val="00EC067A"/>
    <w:rsid w:val="00EC094B"/>
    <w:rsid w:val="00EC0DED"/>
    <w:rsid w:val="00EC0ECA"/>
    <w:rsid w:val="00EC11EB"/>
    <w:rsid w:val="00EC124A"/>
    <w:rsid w:val="00EC181D"/>
    <w:rsid w:val="00EC1CCA"/>
    <w:rsid w:val="00EC1DE4"/>
    <w:rsid w:val="00EC2915"/>
    <w:rsid w:val="00EC2D47"/>
    <w:rsid w:val="00EC2D56"/>
    <w:rsid w:val="00EC31EC"/>
    <w:rsid w:val="00EC3222"/>
    <w:rsid w:val="00EC331F"/>
    <w:rsid w:val="00EC3415"/>
    <w:rsid w:val="00EC3A50"/>
    <w:rsid w:val="00EC3C23"/>
    <w:rsid w:val="00EC3DFA"/>
    <w:rsid w:val="00EC422F"/>
    <w:rsid w:val="00EC4370"/>
    <w:rsid w:val="00EC437B"/>
    <w:rsid w:val="00EC458E"/>
    <w:rsid w:val="00EC48DA"/>
    <w:rsid w:val="00EC497C"/>
    <w:rsid w:val="00EC4BCD"/>
    <w:rsid w:val="00EC4E8D"/>
    <w:rsid w:val="00EC5299"/>
    <w:rsid w:val="00EC552F"/>
    <w:rsid w:val="00EC5ACC"/>
    <w:rsid w:val="00EC5B6E"/>
    <w:rsid w:val="00EC5C44"/>
    <w:rsid w:val="00EC5F6D"/>
    <w:rsid w:val="00EC61AA"/>
    <w:rsid w:val="00EC6654"/>
    <w:rsid w:val="00EC718C"/>
    <w:rsid w:val="00EC72BA"/>
    <w:rsid w:val="00EC79B5"/>
    <w:rsid w:val="00EC7D99"/>
    <w:rsid w:val="00ED02A2"/>
    <w:rsid w:val="00ED0457"/>
    <w:rsid w:val="00ED085F"/>
    <w:rsid w:val="00ED0AAA"/>
    <w:rsid w:val="00ED0D8B"/>
    <w:rsid w:val="00ED1075"/>
    <w:rsid w:val="00ED10CA"/>
    <w:rsid w:val="00ED13AE"/>
    <w:rsid w:val="00ED14A3"/>
    <w:rsid w:val="00ED15F6"/>
    <w:rsid w:val="00ED1680"/>
    <w:rsid w:val="00ED1719"/>
    <w:rsid w:val="00ED2146"/>
    <w:rsid w:val="00ED2463"/>
    <w:rsid w:val="00ED2B23"/>
    <w:rsid w:val="00ED2D97"/>
    <w:rsid w:val="00ED3291"/>
    <w:rsid w:val="00ED358D"/>
    <w:rsid w:val="00ED35CF"/>
    <w:rsid w:val="00ED3D13"/>
    <w:rsid w:val="00ED4050"/>
    <w:rsid w:val="00ED4169"/>
    <w:rsid w:val="00ED46A8"/>
    <w:rsid w:val="00ED49EF"/>
    <w:rsid w:val="00ED4DD6"/>
    <w:rsid w:val="00ED4F61"/>
    <w:rsid w:val="00ED5035"/>
    <w:rsid w:val="00ED5593"/>
    <w:rsid w:val="00ED59EB"/>
    <w:rsid w:val="00ED5FFE"/>
    <w:rsid w:val="00ED6853"/>
    <w:rsid w:val="00ED6A00"/>
    <w:rsid w:val="00ED6A66"/>
    <w:rsid w:val="00ED6C88"/>
    <w:rsid w:val="00ED6CE0"/>
    <w:rsid w:val="00ED6E90"/>
    <w:rsid w:val="00ED7393"/>
    <w:rsid w:val="00ED76BB"/>
    <w:rsid w:val="00ED7765"/>
    <w:rsid w:val="00ED7A22"/>
    <w:rsid w:val="00ED7D07"/>
    <w:rsid w:val="00ED7D9C"/>
    <w:rsid w:val="00ED7DAE"/>
    <w:rsid w:val="00EE02FF"/>
    <w:rsid w:val="00EE03B3"/>
    <w:rsid w:val="00EE0489"/>
    <w:rsid w:val="00EE069C"/>
    <w:rsid w:val="00EE0DE0"/>
    <w:rsid w:val="00EE0F82"/>
    <w:rsid w:val="00EE15B3"/>
    <w:rsid w:val="00EE1C78"/>
    <w:rsid w:val="00EE1DA4"/>
    <w:rsid w:val="00EE2034"/>
    <w:rsid w:val="00EE2139"/>
    <w:rsid w:val="00EE216A"/>
    <w:rsid w:val="00EE2B1F"/>
    <w:rsid w:val="00EE2E02"/>
    <w:rsid w:val="00EE35F4"/>
    <w:rsid w:val="00EE3750"/>
    <w:rsid w:val="00EE38D4"/>
    <w:rsid w:val="00EE3957"/>
    <w:rsid w:val="00EE4111"/>
    <w:rsid w:val="00EE4308"/>
    <w:rsid w:val="00EE4354"/>
    <w:rsid w:val="00EE469B"/>
    <w:rsid w:val="00EE56C7"/>
    <w:rsid w:val="00EE580F"/>
    <w:rsid w:val="00EE5EA9"/>
    <w:rsid w:val="00EE5F65"/>
    <w:rsid w:val="00EE6151"/>
    <w:rsid w:val="00EE66B0"/>
    <w:rsid w:val="00EE6857"/>
    <w:rsid w:val="00EE6A14"/>
    <w:rsid w:val="00EE6BE4"/>
    <w:rsid w:val="00EE6CED"/>
    <w:rsid w:val="00EE78BD"/>
    <w:rsid w:val="00EE7C38"/>
    <w:rsid w:val="00EE7DDE"/>
    <w:rsid w:val="00EE7EAE"/>
    <w:rsid w:val="00EF01E9"/>
    <w:rsid w:val="00EF020F"/>
    <w:rsid w:val="00EF0495"/>
    <w:rsid w:val="00EF0A51"/>
    <w:rsid w:val="00EF0BE3"/>
    <w:rsid w:val="00EF1862"/>
    <w:rsid w:val="00EF18C6"/>
    <w:rsid w:val="00EF18C7"/>
    <w:rsid w:val="00EF1B62"/>
    <w:rsid w:val="00EF1E12"/>
    <w:rsid w:val="00EF21D6"/>
    <w:rsid w:val="00EF2216"/>
    <w:rsid w:val="00EF227D"/>
    <w:rsid w:val="00EF28BB"/>
    <w:rsid w:val="00EF2F59"/>
    <w:rsid w:val="00EF307A"/>
    <w:rsid w:val="00EF3114"/>
    <w:rsid w:val="00EF31C0"/>
    <w:rsid w:val="00EF325D"/>
    <w:rsid w:val="00EF3729"/>
    <w:rsid w:val="00EF3786"/>
    <w:rsid w:val="00EF3874"/>
    <w:rsid w:val="00EF3891"/>
    <w:rsid w:val="00EF3A7B"/>
    <w:rsid w:val="00EF3D2B"/>
    <w:rsid w:val="00EF3E4D"/>
    <w:rsid w:val="00EF3FEF"/>
    <w:rsid w:val="00EF4330"/>
    <w:rsid w:val="00EF44EC"/>
    <w:rsid w:val="00EF4D06"/>
    <w:rsid w:val="00EF57A2"/>
    <w:rsid w:val="00EF588E"/>
    <w:rsid w:val="00EF58C0"/>
    <w:rsid w:val="00EF59EF"/>
    <w:rsid w:val="00EF5ADF"/>
    <w:rsid w:val="00EF5CCB"/>
    <w:rsid w:val="00EF5F53"/>
    <w:rsid w:val="00EF62EE"/>
    <w:rsid w:val="00EF6557"/>
    <w:rsid w:val="00EF66AA"/>
    <w:rsid w:val="00EF6BAE"/>
    <w:rsid w:val="00EF6C5D"/>
    <w:rsid w:val="00EF7230"/>
    <w:rsid w:val="00EF79BD"/>
    <w:rsid w:val="00EF7B15"/>
    <w:rsid w:val="00EF7C86"/>
    <w:rsid w:val="00EF7D6E"/>
    <w:rsid w:val="00F00125"/>
    <w:rsid w:val="00F003CD"/>
    <w:rsid w:val="00F00604"/>
    <w:rsid w:val="00F00EA3"/>
    <w:rsid w:val="00F00EB9"/>
    <w:rsid w:val="00F01064"/>
    <w:rsid w:val="00F01081"/>
    <w:rsid w:val="00F0134C"/>
    <w:rsid w:val="00F015FA"/>
    <w:rsid w:val="00F0161D"/>
    <w:rsid w:val="00F016E5"/>
    <w:rsid w:val="00F01A19"/>
    <w:rsid w:val="00F02986"/>
    <w:rsid w:val="00F02BC1"/>
    <w:rsid w:val="00F0311C"/>
    <w:rsid w:val="00F03549"/>
    <w:rsid w:val="00F03806"/>
    <w:rsid w:val="00F039AB"/>
    <w:rsid w:val="00F039D8"/>
    <w:rsid w:val="00F03A96"/>
    <w:rsid w:val="00F03D80"/>
    <w:rsid w:val="00F03E3D"/>
    <w:rsid w:val="00F042E3"/>
    <w:rsid w:val="00F04ADD"/>
    <w:rsid w:val="00F04CE2"/>
    <w:rsid w:val="00F0527E"/>
    <w:rsid w:val="00F05324"/>
    <w:rsid w:val="00F05A62"/>
    <w:rsid w:val="00F05EA1"/>
    <w:rsid w:val="00F06212"/>
    <w:rsid w:val="00F06345"/>
    <w:rsid w:val="00F0649E"/>
    <w:rsid w:val="00F06ABA"/>
    <w:rsid w:val="00F06BA4"/>
    <w:rsid w:val="00F06C0E"/>
    <w:rsid w:val="00F06CD6"/>
    <w:rsid w:val="00F06D14"/>
    <w:rsid w:val="00F07042"/>
    <w:rsid w:val="00F0714C"/>
    <w:rsid w:val="00F075D4"/>
    <w:rsid w:val="00F0768A"/>
    <w:rsid w:val="00F07916"/>
    <w:rsid w:val="00F1004E"/>
    <w:rsid w:val="00F100EF"/>
    <w:rsid w:val="00F10282"/>
    <w:rsid w:val="00F103BF"/>
    <w:rsid w:val="00F105C5"/>
    <w:rsid w:val="00F10685"/>
    <w:rsid w:val="00F10781"/>
    <w:rsid w:val="00F10A0F"/>
    <w:rsid w:val="00F10CC9"/>
    <w:rsid w:val="00F10D9D"/>
    <w:rsid w:val="00F10E59"/>
    <w:rsid w:val="00F10F79"/>
    <w:rsid w:val="00F110AD"/>
    <w:rsid w:val="00F113C1"/>
    <w:rsid w:val="00F113E8"/>
    <w:rsid w:val="00F115E4"/>
    <w:rsid w:val="00F11A43"/>
    <w:rsid w:val="00F11CBB"/>
    <w:rsid w:val="00F11D00"/>
    <w:rsid w:val="00F11F0B"/>
    <w:rsid w:val="00F120EC"/>
    <w:rsid w:val="00F124EC"/>
    <w:rsid w:val="00F12B8C"/>
    <w:rsid w:val="00F12E99"/>
    <w:rsid w:val="00F130DD"/>
    <w:rsid w:val="00F13252"/>
    <w:rsid w:val="00F14108"/>
    <w:rsid w:val="00F1478A"/>
    <w:rsid w:val="00F14AE1"/>
    <w:rsid w:val="00F14C7C"/>
    <w:rsid w:val="00F14C99"/>
    <w:rsid w:val="00F15142"/>
    <w:rsid w:val="00F1569D"/>
    <w:rsid w:val="00F15CEF"/>
    <w:rsid w:val="00F15DA8"/>
    <w:rsid w:val="00F16196"/>
    <w:rsid w:val="00F16834"/>
    <w:rsid w:val="00F16AA6"/>
    <w:rsid w:val="00F16CB0"/>
    <w:rsid w:val="00F16D32"/>
    <w:rsid w:val="00F16F02"/>
    <w:rsid w:val="00F17009"/>
    <w:rsid w:val="00F17583"/>
    <w:rsid w:val="00F1759F"/>
    <w:rsid w:val="00F177E9"/>
    <w:rsid w:val="00F17AF4"/>
    <w:rsid w:val="00F17E92"/>
    <w:rsid w:val="00F17F25"/>
    <w:rsid w:val="00F1DC8C"/>
    <w:rsid w:val="00F202C0"/>
    <w:rsid w:val="00F20439"/>
    <w:rsid w:val="00F20B1B"/>
    <w:rsid w:val="00F20BFA"/>
    <w:rsid w:val="00F21762"/>
    <w:rsid w:val="00F21A84"/>
    <w:rsid w:val="00F21DC3"/>
    <w:rsid w:val="00F21F7D"/>
    <w:rsid w:val="00F22BE9"/>
    <w:rsid w:val="00F233A4"/>
    <w:rsid w:val="00F234C0"/>
    <w:rsid w:val="00F23668"/>
    <w:rsid w:val="00F238BB"/>
    <w:rsid w:val="00F23A2E"/>
    <w:rsid w:val="00F23B76"/>
    <w:rsid w:val="00F23C89"/>
    <w:rsid w:val="00F24062"/>
    <w:rsid w:val="00F244F0"/>
    <w:rsid w:val="00F24658"/>
    <w:rsid w:val="00F248ED"/>
    <w:rsid w:val="00F249F8"/>
    <w:rsid w:val="00F24A89"/>
    <w:rsid w:val="00F24AD2"/>
    <w:rsid w:val="00F24C93"/>
    <w:rsid w:val="00F25203"/>
    <w:rsid w:val="00F25D2F"/>
    <w:rsid w:val="00F2612C"/>
    <w:rsid w:val="00F26238"/>
    <w:rsid w:val="00F2688C"/>
    <w:rsid w:val="00F26A62"/>
    <w:rsid w:val="00F26CF6"/>
    <w:rsid w:val="00F26EC9"/>
    <w:rsid w:val="00F26FED"/>
    <w:rsid w:val="00F271A3"/>
    <w:rsid w:val="00F2735B"/>
    <w:rsid w:val="00F27571"/>
    <w:rsid w:val="00F278CA"/>
    <w:rsid w:val="00F27A51"/>
    <w:rsid w:val="00F27C9F"/>
    <w:rsid w:val="00F27DA1"/>
    <w:rsid w:val="00F27E9E"/>
    <w:rsid w:val="00F30474"/>
    <w:rsid w:val="00F305D6"/>
    <w:rsid w:val="00F307C6"/>
    <w:rsid w:val="00F309AB"/>
    <w:rsid w:val="00F30A91"/>
    <w:rsid w:val="00F30C6D"/>
    <w:rsid w:val="00F3112C"/>
    <w:rsid w:val="00F312C7"/>
    <w:rsid w:val="00F319BF"/>
    <w:rsid w:val="00F31EA3"/>
    <w:rsid w:val="00F32735"/>
    <w:rsid w:val="00F32809"/>
    <w:rsid w:val="00F32ABF"/>
    <w:rsid w:val="00F32F05"/>
    <w:rsid w:val="00F332B2"/>
    <w:rsid w:val="00F3337D"/>
    <w:rsid w:val="00F33BD5"/>
    <w:rsid w:val="00F33C20"/>
    <w:rsid w:val="00F33F7F"/>
    <w:rsid w:val="00F34070"/>
    <w:rsid w:val="00F343B6"/>
    <w:rsid w:val="00F3453B"/>
    <w:rsid w:val="00F34656"/>
    <w:rsid w:val="00F34731"/>
    <w:rsid w:val="00F34BC4"/>
    <w:rsid w:val="00F34C40"/>
    <w:rsid w:val="00F34CFD"/>
    <w:rsid w:val="00F34FF5"/>
    <w:rsid w:val="00F35589"/>
    <w:rsid w:val="00F35B3B"/>
    <w:rsid w:val="00F360F6"/>
    <w:rsid w:val="00F361ED"/>
    <w:rsid w:val="00F36703"/>
    <w:rsid w:val="00F36BE7"/>
    <w:rsid w:val="00F36D4B"/>
    <w:rsid w:val="00F36DF1"/>
    <w:rsid w:val="00F3754E"/>
    <w:rsid w:val="00F375F3"/>
    <w:rsid w:val="00F37AEE"/>
    <w:rsid w:val="00F37CAD"/>
    <w:rsid w:val="00F37E31"/>
    <w:rsid w:val="00F37FE0"/>
    <w:rsid w:val="00F40228"/>
    <w:rsid w:val="00F4023B"/>
    <w:rsid w:val="00F4026B"/>
    <w:rsid w:val="00F407CB"/>
    <w:rsid w:val="00F4093B"/>
    <w:rsid w:val="00F413AF"/>
    <w:rsid w:val="00F41DD0"/>
    <w:rsid w:val="00F41E09"/>
    <w:rsid w:val="00F4200A"/>
    <w:rsid w:val="00F424A0"/>
    <w:rsid w:val="00F424D3"/>
    <w:rsid w:val="00F42F75"/>
    <w:rsid w:val="00F43241"/>
    <w:rsid w:val="00F43818"/>
    <w:rsid w:val="00F43D0A"/>
    <w:rsid w:val="00F43D6E"/>
    <w:rsid w:val="00F43EDC"/>
    <w:rsid w:val="00F43FDF"/>
    <w:rsid w:val="00F44113"/>
    <w:rsid w:val="00F442BA"/>
    <w:rsid w:val="00F44779"/>
    <w:rsid w:val="00F4478E"/>
    <w:rsid w:val="00F447CC"/>
    <w:rsid w:val="00F44A91"/>
    <w:rsid w:val="00F44C07"/>
    <w:rsid w:val="00F44E0D"/>
    <w:rsid w:val="00F44EE7"/>
    <w:rsid w:val="00F45026"/>
    <w:rsid w:val="00F45083"/>
    <w:rsid w:val="00F450C0"/>
    <w:rsid w:val="00F450E4"/>
    <w:rsid w:val="00F454A0"/>
    <w:rsid w:val="00F455ED"/>
    <w:rsid w:val="00F45687"/>
    <w:rsid w:val="00F45C07"/>
    <w:rsid w:val="00F45DA4"/>
    <w:rsid w:val="00F45F15"/>
    <w:rsid w:val="00F45F5F"/>
    <w:rsid w:val="00F46041"/>
    <w:rsid w:val="00F461FD"/>
    <w:rsid w:val="00F46348"/>
    <w:rsid w:val="00F46452"/>
    <w:rsid w:val="00F469A9"/>
    <w:rsid w:val="00F46A67"/>
    <w:rsid w:val="00F46F25"/>
    <w:rsid w:val="00F46F62"/>
    <w:rsid w:val="00F470B9"/>
    <w:rsid w:val="00F47769"/>
    <w:rsid w:val="00F47D0F"/>
    <w:rsid w:val="00F47E03"/>
    <w:rsid w:val="00F47E4F"/>
    <w:rsid w:val="00F50576"/>
    <w:rsid w:val="00F50B52"/>
    <w:rsid w:val="00F50D2F"/>
    <w:rsid w:val="00F50D7E"/>
    <w:rsid w:val="00F50EB9"/>
    <w:rsid w:val="00F51226"/>
    <w:rsid w:val="00F516D5"/>
    <w:rsid w:val="00F518A5"/>
    <w:rsid w:val="00F51EE6"/>
    <w:rsid w:val="00F520F5"/>
    <w:rsid w:val="00F52665"/>
    <w:rsid w:val="00F52910"/>
    <w:rsid w:val="00F529A3"/>
    <w:rsid w:val="00F529DC"/>
    <w:rsid w:val="00F52C2C"/>
    <w:rsid w:val="00F52F94"/>
    <w:rsid w:val="00F530A4"/>
    <w:rsid w:val="00F534A2"/>
    <w:rsid w:val="00F53843"/>
    <w:rsid w:val="00F5398E"/>
    <w:rsid w:val="00F5399B"/>
    <w:rsid w:val="00F539C2"/>
    <w:rsid w:val="00F53A37"/>
    <w:rsid w:val="00F53D16"/>
    <w:rsid w:val="00F544EA"/>
    <w:rsid w:val="00F5489D"/>
    <w:rsid w:val="00F54A0D"/>
    <w:rsid w:val="00F54A35"/>
    <w:rsid w:val="00F54D0C"/>
    <w:rsid w:val="00F54E51"/>
    <w:rsid w:val="00F550E6"/>
    <w:rsid w:val="00F551DB"/>
    <w:rsid w:val="00F551DD"/>
    <w:rsid w:val="00F5588D"/>
    <w:rsid w:val="00F558CB"/>
    <w:rsid w:val="00F5619A"/>
    <w:rsid w:val="00F5634D"/>
    <w:rsid w:val="00F56BDB"/>
    <w:rsid w:val="00F56D60"/>
    <w:rsid w:val="00F56D67"/>
    <w:rsid w:val="00F57330"/>
    <w:rsid w:val="00F5774D"/>
    <w:rsid w:val="00F57A09"/>
    <w:rsid w:val="00F57B8D"/>
    <w:rsid w:val="00F57B98"/>
    <w:rsid w:val="00F57C3D"/>
    <w:rsid w:val="00F57F30"/>
    <w:rsid w:val="00F600BB"/>
    <w:rsid w:val="00F60844"/>
    <w:rsid w:val="00F60A0E"/>
    <w:rsid w:val="00F60BA3"/>
    <w:rsid w:val="00F60CE4"/>
    <w:rsid w:val="00F611BA"/>
    <w:rsid w:val="00F61307"/>
    <w:rsid w:val="00F619C5"/>
    <w:rsid w:val="00F61A50"/>
    <w:rsid w:val="00F61E1F"/>
    <w:rsid w:val="00F61EDF"/>
    <w:rsid w:val="00F61FF5"/>
    <w:rsid w:val="00F62046"/>
    <w:rsid w:val="00F6217E"/>
    <w:rsid w:val="00F624E6"/>
    <w:rsid w:val="00F628FD"/>
    <w:rsid w:val="00F62998"/>
    <w:rsid w:val="00F62B32"/>
    <w:rsid w:val="00F6301E"/>
    <w:rsid w:val="00F6331D"/>
    <w:rsid w:val="00F636B2"/>
    <w:rsid w:val="00F638D4"/>
    <w:rsid w:val="00F63D2A"/>
    <w:rsid w:val="00F64071"/>
    <w:rsid w:val="00F640DE"/>
    <w:rsid w:val="00F641D0"/>
    <w:rsid w:val="00F64BED"/>
    <w:rsid w:val="00F64E0E"/>
    <w:rsid w:val="00F65101"/>
    <w:rsid w:val="00F6557A"/>
    <w:rsid w:val="00F65CBF"/>
    <w:rsid w:val="00F65DA0"/>
    <w:rsid w:val="00F65FBD"/>
    <w:rsid w:val="00F66225"/>
    <w:rsid w:val="00F66571"/>
    <w:rsid w:val="00F667C6"/>
    <w:rsid w:val="00F668D7"/>
    <w:rsid w:val="00F6693A"/>
    <w:rsid w:val="00F6697C"/>
    <w:rsid w:val="00F66B03"/>
    <w:rsid w:val="00F679E8"/>
    <w:rsid w:val="00F67A56"/>
    <w:rsid w:val="00F67BCE"/>
    <w:rsid w:val="00F70080"/>
    <w:rsid w:val="00F70717"/>
    <w:rsid w:val="00F70F16"/>
    <w:rsid w:val="00F712A6"/>
    <w:rsid w:val="00F712DA"/>
    <w:rsid w:val="00F71523"/>
    <w:rsid w:val="00F717C4"/>
    <w:rsid w:val="00F719E3"/>
    <w:rsid w:val="00F7231F"/>
    <w:rsid w:val="00F723BC"/>
    <w:rsid w:val="00F7248F"/>
    <w:rsid w:val="00F7249B"/>
    <w:rsid w:val="00F72680"/>
    <w:rsid w:val="00F72929"/>
    <w:rsid w:val="00F72ABA"/>
    <w:rsid w:val="00F72BB2"/>
    <w:rsid w:val="00F72C3A"/>
    <w:rsid w:val="00F72C90"/>
    <w:rsid w:val="00F733E0"/>
    <w:rsid w:val="00F73B9D"/>
    <w:rsid w:val="00F73DA9"/>
    <w:rsid w:val="00F73FFA"/>
    <w:rsid w:val="00F743EB"/>
    <w:rsid w:val="00F745A5"/>
    <w:rsid w:val="00F74A25"/>
    <w:rsid w:val="00F75019"/>
    <w:rsid w:val="00F7538A"/>
    <w:rsid w:val="00F75599"/>
    <w:rsid w:val="00F75B16"/>
    <w:rsid w:val="00F7637E"/>
    <w:rsid w:val="00F76D9C"/>
    <w:rsid w:val="00F772EB"/>
    <w:rsid w:val="00F776D4"/>
    <w:rsid w:val="00F77DBE"/>
    <w:rsid w:val="00F77FBC"/>
    <w:rsid w:val="00F800A7"/>
    <w:rsid w:val="00F8046F"/>
    <w:rsid w:val="00F8054A"/>
    <w:rsid w:val="00F808E7"/>
    <w:rsid w:val="00F80A6A"/>
    <w:rsid w:val="00F80CB5"/>
    <w:rsid w:val="00F80DAC"/>
    <w:rsid w:val="00F80EF7"/>
    <w:rsid w:val="00F8138C"/>
    <w:rsid w:val="00F813A8"/>
    <w:rsid w:val="00F813E8"/>
    <w:rsid w:val="00F81E77"/>
    <w:rsid w:val="00F8247B"/>
    <w:rsid w:val="00F82B74"/>
    <w:rsid w:val="00F82FD0"/>
    <w:rsid w:val="00F82FE7"/>
    <w:rsid w:val="00F83336"/>
    <w:rsid w:val="00F833D0"/>
    <w:rsid w:val="00F834AD"/>
    <w:rsid w:val="00F8373D"/>
    <w:rsid w:val="00F837AB"/>
    <w:rsid w:val="00F83EF4"/>
    <w:rsid w:val="00F846D6"/>
    <w:rsid w:val="00F84A7F"/>
    <w:rsid w:val="00F852F2"/>
    <w:rsid w:val="00F85558"/>
    <w:rsid w:val="00F855F6"/>
    <w:rsid w:val="00F8589A"/>
    <w:rsid w:val="00F85D4A"/>
    <w:rsid w:val="00F85F68"/>
    <w:rsid w:val="00F86803"/>
    <w:rsid w:val="00F86B0C"/>
    <w:rsid w:val="00F86C9D"/>
    <w:rsid w:val="00F86FF3"/>
    <w:rsid w:val="00F87AF0"/>
    <w:rsid w:val="00F87ED1"/>
    <w:rsid w:val="00F87F51"/>
    <w:rsid w:val="00F87F87"/>
    <w:rsid w:val="00F87FA4"/>
    <w:rsid w:val="00F90EF8"/>
    <w:rsid w:val="00F9143D"/>
    <w:rsid w:val="00F914C3"/>
    <w:rsid w:val="00F915E3"/>
    <w:rsid w:val="00F91626"/>
    <w:rsid w:val="00F9172F"/>
    <w:rsid w:val="00F917A9"/>
    <w:rsid w:val="00F91B23"/>
    <w:rsid w:val="00F91B7C"/>
    <w:rsid w:val="00F91EAD"/>
    <w:rsid w:val="00F91FA2"/>
    <w:rsid w:val="00F924ED"/>
    <w:rsid w:val="00F92861"/>
    <w:rsid w:val="00F92C5A"/>
    <w:rsid w:val="00F92C81"/>
    <w:rsid w:val="00F92CE2"/>
    <w:rsid w:val="00F931D8"/>
    <w:rsid w:val="00F93594"/>
    <w:rsid w:val="00F936DE"/>
    <w:rsid w:val="00F936F1"/>
    <w:rsid w:val="00F939C8"/>
    <w:rsid w:val="00F93A58"/>
    <w:rsid w:val="00F940C2"/>
    <w:rsid w:val="00F941C1"/>
    <w:rsid w:val="00F94214"/>
    <w:rsid w:val="00F94F20"/>
    <w:rsid w:val="00F952BD"/>
    <w:rsid w:val="00F954FF"/>
    <w:rsid w:val="00F959E2"/>
    <w:rsid w:val="00F95C82"/>
    <w:rsid w:val="00F95CDD"/>
    <w:rsid w:val="00F9644B"/>
    <w:rsid w:val="00F96714"/>
    <w:rsid w:val="00F96870"/>
    <w:rsid w:val="00F96A0B"/>
    <w:rsid w:val="00F96D32"/>
    <w:rsid w:val="00F97462"/>
    <w:rsid w:val="00F979B3"/>
    <w:rsid w:val="00F97F7E"/>
    <w:rsid w:val="00FA031A"/>
    <w:rsid w:val="00FA0351"/>
    <w:rsid w:val="00FA05BD"/>
    <w:rsid w:val="00FA06F0"/>
    <w:rsid w:val="00FA089A"/>
    <w:rsid w:val="00FA0AF0"/>
    <w:rsid w:val="00FA0C0F"/>
    <w:rsid w:val="00FA0CAE"/>
    <w:rsid w:val="00FA12D7"/>
    <w:rsid w:val="00FA132C"/>
    <w:rsid w:val="00FA155B"/>
    <w:rsid w:val="00FA17E4"/>
    <w:rsid w:val="00FA18F2"/>
    <w:rsid w:val="00FA1D28"/>
    <w:rsid w:val="00FA2220"/>
    <w:rsid w:val="00FA2339"/>
    <w:rsid w:val="00FA23E1"/>
    <w:rsid w:val="00FA2ABA"/>
    <w:rsid w:val="00FA2BA2"/>
    <w:rsid w:val="00FA2E46"/>
    <w:rsid w:val="00FA2E47"/>
    <w:rsid w:val="00FA2FA1"/>
    <w:rsid w:val="00FA34AB"/>
    <w:rsid w:val="00FA3CD3"/>
    <w:rsid w:val="00FA3FB2"/>
    <w:rsid w:val="00FA4826"/>
    <w:rsid w:val="00FA52B9"/>
    <w:rsid w:val="00FA5410"/>
    <w:rsid w:val="00FA5F0B"/>
    <w:rsid w:val="00FA602D"/>
    <w:rsid w:val="00FA6086"/>
    <w:rsid w:val="00FA6122"/>
    <w:rsid w:val="00FA619F"/>
    <w:rsid w:val="00FA6658"/>
    <w:rsid w:val="00FA6756"/>
    <w:rsid w:val="00FA6AD7"/>
    <w:rsid w:val="00FA6E6E"/>
    <w:rsid w:val="00FA708F"/>
    <w:rsid w:val="00FA715B"/>
    <w:rsid w:val="00FA778E"/>
    <w:rsid w:val="00FA78FC"/>
    <w:rsid w:val="00FA7D81"/>
    <w:rsid w:val="00FA7E76"/>
    <w:rsid w:val="00FB01EF"/>
    <w:rsid w:val="00FB0309"/>
    <w:rsid w:val="00FB03C3"/>
    <w:rsid w:val="00FB0437"/>
    <w:rsid w:val="00FB0448"/>
    <w:rsid w:val="00FB0719"/>
    <w:rsid w:val="00FB0A6F"/>
    <w:rsid w:val="00FB0C3C"/>
    <w:rsid w:val="00FB115B"/>
    <w:rsid w:val="00FB1305"/>
    <w:rsid w:val="00FB1530"/>
    <w:rsid w:val="00FB18CA"/>
    <w:rsid w:val="00FB1B7F"/>
    <w:rsid w:val="00FB1C71"/>
    <w:rsid w:val="00FB1D84"/>
    <w:rsid w:val="00FB1FC4"/>
    <w:rsid w:val="00FB1FD0"/>
    <w:rsid w:val="00FB20C6"/>
    <w:rsid w:val="00FB224F"/>
    <w:rsid w:val="00FB23CC"/>
    <w:rsid w:val="00FB2466"/>
    <w:rsid w:val="00FB24BB"/>
    <w:rsid w:val="00FB24BD"/>
    <w:rsid w:val="00FB26C3"/>
    <w:rsid w:val="00FB26C6"/>
    <w:rsid w:val="00FB27A1"/>
    <w:rsid w:val="00FB2D48"/>
    <w:rsid w:val="00FB3000"/>
    <w:rsid w:val="00FB318F"/>
    <w:rsid w:val="00FB33F2"/>
    <w:rsid w:val="00FB3755"/>
    <w:rsid w:val="00FB3820"/>
    <w:rsid w:val="00FB386C"/>
    <w:rsid w:val="00FB3874"/>
    <w:rsid w:val="00FB3BBC"/>
    <w:rsid w:val="00FB3DA4"/>
    <w:rsid w:val="00FB3DDC"/>
    <w:rsid w:val="00FB3E5B"/>
    <w:rsid w:val="00FB3EF8"/>
    <w:rsid w:val="00FB4087"/>
    <w:rsid w:val="00FB4423"/>
    <w:rsid w:val="00FB468E"/>
    <w:rsid w:val="00FB4880"/>
    <w:rsid w:val="00FB48AB"/>
    <w:rsid w:val="00FB53DC"/>
    <w:rsid w:val="00FB57A6"/>
    <w:rsid w:val="00FB5A88"/>
    <w:rsid w:val="00FB5A9E"/>
    <w:rsid w:val="00FB6260"/>
    <w:rsid w:val="00FB6396"/>
    <w:rsid w:val="00FB6652"/>
    <w:rsid w:val="00FB69D3"/>
    <w:rsid w:val="00FB6B6F"/>
    <w:rsid w:val="00FB70CD"/>
    <w:rsid w:val="00FB70DA"/>
    <w:rsid w:val="00FB7367"/>
    <w:rsid w:val="00FB7432"/>
    <w:rsid w:val="00FB7AEB"/>
    <w:rsid w:val="00FB7DC2"/>
    <w:rsid w:val="00FC029E"/>
    <w:rsid w:val="00FC0891"/>
    <w:rsid w:val="00FC0D28"/>
    <w:rsid w:val="00FC0DD6"/>
    <w:rsid w:val="00FC10B3"/>
    <w:rsid w:val="00FC16C4"/>
    <w:rsid w:val="00FC17EA"/>
    <w:rsid w:val="00FC19B8"/>
    <w:rsid w:val="00FC1A2E"/>
    <w:rsid w:val="00FC1E5E"/>
    <w:rsid w:val="00FC238E"/>
    <w:rsid w:val="00FC25CE"/>
    <w:rsid w:val="00FC2905"/>
    <w:rsid w:val="00FC29A3"/>
    <w:rsid w:val="00FC2EB0"/>
    <w:rsid w:val="00FC2F49"/>
    <w:rsid w:val="00FC314E"/>
    <w:rsid w:val="00FC3446"/>
    <w:rsid w:val="00FC37AC"/>
    <w:rsid w:val="00FC3DFB"/>
    <w:rsid w:val="00FC3F42"/>
    <w:rsid w:val="00FC424B"/>
    <w:rsid w:val="00FC4488"/>
    <w:rsid w:val="00FC44C0"/>
    <w:rsid w:val="00FC454A"/>
    <w:rsid w:val="00FC4BA7"/>
    <w:rsid w:val="00FC4FFC"/>
    <w:rsid w:val="00FC512A"/>
    <w:rsid w:val="00FC55F8"/>
    <w:rsid w:val="00FC5724"/>
    <w:rsid w:val="00FC57DA"/>
    <w:rsid w:val="00FC5C14"/>
    <w:rsid w:val="00FC5F55"/>
    <w:rsid w:val="00FC6063"/>
    <w:rsid w:val="00FC6358"/>
    <w:rsid w:val="00FC651A"/>
    <w:rsid w:val="00FC668C"/>
    <w:rsid w:val="00FC68A5"/>
    <w:rsid w:val="00FC6C93"/>
    <w:rsid w:val="00FC70FD"/>
    <w:rsid w:val="00FC739C"/>
    <w:rsid w:val="00FC76BA"/>
    <w:rsid w:val="00FC7C31"/>
    <w:rsid w:val="00FD016A"/>
    <w:rsid w:val="00FD047F"/>
    <w:rsid w:val="00FD08FD"/>
    <w:rsid w:val="00FD0DB1"/>
    <w:rsid w:val="00FD0ECD"/>
    <w:rsid w:val="00FD0FE3"/>
    <w:rsid w:val="00FD1033"/>
    <w:rsid w:val="00FD1193"/>
    <w:rsid w:val="00FD12D2"/>
    <w:rsid w:val="00FD14C8"/>
    <w:rsid w:val="00FD15FF"/>
    <w:rsid w:val="00FD17CF"/>
    <w:rsid w:val="00FD1B86"/>
    <w:rsid w:val="00FD1C5E"/>
    <w:rsid w:val="00FD1F7C"/>
    <w:rsid w:val="00FD22C6"/>
    <w:rsid w:val="00FD2398"/>
    <w:rsid w:val="00FD2613"/>
    <w:rsid w:val="00FD26E1"/>
    <w:rsid w:val="00FD2707"/>
    <w:rsid w:val="00FD27EE"/>
    <w:rsid w:val="00FD37AF"/>
    <w:rsid w:val="00FD3C96"/>
    <w:rsid w:val="00FD4380"/>
    <w:rsid w:val="00FD4C14"/>
    <w:rsid w:val="00FD529D"/>
    <w:rsid w:val="00FD55DC"/>
    <w:rsid w:val="00FD571A"/>
    <w:rsid w:val="00FD595D"/>
    <w:rsid w:val="00FD598B"/>
    <w:rsid w:val="00FD5A4A"/>
    <w:rsid w:val="00FD5B4C"/>
    <w:rsid w:val="00FD5C97"/>
    <w:rsid w:val="00FD5CD8"/>
    <w:rsid w:val="00FD5E12"/>
    <w:rsid w:val="00FD6125"/>
    <w:rsid w:val="00FD6637"/>
    <w:rsid w:val="00FD6700"/>
    <w:rsid w:val="00FD6842"/>
    <w:rsid w:val="00FD6B7D"/>
    <w:rsid w:val="00FD70A1"/>
    <w:rsid w:val="00FD7289"/>
    <w:rsid w:val="00FD74D7"/>
    <w:rsid w:val="00FD74E6"/>
    <w:rsid w:val="00FD7C20"/>
    <w:rsid w:val="00FD7C56"/>
    <w:rsid w:val="00FD7C67"/>
    <w:rsid w:val="00FD7F1E"/>
    <w:rsid w:val="00FE019B"/>
    <w:rsid w:val="00FE0D30"/>
    <w:rsid w:val="00FE1850"/>
    <w:rsid w:val="00FE1F92"/>
    <w:rsid w:val="00FE2226"/>
    <w:rsid w:val="00FE2243"/>
    <w:rsid w:val="00FE2362"/>
    <w:rsid w:val="00FE2686"/>
    <w:rsid w:val="00FE28F6"/>
    <w:rsid w:val="00FE2EFC"/>
    <w:rsid w:val="00FE342D"/>
    <w:rsid w:val="00FE34E7"/>
    <w:rsid w:val="00FE3662"/>
    <w:rsid w:val="00FE39CE"/>
    <w:rsid w:val="00FE3C3B"/>
    <w:rsid w:val="00FE3E67"/>
    <w:rsid w:val="00FE41B7"/>
    <w:rsid w:val="00FE42E8"/>
    <w:rsid w:val="00FE4414"/>
    <w:rsid w:val="00FE45E1"/>
    <w:rsid w:val="00FE46F2"/>
    <w:rsid w:val="00FE4A68"/>
    <w:rsid w:val="00FE5398"/>
    <w:rsid w:val="00FE55E3"/>
    <w:rsid w:val="00FE562F"/>
    <w:rsid w:val="00FE57C7"/>
    <w:rsid w:val="00FE581C"/>
    <w:rsid w:val="00FE5B64"/>
    <w:rsid w:val="00FE5E7D"/>
    <w:rsid w:val="00FE5FF5"/>
    <w:rsid w:val="00FE6034"/>
    <w:rsid w:val="00FE67EC"/>
    <w:rsid w:val="00FE7554"/>
    <w:rsid w:val="00FE75D8"/>
    <w:rsid w:val="00FE7862"/>
    <w:rsid w:val="00FE7995"/>
    <w:rsid w:val="00FE7D58"/>
    <w:rsid w:val="00FE7F6C"/>
    <w:rsid w:val="00FF0A74"/>
    <w:rsid w:val="00FF0B56"/>
    <w:rsid w:val="00FF0DD2"/>
    <w:rsid w:val="00FF1619"/>
    <w:rsid w:val="00FF164B"/>
    <w:rsid w:val="00FF192D"/>
    <w:rsid w:val="00FF231B"/>
    <w:rsid w:val="00FF2CA7"/>
    <w:rsid w:val="00FF2D34"/>
    <w:rsid w:val="00FF2F72"/>
    <w:rsid w:val="00FF30E6"/>
    <w:rsid w:val="00FF315D"/>
    <w:rsid w:val="00FF3307"/>
    <w:rsid w:val="00FF3A0A"/>
    <w:rsid w:val="00FF3BDD"/>
    <w:rsid w:val="00FF3D76"/>
    <w:rsid w:val="00FF3E20"/>
    <w:rsid w:val="00FF3ECF"/>
    <w:rsid w:val="00FF401A"/>
    <w:rsid w:val="00FF4073"/>
    <w:rsid w:val="00FF4190"/>
    <w:rsid w:val="00FF44CD"/>
    <w:rsid w:val="00FF44E3"/>
    <w:rsid w:val="00FF46FE"/>
    <w:rsid w:val="00FF4856"/>
    <w:rsid w:val="00FF4AF5"/>
    <w:rsid w:val="00FF4CB5"/>
    <w:rsid w:val="00FF4D9B"/>
    <w:rsid w:val="00FF502C"/>
    <w:rsid w:val="00FF5084"/>
    <w:rsid w:val="00FF56AC"/>
    <w:rsid w:val="00FF5750"/>
    <w:rsid w:val="00FF57CE"/>
    <w:rsid w:val="00FF5AE3"/>
    <w:rsid w:val="00FF5ED4"/>
    <w:rsid w:val="00FF5F23"/>
    <w:rsid w:val="00FF5FD0"/>
    <w:rsid w:val="00FF6044"/>
    <w:rsid w:val="00FF6231"/>
    <w:rsid w:val="00FF687D"/>
    <w:rsid w:val="00FF6B6B"/>
    <w:rsid w:val="00FF6CC7"/>
    <w:rsid w:val="00FF6D45"/>
    <w:rsid w:val="00FF6DCF"/>
    <w:rsid w:val="00FF6E92"/>
    <w:rsid w:val="00FF706B"/>
    <w:rsid w:val="00FF7108"/>
    <w:rsid w:val="00FF7154"/>
    <w:rsid w:val="00FF7279"/>
    <w:rsid w:val="00FF7680"/>
    <w:rsid w:val="00FF7EBC"/>
    <w:rsid w:val="00FF7FCC"/>
    <w:rsid w:val="01008195"/>
    <w:rsid w:val="010542B0"/>
    <w:rsid w:val="010B63F5"/>
    <w:rsid w:val="010FC619"/>
    <w:rsid w:val="013DBE1C"/>
    <w:rsid w:val="0142B029"/>
    <w:rsid w:val="014FBE82"/>
    <w:rsid w:val="01519475"/>
    <w:rsid w:val="0167D226"/>
    <w:rsid w:val="016B39A0"/>
    <w:rsid w:val="0170688E"/>
    <w:rsid w:val="01815496"/>
    <w:rsid w:val="018B5F22"/>
    <w:rsid w:val="019ECF92"/>
    <w:rsid w:val="01AAC367"/>
    <w:rsid w:val="01B1D875"/>
    <w:rsid w:val="01B3B294"/>
    <w:rsid w:val="01C24A96"/>
    <w:rsid w:val="01DD4E87"/>
    <w:rsid w:val="0218CECC"/>
    <w:rsid w:val="0233EF6A"/>
    <w:rsid w:val="02503820"/>
    <w:rsid w:val="025E5402"/>
    <w:rsid w:val="02A2D6A6"/>
    <w:rsid w:val="02DC1285"/>
    <w:rsid w:val="02E631B8"/>
    <w:rsid w:val="02E73B65"/>
    <w:rsid w:val="0301AB37"/>
    <w:rsid w:val="03052978"/>
    <w:rsid w:val="030B8BF1"/>
    <w:rsid w:val="0324B95A"/>
    <w:rsid w:val="0330A17A"/>
    <w:rsid w:val="033AD7CE"/>
    <w:rsid w:val="03421078"/>
    <w:rsid w:val="036883C1"/>
    <w:rsid w:val="0379C066"/>
    <w:rsid w:val="037B91E9"/>
    <w:rsid w:val="03891BED"/>
    <w:rsid w:val="03BD7868"/>
    <w:rsid w:val="03BEDFCC"/>
    <w:rsid w:val="03C0CC9B"/>
    <w:rsid w:val="03E9F603"/>
    <w:rsid w:val="03EE339C"/>
    <w:rsid w:val="03F8B788"/>
    <w:rsid w:val="03F95658"/>
    <w:rsid w:val="03FFCAFE"/>
    <w:rsid w:val="04277F4B"/>
    <w:rsid w:val="04281813"/>
    <w:rsid w:val="042D136E"/>
    <w:rsid w:val="0432AC0F"/>
    <w:rsid w:val="04367570"/>
    <w:rsid w:val="0436CA39"/>
    <w:rsid w:val="044F6E94"/>
    <w:rsid w:val="04523868"/>
    <w:rsid w:val="04559919"/>
    <w:rsid w:val="045DD0F3"/>
    <w:rsid w:val="04721594"/>
    <w:rsid w:val="047F195C"/>
    <w:rsid w:val="0494A1C0"/>
    <w:rsid w:val="04AFE814"/>
    <w:rsid w:val="04DAA44B"/>
    <w:rsid w:val="04F98845"/>
    <w:rsid w:val="052E8D58"/>
    <w:rsid w:val="0570D8B1"/>
    <w:rsid w:val="05724EEC"/>
    <w:rsid w:val="057EC10B"/>
    <w:rsid w:val="05956E9D"/>
    <w:rsid w:val="05CF5D11"/>
    <w:rsid w:val="05D9A5ED"/>
    <w:rsid w:val="05DD9ABE"/>
    <w:rsid w:val="05E52A0A"/>
    <w:rsid w:val="05E8D60F"/>
    <w:rsid w:val="05FA82A9"/>
    <w:rsid w:val="06007127"/>
    <w:rsid w:val="0631D6CB"/>
    <w:rsid w:val="065E853A"/>
    <w:rsid w:val="065F60D1"/>
    <w:rsid w:val="06693C00"/>
    <w:rsid w:val="0699B83D"/>
    <w:rsid w:val="069E9E09"/>
    <w:rsid w:val="06AB14A9"/>
    <w:rsid w:val="06B56C07"/>
    <w:rsid w:val="06C3762F"/>
    <w:rsid w:val="06E27E2D"/>
    <w:rsid w:val="070C2FEB"/>
    <w:rsid w:val="07174059"/>
    <w:rsid w:val="071D4555"/>
    <w:rsid w:val="07219991"/>
    <w:rsid w:val="073E34F7"/>
    <w:rsid w:val="07456CBE"/>
    <w:rsid w:val="0748F313"/>
    <w:rsid w:val="074B82FA"/>
    <w:rsid w:val="0752C4B8"/>
    <w:rsid w:val="0759A962"/>
    <w:rsid w:val="07944674"/>
    <w:rsid w:val="07B74FA9"/>
    <w:rsid w:val="07CA0B7D"/>
    <w:rsid w:val="07D3B719"/>
    <w:rsid w:val="07F107F9"/>
    <w:rsid w:val="07F732C3"/>
    <w:rsid w:val="0805F207"/>
    <w:rsid w:val="081708F2"/>
    <w:rsid w:val="0820CFA9"/>
    <w:rsid w:val="08251C31"/>
    <w:rsid w:val="0838AF43"/>
    <w:rsid w:val="086DD7FD"/>
    <w:rsid w:val="08751F93"/>
    <w:rsid w:val="08752BF8"/>
    <w:rsid w:val="087F4A63"/>
    <w:rsid w:val="088B5C80"/>
    <w:rsid w:val="08BC50CB"/>
    <w:rsid w:val="08C41E2C"/>
    <w:rsid w:val="08D910E9"/>
    <w:rsid w:val="08DB248F"/>
    <w:rsid w:val="08F8373A"/>
    <w:rsid w:val="09209237"/>
    <w:rsid w:val="09271203"/>
    <w:rsid w:val="09AA9101"/>
    <w:rsid w:val="09B60A17"/>
    <w:rsid w:val="09CE8525"/>
    <w:rsid w:val="09E09C34"/>
    <w:rsid w:val="09ED69D0"/>
    <w:rsid w:val="09F642DB"/>
    <w:rsid w:val="0A05FA3A"/>
    <w:rsid w:val="0A2F7B9B"/>
    <w:rsid w:val="0A5B190E"/>
    <w:rsid w:val="0A642497"/>
    <w:rsid w:val="0A9BA0F9"/>
    <w:rsid w:val="0A9DF9A6"/>
    <w:rsid w:val="0AA57BE9"/>
    <w:rsid w:val="0AA7A054"/>
    <w:rsid w:val="0AD01C68"/>
    <w:rsid w:val="0ADB4F92"/>
    <w:rsid w:val="0B23B972"/>
    <w:rsid w:val="0B2BB63B"/>
    <w:rsid w:val="0B4D32E1"/>
    <w:rsid w:val="0B5DF160"/>
    <w:rsid w:val="0B5F75F4"/>
    <w:rsid w:val="0B69039A"/>
    <w:rsid w:val="0B6ADE58"/>
    <w:rsid w:val="0BAF1197"/>
    <w:rsid w:val="0BC4C7BB"/>
    <w:rsid w:val="0BC52C33"/>
    <w:rsid w:val="0BC53D1F"/>
    <w:rsid w:val="0BCC0FBE"/>
    <w:rsid w:val="0BD8B16E"/>
    <w:rsid w:val="0BDB13F1"/>
    <w:rsid w:val="0BE359D7"/>
    <w:rsid w:val="0BEFB6D0"/>
    <w:rsid w:val="0C0F0423"/>
    <w:rsid w:val="0C3BD24F"/>
    <w:rsid w:val="0C4DF251"/>
    <w:rsid w:val="0C64FC9A"/>
    <w:rsid w:val="0C6E5784"/>
    <w:rsid w:val="0C805508"/>
    <w:rsid w:val="0CB97396"/>
    <w:rsid w:val="0CF4F60C"/>
    <w:rsid w:val="0CF7F604"/>
    <w:rsid w:val="0D1C64A2"/>
    <w:rsid w:val="0D498BDB"/>
    <w:rsid w:val="0D781A49"/>
    <w:rsid w:val="0D807A9A"/>
    <w:rsid w:val="0D9DA86D"/>
    <w:rsid w:val="0DBFFB9A"/>
    <w:rsid w:val="0DCAD51C"/>
    <w:rsid w:val="0DE232EE"/>
    <w:rsid w:val="0E158C57"/>
    <w:rsid w:val="0E4534A1"/>
    <w:rsid w:val="0E53AD6D"/>
    <w:rsid w:val="0E5AB833"/>
    <w:rsid w:val="0E95E0B6"/>
    <w:rsid w:val="0E9C953E"/>
    <w:rsid w:val="0EB8FC02"/>
    <w:rsid w:val="0EB962CC"/>
    <w:rsid w:val="0ECB04FA"/>
    <w:rsid w:val="0EF1547E"/>
    <w:rsid w:val="0F004D5A"/>
    <w:rsid w:val="0F029165"/>
    <w:rsid w:val="0F08C824"/>
    <w:rsid w:val="0F1B5F35"/>
    <w:rsid w:val="0F25C636"/>
    <w:rsid w:val="0F3F3A29"/>
    <w:rsid w:val="0F53FAD0"/>
    <w:rsid w:val="0F913A9F"/>
    <w:rsid w:val="0F94A33A"/>
    <w:rsid w:val="0FA16719"/>
    <w:rsid w:val="0FCE0A48"/>
    <w:rsid w:val="0FEE4BD1"/>
    <w:rsid w:val="1005DAB7"/>
    <w:rsid w:val="1012C043"/>
    <w:rsid w:val="1019F2B9"/>
    <w:rsid w:val="102A8496"/>
    <w:rsid w:val="102DE73C"/>
    <w:rsid w:val="10368CE1"/>
    <w:rsid w:val="1053B692"/>
    <w:rsid w:val="107F4C17"/>
    <w:rsid w:val="10838AA2"/>
    <w:rsid w:val="10854B26"/>
    <w:rsid w:val="10BC65E9"/>
    <w:rsid w:val="10C09321"/>
    <w:rsid w:val="10EA932D"/>
    <w:rsid w:val="10F4E7DF"/>
    <w:rsid w:val="11285242"/>
    <w:rsid w:val="1138074B"/>
    <w:rsid w:val="1150ACAE"/>
    <w:rsid w:val="115FBD7A"/>
    <w:rsid w:val="1165719C"/>
    <w:rsid w:val="116D87CE"/>
    <w:rsid w:val="116F1AA7"/>
    <w:rsid w:val="117219D8"/>
    <w:rsid w:val="1189188B"/>
    <w:rsid w:val="11988993"/>
    <w:rsid w:val="119A758D"/>
    <w:rsid w:val="11B6F203"/>
    <w:rsid w:val="11BD5694"/>
    <w:rsid w:val="11E082AC"/>
    <w:rsid w:val="126C4E91"/>
    <w:rsid w:val="129F7D36"/>
    <w:rsid w:val="12E2A9D1"/>
    <w:rsid w:val="12E6C109"/>
    <w:rsid w:val="12E7DCBB"/>
    <w:rsid w:val="13445D03"/>
    <w:rsid w:val="135CF630"/>
    <w:rsid w:val="137AACE1"/>
    <w:rsid w:val="13936D1D"/>
    <w:rsid w:val="13C3057A"/>
    <w:rsid w:val="13E823F3"/>
    <w:rsid w:val="14079A60"/>
    <w:rsid w:val="140BE1A3"/>
    <w:rsid w:val="141E4443"/>
    <w:rsid w:val="14303410"/>
    <w:rsid w:val="14341604"/>
    <w:rsid w:val="1439A9B2"/>
    <w:rsid w:val="144733D4"/>
    <w:rsid w:val="14475F5A"/>
    <w:rsid w:val="14483753"/>
    <w:rsid w:val="144DB4F8"/>
    <w:rsid w:val="144DCF81"/>
    <w:rsid w:val="1453CBF6"/>
    <w:rsid w:val="1463E7EE"/>
    <w:rsid w:val="146C7F07"/>
    <w:rsid w:val="147A420D"/>
    <w:rsid w:val="147C37F6"/>
    <w:rsid w:val="147CF24F"/>
    <w:rsid w:val="14890C7A"/>
    <w:rsid w:val="149668F5"/>
    <w:rsid w:val="14BE282D"/>
    <w:rsid w:val="14C23D4A"/>
    <w:rsid w:val="14C34B09"/>
    <w:rsid w:val="14CBF396"/>
    <w:rsid w:val="14D5E565"/>
    <w:rsid w:val="14ED9E3B"/>
    <w:rsid w:val="14F2EE80"/>
    <w:rsid w:val="15014277"/>
    <w:rsid w:val="151921E9"/>
    <w:rsid w:val="1539D093"/>
    <w:rsid w:val="1542AD4E"/>
    <w:rsid w:val="154E254E"/>
    <w:rsid w:val="155E2EA9"/>
    <w:rsid w:val="15804EFE"/>
    <w:rsid w:val="158B80B4"/>
    <w:rsid w:val="15AE776A"/>
    <w:rsid w:val="15AFB024"/>
    <w:rsid w:val="15B3E046"/>
    <w:rsid w:val="15C67D35"/>
    <w:rsid w:val="15CAD8AD"/>
    <w:rsid w:val="15DC3A42"/>
    <w:rsid w:val="15EFB2CF"/>
    <w:rsid w:val="160BF95C"/>
    <w:rsid w:val="16318A5F"/>
    <w:rsid w:val="164F77D1"/>
    <w:rsid w:val="16539EF2"/>
    <w:rsid w:val="168A239E"/>
    <w:rsid w:val="169524A9"/>
    <w:rsid w:val="16B1DB26"/>
    <w:rsid w:val="16D5500A"/>
    <w:rsid w:val="16EC7EEA"/>
    <w:rsid w:val="16F05079"/>
    <w:rsid w:val="16F0D0AD"/>
    <w:rsid w:val="16FFF651"/>
    <w:rsid w:val="1711E8A1"/>
    <w:rsid w:val="171916EB"/>
    <w:rsid w:val="17454794"/>
    <w:rsid w:val="17896816"/>
    <w:rsid w:val="1794E80D"/>
    <w:rsid w:val="179F49A5"/>
    <w:rsid w:val="17D0AC32"/>
    <w:rsid w:val="17D4DC81"/>
    <w:rsid w:val="17ECB165"/>
    <w:rsid w:val="17ECF25D"/>
    <w:rsid w:val="185D36CD"/>
    <w:rsid w:val="18922B59"/>
    <w:rsid w:val="189CCB12"/>
    <w:rsid w:val="18D97907"/>
    <w:rsid w:val="18ECFEB2"/>
    <w:rsid w:val="18EF047E"/>
    <w:rsid w:val="19371F70"/>
    <w:rsid w:val="1962CA6D"/>
    <w:rsid w:val="19638F27"/>
    <w:rsid w:val="1991EBE9"/>
    <w:rsid w:val="199A4FFC"/>
    <w:rsid w:val="199F3F7F"/>
    <w:rsid w:val="19ADBD32"/>
    <w:rsid w:val="19B06A70"/>
    <w:rsid w:val="1A06FEBD"/>
    <w:rsid w:val="1A089744"/>
    <w:rsid w:val="1A1C5DF3"/>
    <w:rsid w:val="1A256A21"/>
    <w:rsid w:val="1A301427"/>
    <w:rsid w:val="1A59F1CB"/>
    <w:rsid w:val="1A62636C"/>
    <w:rsid w:val="1A712609"/>
    <w:rsid w:val="1A7427B0"/>
    <w:rsid w:val="1AB3918A"/>
    <w:rsid w:val="1ABCB2E4"/>
    <w:rsid w:val="1AD1DC4A"/>
    <w:rsid w:val="1B04C22E"/>
    <w:rsid w:val="1B1199D9"/>
    <w:rsid w:val="1B54C3F3"/>
    <w:rsid w:val="1B6DA2CC"/>
    <w:rsid w:val="1B90F964"/>
    <w:rsid w:val="1B9BE159"/>
    <w:rsid w:val="1BAA0F69"/>
    <w:rsid w:val="1C201484"/>
    <w:rsid w:val="1C33B57C"/>
    <w:rsid w:val="1C40FE26"/>
    <w:rsid w:val="1C4FF700"/>
    <w:rsid w:val="1C5E2439"/>
    <w:rsid w:val="1C633534"/>
    <w:rsid w:val="1C6426CE"/>
    <w:rsid w:val="1CC7F2D6"/>
    <w:rsid w:val="1CC92416"/>
    <w:rsid w:val="1D28704C"/>
    <w:rsid w:val="1D3F9063"/>
    <w:rsid w:val="1D50236A"/>
    <w:rsid w:val="1D921BEC"/>
    <w:rsid w:val="1DB46340"/>
    <w:rsid w:val="1DF82393"/>
    <w:rsid w:val="1E11849C"/>
    <w:rsid w:val="1E3A2690"/>
    <w:rsid w:val="1E3AF210"/>
    <w:rsid w:val="1E42D0DE"/>
    <w:rsid w:val="1E6BA6E9"/>
    <w:rsid w:val="1E6E07AC"/>
    <w:rsid w:val="1E830FB1"/>
    <w:rsid w:val="1E8347E7"/>
    <w:rsid w:val="1EA11ADE"/>
    <w:rsid w:val="1EAA5255"/>
    <w:rsid w:val="1EADDCB6"/>
    <w:rsid w:val="1EE6A382"/>
    <w:rsid w:val="1F2102EE"/>
    <w:rsid w:val="1F2A3CB2"/>
    <w:rsid w:val="1F2B7896"/>
    <w:rsid w:val="1F3CE891"/>
    <w:rsid w:val="1F426168"/>
    <w:rsid w:val="1F4F2E7B"/>
    <w:rsid w:val="1F64FA74"/>
    <w:rsid w:val="1F6A4AF5"/>
    <w:rsid w:val="1F75A708"/>
    <w:rsid w:val="1FD4B639"/>
    <w:rsid w:val="1FFAEEDC"/>
    <w:rsid w:val="200CD9B4"/>
    <w:rsid w:val="2012648E"/>
    <w:rsid w:val="2013CA93"/>
    <w:rsid w:val="2025DF67"/>
    <w:rsid w:val="202B47C8"/>
    <w:rsid w:val="20581326"/>
    <w:rsid w:val="2069FA95"/>
    <w:rsid w:val="206ED8C9"/>
    <w:rsid w:val="2091DB3A"/>
    <w:rsid w:val="209C07F2"/>
    <w:rsid w:val="20A8E05C"/>
    <w:rsid w:val="20A9BE82"/>
    <w:rsid w:val="20F30B8F"/>
    <w:rsid w:val="213AA3CC"/>
    <w:rsid w:val="21602436"/>
    <w:rsid w:val="218C232C"/>
    <w:rsid w:val="21A225F4"/>
    <w:rsid w:val="21AF8C01"/>
    <w:rsid w:val="21DE2F04"/>
    <w:rsid w:val="21E80D5C"/>
    <w:rsid w:val="21F92F84"/>
    <w:rsid w:val="2215E2A9"/>
    <w:rsid w:val="2256F845"/>
    <w:rsid w:val="22718FD7"/>
    <w:rsid w:val="227C4AD9"/>
    <w:rsid w:val="229E9B23"/>
    <w:rsid w:val="22ACF078"/>
    <w:rsid w:val="22B6DBFF"/>
    <w:rsid w:val="22CD1680"/>
    <w:rsid w:val="22CECBE3"/>
    <w:rsid w:val="22DCC32A"/>
    <w:rsid w:val="22EDDDCC"/>
    <w:rsid w:val="22F70C2B"/>
    <w:rsid w:val="2309BC1A"/>
    <w:rsid w:val="2325ECB3"/>
    <w:rsid w:val="23317E18"/>
    <w:rsid w:val="234BF775"/>
    <w:rsid w:val="236627C1"/>
    <w:rsid w:val="237895F6"/>
    <w:rsid w:val="237AAC81"/>
    <w:rsid w:val="23807045"/>
    <w:rsid w:val="2384B94D"/>
    <w:rsid w:val="23B4B046"/>
    <w:rsid w:val="23C0AC4B"/>
    <w:rsid w:val="23CA3D0E"/>
    <w:rsid w:val="23D53BF3"/>
    <w:rsid w:val="23FE7A14"/>
    <w:rsid w:val="24210A4B"/>
    <w:rsid w:val="2424EE96"/>
    <w:rsid w:val="242DA314"/>
    <w:rsid w:val="2430F3D3"/>
    <w:rsid w:val="243CFCE1"/>
    <w:rsid w:val="24423E20"/>
    <w:rsid w:val="24715093"/>
    <w:rsid w:val="24726302"/>
    <w:rsid w:val="247631ED"/>
    <w:rsid w:val="24ADB2E1"/>
    <w:rsid w:val="251A23B3"/>
    <w:rsid w:val="255B111C"/>
    <w:rsid w:val="257C91BB"/>
    <w:rsid w:val="257F1807"/>
    <w:rsid w:val="25AE2B50"/>
    <w:rsid w:val="25D6014C"/>
    <w:rsid w:val="25E3638C"/>
    <w:rsid w:val="260FE774"/>
    <w:rsid w:val="261699D7"/>
    <w:rsid w:val="262CA85E"/>
    <w:rsid w:val="263970FA"/>
    <w:rsid w:val="2659B363"/>
    <w:rsid w:val="26A011C3"/>
    <w:rsid w:val="26B8B73A"/>
    <w:rsid w:val="26BDE263"/>
    <w:rsid w:val="26C157CA"/>
    <w:rsid w:val="26C2C54E"/>
    <w:rsid w:val="26D06302"/>
    <w:rsid w:val="26F3E3F8"/>
    <w:rsid w:val="2704EC3D"/>
    <w:rsid w:val="27112033"/>
    <w:rsid w:val="27185941"/>
    <w:rsid w:val="273D1D85"/>
    <w:rsid w:val="27446B42"/>
    <w:rsid w:val="274C1F20"/>
    <w:rsid w:val="276D200C"/>
    <w:rsid w:val="277885C9"/>
    <w:rsid w:val="277A1679"/>
    <w:rsid w:val="27801018"/>
    <w:rsid w:val="27A69BBE"/>
    <w:rsid w:val="27D06EAB"/>
    <w:rsid w:val="27F1CDCD"/>
    <w:rsid w:val="28047FD6"/>
    <w:rsid w:val="280F53DA"/>
    <w:rsid w:val="282540D8"/>
    <w:rsid w:val="282912A9"/>
    <w:rsid w:val="282FA935"/>
    <w:rsid w:val="28311B55"/>
    <w:rsid w:val="283F7FFE"/>
    <w:rsid w:val="285146D2"/>
    <w:rsid w:val="2853841E"/>
    <w:rsid w:val="28A51562"/>
    <w:rsid w:val="28F21A5D"/>
    <w:rsid w:val="28F69ECC"/>
    <w:rsid w:val="28F99B33"/>
    <w:rsid w:val="28FC9799"/>
    <w:rsid w:val="290DA2A6"/>
    <w:rsid w:val="294A58B6"/>
    <w:rsid w:val="297E9957"/>
    <w:rsid w:val="29B6C0B4"/>
    <w:rsid w:val="29DB4A4E"/>
    <w:rsid w:val="29DF8663"/>
    <w:rsid w:val="29EACF4D"/>
    <w:rsid w:val="29F0617B"/>
    <w:rsid w:val="2A319044"/>
    <w:rsid w:val="2A362B41"/>
    <w:rsid w:val="2A3929AD"/>
    <w:rsid w:val="2A44A135"/>
    <w:rsid w:val="2A75F0C1"/>
    <w:rsid w:val="2A7D6E09"/>
    <w:rsid w:val="2AA2FE1A"/>
    <w:rsid w:val="2AB3CCE1"/>
    <w:rsid w:val="2AB46F32"/>
    <w:rsid w:val="2AC1D040"/>
    <w:rsid w:val="2AC32207"/>
    <w:rsid w:val="2ACE4FC4"/>
    <w:rsid w:val="2AD5D93B"/>
    <w:rsid w:val="2AFBE1C0"/>
    <w:rsid w:val="2B0ACD31"/>
    <w:rsid w:val="2B34EF83"/>
    <w:rsid w:val="2B52D3C8"/>
    <w:rsid w:val="2B6C19CD"/>
    <w:rsid w:val="2B7DA8AA"/>
    <w:rsid w:val="2B821CBA"/>
    <w:rsid w:val="2B86383D"/>
    <w:rsid w:val="2B9CC845"/>
    <w:rsid w:val="2C088B37"/>
    <w:rsid w:val="2C186F5D"/>
    <w:rsid w:val="2C21AA2A"/>
    <w:rsid w:val="2C2EFF5D"/>
    <w:rsid w:val="2C30F70C"/>
    <w:rsid w:val="2C3AAED9"/>
    <w:rsid w:val="2C562586"/>
    <w:rsid w:val="2C663630"/>
    <w:rsid w:val="2C9E01ED"/>
    <w:rsid w:val="2CE291AD"/>
    <w:rsid w:val="2D027430"/>
    <w:rsid w:val="2D5BCF92"/>
    <w:rsid w:val="2D7F7556"/>
    <w:rsid w:val="2D902482"/>
    <w:rsid w:val="2D9E3CD7"/>
    <w:rsid w:val="2DAAAE22"/>
    <w:rsid w:val="2DB163E0"/>
    <w:rsid w:val="2DB7E020"/>
    <w:rsid w:val="2DBE7943"/>
    <w:rsid w:val="2DD388DA"/>
    <w:rsid w:val="2E06A2FD"/>
    <w:rsid w:val="2E09BB9F"/>
    <w:rsid w:val="2E290ED9"/>
    <w:rsid w:val="2E34C71D"/>
    <w:rsid w:val="2E3C9674"/>
    <w:rsid w:val="2E4B00DC"/>
    <w:rsid w:val="2E4CEB43"/>
    <w:rsid w:val="2E5077AD"/>
    <w:rsid w:val="2E50A336"/>
    <w:rsid w:val="2E74A90A"/>
    <w:rsid w:val="2E91A0B7"/>
    <w:rsid w:val="2E96D038"/>
    <w:rsid w:val="2E97FEDB"/>
    <w:rsid w:val="2E98842D"/>
    <w:rsid w:val="2EB333E9"/>
    <w:rsid w:val="2EC3DDE5"/>
    <w:rsid w:val="2EC88785"/>
    <w:rsid w:val="2ED156D6"/>
    <w:rsid w:val="2EE6CCD8"/>
    <w:rsid w:val="2EE75C2B"/>
    <w:rsid w:val="2F00FB77"/>
    <w:rsid w:val="2F03D804"/>
    <w:rsid w:val="2F22DB2A"/>
    <w:rsid w:val="2F47A753"/>
    <w:rsid w:val="2F497FEB"/>
    <w:rsid w:val="2F4DCFFD"/>
    <w:rsid w:val="2F728734"/>
    <w:rsid w:val="2FA95C26"/>
    <w:rsid w:val="2FBD3D2F"/>
    <w:rsid w:val="2FD62FD4"/>
    <w:rsid w:val="2FD9C519"/>
    <w:rsid w:val="2FDC455B"/>
    <w:rsid w:val="2FF3010A"/>
    <w:rsid w:val="2FF95542"/>
    <w:rsid w:val="30047711"/>
    <w:rsid w:val="300E7BC1"/>
    <w:rsid w:val="30101E66"/>
    <w:rsid w:val="302C2065"/>
    <w:rsid w:val="30532154"/>
    <w:rsid w:val="3063C943"/>
    <w:rsid w:val="306B5939"/>
    <w:rsid w:val="3074A66D"/>
    <w:rsid w:val="30F93195"/>
    <w:rsid w:val="310104B9"/>
    <w:rsid w:val="3101D45C"/>
    <w:rsid w:val="312CA6D9"/>
    <w:rsid w:val="3138BBD0"/>
    <w:rsid w:val="314048C6"/>
    <w:rsid w:val="3182C3BA"/>
    <w:rsid w:val="31A758A8"/>
    <w:rsid w:val="31A96AB4"/>
    <w:rsid w:val="31CDEB47"/>
    <w:rsid w:val="31CF6949"/>
    <w:rsid w:val="31D8689C"/>
    <w:rsid w:val="3211CDF7"/>
    <w:rsid w:val="323EDCE8"/>
    <w:rsid w:val="32585049"/>
    <w:rsid w:val="325E1EB8"/>
    <w:rsid w:val="3262A988"/>
    <w:rsid w:val="32741BDB"/>
    <w:rsid w:val="3281D002"/>
    <w:rsid w:val="328619F1"/>
    <w:rsid w:val="32A6694C"/>
    <w:rsid w:val="32ED037C"/>
    <w:rsid w:val="32F0AFC3"/>
    <w:rsid w:val="32F1A6C4"/>
    <w:rsid w:val="32F5080D"/>
    <w:rsid w:val="32FB1F54"/>
    <w:rsid w:val="33089CDA"/>
    <w:rsid w:val="331D2EAB"/>
    <w:rsid w:val="33408793"/>
    <w:rsid w:val="335A7A5D"/>
    <w:rsid w:val="336EBB27"/>
    <w:rsid w:val="3376CE4E"/>
    <w:rsid w:val="339A032C"/>
    <w:rsid w:val="33BD3D48"/>
    <w:rsid w:val="33E632FD"/>
    <w:rsid w:val="34018FE5"/>
    <w:rsid w:val="3401F9EB"/>
    <w:rsid w:val="341528B1"/>
    <w:rsid w:val="34299F34"/>
    <w:rsid w:val="345AB135"/>
    <w:rsid w:val="3460EE7D"/>
    <w:rsid w:val="3472C16C"/>
    <w:rsid w:val="348B79EF"/>
    <w:rsid w:val="34CF71A4"/>
    <w:rsid w:val="34D9224D"/>
    <w:rsid w:val="34E68E52"/>
    <w:rsid w:val="34FB6F0E"/>
    <w:rsid w:val="350B8AF0"/>
    <w:rsid w:val="351B00A3"/>
    <w:rsid w:val="351CAF2A"/>
    <w:rsid w:val="351D5EE1"/>
    <w:rsid w:val="3522DFA1"/>
    <w:rsid w:val="353F7E82"/>
    <w:rsid w:val="355320A1"/>
    <w:rsid w:val="3566BF17"/>
    <w:rsid w:val="357C58BB"/>
    <w:rsid w:val="358AD975"/>
    <w:rsid w:val="35927BF6"/>
    <w:rsid w:val="359FE58B"/>
    <w:rsid w:val="35A9560E"/>
    <w:rsid w:val="35C86029"/>
    <w:rsid w:val="35EAE8BA"/>
    <w:rsid w:val="35F77318"/>
    <w:rsid w:val="3600B2A3"/>
    <w:rsid w:val="36127B1E"/>
    <w:rsid w:val="361F24E7"/>
    <w:rsid w:val="3637FACC"/>
    <w:rsid w:val="368BF1EB"/>
    <w:rsid w:val="36C019FF"/>
    <w:rsid w:val="36E4471D"/>
    <w:rsid w:val="36ECE735"/>
    <w:rsid w:val="3708AB92"/>
    <w:rsid w:val="3709F93E"/>
    <w:rsid w:val="372581D8"/>
    <w:rsid w:val="37406320"/>
    <w:rsid w:val="374065CA"/>
    <w:rsid w:val="3744F79E"/>
    <w:rsid w:val="3757AA89"/>
    <w:rsid w:val="375D729F"/>
    <w:rsid w:val="3763BCD9"/>
    <w:rsid w:val="3764449A"/>
    <w:rsid w:val="37C9CD39"/>
    <w:rsid w:val="37E59A92"/>
    <w:rsid w:val="37E5DE5A"/>
    <w:rsid w:val="37EAA6EF"/>
    <w:rsid w:val="37F642FA"/>
    <w:rsid w:val="37F75F74"/>
    <w:rsid w:val="3804DF4E"/>
    <w:rsid w:val="382E813F"/>
    <w:rsid w:val="384712B8"/>
    <w:rsid w:val="384E6133"/>
    <w:rsid w:val="386F359A"/>
    <w:rsid w:val="38A25E28"/>
    <w:rsid w:val="38B07E28"/>
    <w:rsid w:val="38E38376"/>
    <w:rsid w:val="38E5744E"/>
    <w:rsid w:val="38FA6657"/>
    <w:rsid w:val="39416BB0"/>
    <w:rsid w:val="39A32F36"/>
    <w:rsid w:val="39BE6D1E"/>
    <w:rsid w:val="39E82E32"/>
    <w:rsid w:val="39F03CF2"/>
    <w:rsid w:val="39F0E59A"/>
    <w:rsid w:val="3A17535F"/>
    <w:rsid w:val="3A298710"/>
    <w:rsid w:val="3A62FCE1"/>
    <w:rsid w:val="3A680DF1"/>
    <w:rsid w:val="3A852239"/>
    <w:rsid w:val="3AB18479"/>
    <w:rsid w:val="3AC7F0F1"/>
    <w:rsid w:val="3ACC9F8A"/>
    <w:rsid w:val="3ADFA413"/>
    <w:rsid w:val="3AE1CF76"/>
    <w:rsid w:val="3B152E40"/>
    <w:rsid w:val="3B36E14B"/>
    <w:rsid w:val="3B73A5D2"/>
    <w:rsid w:val="3B80188A"/>
    <w:rsid w:val="3B88177C"/>
    <w:rsid w:val="3BA85F5C"/>
    <w:rsid w:val="3BD19702"/>
    <w:rsid w:val="3BD3261F"/>
    <w:rsid w:val="3BEAF51F"/>
    <w:rsid w:val="3C033589"/>
    <w:rsid w:val="3C129BAC"/>
    <w:rsid w:val="3C23C4B2"/>
    <w:rsid w:val="3C28C8A3"/>
    <w:rsid w:val="3C2DFAC7"/>
    <w:rsid w:val="3C356DDE"/>
    <w:rsid w:val="3C4A6B83"/>
    <w:rsid w:val="3C729B5B"/>
    <w:rsid w:val="3C926122"/>
    <w:rsid w:val="3C964FBD"/>
    <w:rsid w:val="3CA297E4"/>
    <w:rsid w:val="3CAC0285"/>
    <w:rsid w:val="3CBDEBF9"/>
    <w:rsid w:val="3CC2446C"/>
    <w:rsid w:val="3CDF8A78"/>
    <w:rsid w:val="3D27E88C"/>
    <w:rsid w:val="3D4D9D3C"/>
    <w:rsid w:val="3D52D7EA"/>
    <w:rsid w:val="3D684422"/>
    <w:rsid w:val="3D70611F"/>
    <w:rsid w:val="3D76B54E"/>
    <w:rsid w:val="3D78C340"/>
    <w:rsid w:val="3DB2D3AE"/>
    <w:rsid w:val="3DC10B02"/>
    <w:rsid w:val="3DE5E24F"/>
    <w:rsid w:val="3DF38478"/>
    <w:rsid w:val="3E0EB501"/>
    <w:rsid w:val="3E0FE34D"/>
    <w:rsid w:val="3E10C193"/>
    <w:rsid w:val="3E197ECD"/>
    <w:rsid w:val="3E238FB7"/>
    <w:rsid w:val="3E2F8BFA"/>
    <w:rsid w:val="3E3679F7"/>
    <w:rsid w:val="3E3BA7FA"/>
    <w:rsid w:val="3E47CC9E"/>
    <w:rsid w:val="3E75DCFD"/>
    <w:rsid w:val="3E8004D9"/>
    <w:rsid w:val="3E92BB14"/>
    <w:rsid w:val="3E954863"/>
    <w:rsid w:val="3E97A7EC"/>
    <w:rsid w:val="3ED64701"/>
    <w:rsid w:val="3F28A765"/>
    <w:rsid w:val="3F34E3F3"/>
    <w:rsid w:val="3F4D6397"/>
    <w:rsid w:val="3F749ACD"/>
    <w:rsid w:val="3FC7322C"/>
    <w:rsid w:val="3FCCD07E"/>
    <w:rsid w:val="3FDDBF97"/>
    <w:rsid w:val="3FE0BD30"/>
    <w:rsid w:val="3FE2709F"/>
    <w:rsid w:val="3FFC0387"/>
    <w:rsid w:val="40162187"/>
    <w:rsid w:val="403CEDFD"/>
    <w:rsid w:val="403E094B"/>
    <w:rsid w:val="4049EEB5"/>
    <w:rsid w:val="404C82B1"/>
    <w:rsid w:val="407DAF18"/>
    <w:rsid w:val="40877B87"/>
    <w:rsid w:val="409988F9"/>
    <w:rsid w:val="40A2851C"/>
    <w:rsid w:val="40B18886"/>
    <w:rsid w:val="40C9BE6E"/>
    <w:rsid w:val="40D10E1F"/>
    <w:rsid w:val="40EEFC19"/>
    <w:rsid w:val="40F99E09"/>
    <w:rsid w:val="40FC986A"/>
    <w:rsid w:val="410C004D"/>
    <w:rsid w:val="414273EE"/>
    <w:rsid w:val="41434423"/>
    <w:rsid w:val="4147F913"/>
    <w:rsid w:val="415E0E74"/>
    <w:rsid w:val="416CE9E9"/>
    <w:rsid w:val="4177A114"/>
    <w:rsid w:val="417C7E92"/>
    <w:rsid w:val="4185D281"/>
    <w:rsid w:val="419AB132"/>
    <w:rsid w:val="419D1005"/>
    <w:rsid w:val="41AAEB90"/>
    <w:rsid w:val="41FDB6D1"/>
    <w:rsid w:val="42089A1C"/>
    <w:rsid w:val="422B7B87"/>
    <w:rsid w:val="422F0D18"/>
    <w:rsid w:val="423C49F6"/>
    <w:rsid w:val="425AE821"/>
    <w:rsid w:val="42795DAA"/>
    <w:rsid w:val="42A0E9A4"/>
    <w:rsid w:val="42AB236E"/>
    <w:rsid w:val="42B4A9A8"/>
    <w:rsid w:val="42BDA5EE"/>
    <w:rsid w:val="42C36DB6"/>
    <w:rsid w:val="42DE6905"/>
    <w:rsid w:val="42E65BF7"/>
    <w:rsid w:val="42FDA204"/>
    <w:rsid w:val="431B9F34"/>
    <w:rsid w:val="4335AD18"/>
    <w:rsid w:val="433DB0D0"/>
    <w:rsid w:val="4374CD26"/>
    <w:rsid w:val="43859B59"/>
    <w:rsid w:val="43DF6021"/>
    <w:rsid w:val="43FA07E3"/>
    <w:rsid w:val="4412800B"/>
    <w:rsid w:val="4441B1E6"/>
    <w:rsid w:val="44775E91"/>
    <w:rsid w:val="447844FE"/>
    <w:rsid w:val="44BC7173"/>
    <w:rsid w:val="44D7F5BF"/>
    <w:rsid w:val="44E70F17"/>
    <w:rsid w:val="44F2784C"/>
    <w:rsid w:val="452256DD"/>
    <w:rsid w:val="45273EE0"/>
    <w:rsid w:val="452CCC0A"/>
    <w:rsid w:val="452D0FE9"/>
    <w:rsid w:val="45340348"/>
    <w:rsid w:val="454530DA"/>
    <w:rsid w:val="4546D89A"/>
    <w:rsid w:val="454BDD8D"/>
    <w:rsid w:val="454E5DD1"/>
    <w:rsid w:val="45710D4C"/>
    <w:rsid w:val="45814552"/>
    <w:rsid w:val="45A531DB"/>
    <w:rsid w:val="45AB9B0A"/>
    <w:rsid w:val="45B4D55B"/>
    <w:rsid w:val="45BC0A86"/>
    <w:rsid w:val="45D5A249"/>
    <w:rsid w:val="45F95DE9"/>
    <w:rsid w:val="4604866C"/>
    <w:rsid w:val="4605117D"/>
    <w:rsid w:val="462DE407"/>
    <w:rsid w:val="463671A4"/>
    <w:rsid w:val="4647D21D"/>
    <w:rsid w:val="46663705"/>
    <w:rsid w:val="4685EC8F"/>
    <w:rsid w:val="46AF1A46"/>
    <w:rsid w:val="46B0EFD6"/>
    <w:rsid w:val="46BDDEE7"/>
    <w:rsid w:val="46C2C988"/>
    <w:rsid w:val="46D4BAAB"/>
    <w:rsid w:val="46D780F1"/>
    <w:rsid w:val="46DB6B3D"/>
    <w:rsid w:val="46DE32A8"/>
    <w:rsid w:val="46EB1974"/>
    <w:rsid w:val="46EE94DB"/>
    <w:rsid w:val="470FA7A7"/>
    <w:rsid w:val="4721D5FD"/>
    <w:rsid w:val="4725E1B1"/>
    <w:rsid w:val="472A8423"/>
    <w:rsid w:val="473723E0"/>
    <w:rsid w:val="4738BA6D"/>
    <w:rsid w:val="473F2F30"/>
    <w:rsid w:val="47404B74"/>
    <w:rsid w:val="4749F9A0"/>
    <w:rsid w:val="47594662"/>
    <w:rsid w:val="47784350"/>
    <w:rsid w:val="47A36A12"/>
    <w:rsid w:val="47A38C02"/>
    <w:rsid w:val="47A46CF1"/>
    <w:rsid w:val="47C3454A"/>
    <w:rsid w:val="47DAFED5"/>
    <w:rsid w:val="47E123F2"/>
    <w:rsid w:val="480A44CB"/>
    <w:rsid w:val="481DB00E"/>
    <w:rsid w:val="4845CEB3"/>
    <w:rsid w:val="4850736C"/>
    <w:rsid w:val="4858C6A0"/>
    <w:rsid w:val="48874406"/>
    <w:rsid w:val="488D0D44"/>
    <w:rsid w:val="48A024BF"/>
    <w:rsid w:val="48A7B1D3"/>
    <w:rsid w:val="48C66DA9"/>
    <w:rsid w:val="48E0783C"/>
    <w:rsid w:val="48EFE1FF"/>
    <w:rsid w:val="48F16DB1"/>
    <w:rsid w:val="48FA1F23"/>
    <w:rsid w:val="49023EC5"/>
    <w:rsid w:val="490306F7"/>
    <w:rsid w:val="492696C2"/>
    <w:rsid w:val="49452592"/>
    <w:rsid w:val="4954563A"/>
    <w:rsid w:val="4956A091"/>
    <w:rsid w:val="495805BB"/>
    <w:rsid w:val="49770E03"/>
    <w:rsid w:val="49772276"/>
    <w:rsid w:val="498214BB"/>
    <w:rsid w:val="4985B45D"/>
    <w:rsid w:val="498BBF72"/>
    <w:rsid w:val="498D87A0"/>
    <w:rsid w:val="499B6810"/>
    <w:rsid w:val="49EFA778"/>
    <w:rsid w:val="49FEFD42"/>
    <w:rsid w:val="4A007217"/>
    <w:rsid w:val="4A06E461"/>
    <w:rsid w:val="4A17EC00"/>
    <w:rsid w:val="4A2EBB9C"/>
    <w:rsid w:val="4A419053"/>
    <w:rsid w:val="4A482F21"/>
    <w:rsid w:val="4A572385"/>
    <w:rsid w:val="4A7C4E8D"/>
    <w:rsid w:val="4A848C30"/>
    <w:rsid w:val="4A8E18C0"/>
    <w:rsid w:val="4A92AA62"/>
    <w:rsid w:val="4ABDE3AA"/>
    <w:rsid w:val="4AC7170F"/>
    <w:rsid w:val="4ADB4660"/>
    <w:rsid w:val="4ADC82FC"/>
    <w:rsid w:val="4B055744"/>
    <w:rsid w:val="4B2FB5B5"/>
    <w:rsid w:val="4B35621D"/>
    <w:rsid w:val="4B595625"/>
    <w:rsid w:val="4B5C4173"/>
    <w:rsid w:val="4B5DA453"/>
    <w:rsid w:val="4B5FED21"/>
    <w:rsid w:val="4B682E20"/>
    <w:rsid w:val="4B6E4A0F"/>
    <w:rsid w:val="4BAFFFCB"/>
    <w:rsid w:val="4BC1DAE7"/>
    <w:rsid w:val="4BC81951"/>
    <w:rsid w:val="4BE0FB25"/>
    <w:rsid w:val="4C0C82E2"/>
    <w:rsid w:val="4C0D4E31"/>
    <w:rsid w:val="4C13608A"/>
    <w:rsid w:val="4C1769BB"/>
    <w:rsid w:val="4C70A85A"/>
    <w:rsid w:val="4C7867A8"/>
    <w:rsid w:val="4C96BFDB"/>
    <w:rsid w:val="4CA61FC6"/>
    <w:rsid w:val="4CB9F095"/>
    <w:rsid w:val="4CD668B9"/>
    <w:rsid w:val="4CDFEF44"/>
    <w:rsid w:val="4D14469F"/>
    <w:rsid w:val="4D36C776"/>
    <w:rsid w:val="4D5ACB0D"/>
    <w:rsid w:val="4D7FA15C"/>
    <w:rsid w:val="4DC5F5D3"/>
    <w:rsid w:val="4DFBA95C"/>
    <w:rsid w:val="4DFBE1C8"/>
    <w:rsid w:val="4E023086"/>
    <w:rsid w:val="4E0716A9"/>
    <w:rsid w:val="4E16DBD9"/>
    <w:rsid w:val="4E289683"/>
    <w:rsid w:val="4E2B49C0"/>
    <w:rsid w:val="4E32AB82"/>
    <w:rsid w:val="4E33063F"/>
    <w:rsid w:val="4E379311"/>
    <w:rsid w:val="4E69CE33"/>
    <w:rsid w:val="4E6EF580"/>
    <w:rsid w:val="4E76E12B"/>
    <w:rsid w:val="4E7771D6"/>
    <w:rsid w:val="4E9B7695"/>
    <w:rsid w:val="4E9F7709"/>
    <w:rsid w:val="4F046ABF"/>
    <w:rsid w:val="4F148372"/>
    <w:rsid w:val="4F1E5049"/>
    <w:rsid w:val="4F5E2B8C"/>
    <w:rsid w:val="4F6B2E69"/>
    <w:rsid w:val="4F7B0CD4"/>
    <w:rsid w:val="4F7FBF6B"/>
    <w:rsid w:val="4FC75143"/>
    <w:rsid w:val="4FD836B7"/>
    <w:rsid w:val="4FF30293"/>
    <w:rsid w:val="4FFD0320"/>
    <w:rsid w:val="5019E7E8"/>
    <w:rsid w:val="5023F4D0"/>
    <w:rsid w:val="50282224"/>
    <w:rsid w:val="503692ED"/>
    <w:rsid w:val="50415956"/>
    <w:rsid w:val="506F2043"/>
    <w:rsid w:val="508A6A45"/>
    <w:rsid w:val="50989742"/>
    <w:rsid w:val="50A27E10"/>
    <w:rsid w:val="50ABDD62"/>
    <w:rsid w:val="50B4BA4B"/>
    <w:rsid w:val="50B9C428"/>
    <w:rsid w:val="50C77D03"/>
    <w:rsid w:val="510A5079"/>
    <w:rsid w:val="511D7A16"/>
    <w:rsid w:val="511F1C24"/>
    <w:rsid w:val="513794C9"/>
    <w:rsid w:val="5145C249"/>
    <w:rsid w:val="518DEA00"/>
    <w:rsid w:val="518F5367"/>
    <w:rsid w:val="519ACFCB"/>
    <w:rsid w:val="51C172BF"/>
    <w:rsid w:val="51C58AC6"/>
    <w:rsid w:val="51C5EE24"/>
    <w:rsid w:val="51CD963C"/>
    <w:rsid w:val="51D4A97D"/>
    <w:rsid w:val="51FD2D57"/>
    <w:rsid w:val="51FF43CB"/>
    <w:rsid w:val="520CB2E1"/>
    <w:rsid w:val="521EFE01"/>
    <w:rsid w:val="52563B60"/>
    <w:rsid w:val="526709F5"/>
    <w:rsid w:val="52693F58"/>
    <w:rsid w:val="52712D90"/>
    <w:rsid w:val="52962AFA"/>
    <w:rsid w:val="52E60F86"/>
    <w:rsid w:val="5304F544"/>
    <w:rsid w:val="5316159D"/>
    <w:rsid w:val="533EFFBB"/>
    <w:rsid w:val="53599B07"/>
    <w:rsid w:val="537049BB"/>
    <w:rsid w:val="5374903D"/>
    <w:rsid w:val="53933F86"/>
    <w:rsid w:val="539EBEB7"/>
    <w:rsid w:val="53AB742F"/>
    <w:rsid w:val="53AB90A1"/>
    <w:rsid w:val="53B4E204"/>
    <w:rsid w:val="53BD2663"/>
    <w:rsid w:val="53CA76EE"/>
    <w:rsid w:val="53EC242E"/>
    <w:rsid w:val="540873DB"/>
    <w:rsid w:val="540DDB56"/>
    <w:rsid w:val="540F4A3E"/>
    <w:rsid w:val="540FACC1"/>
    <w:rsid w:val="541F821C"/>
    <w:rsid w:val="5423F7FA"/>
    <w:rsid w:val="5427AA2E"/>
    <w:rsid w:val="5445EFBE"/>
    <w:rsid w:val="545B8EAF"/>
    <w:rsid w:val="546B6A51"/>
    <w:rsid w:val="546C4E5B"/>
    <w:rsid w:val="54BDD829"/>
    <w:rsid w:val="54CB33D0"/>
    <w:rsid w:val="55964EAF"/>
    <w:rsid w:val="559B2843"/>
    <w:rsid w:val="55B05054"/>
    <w:rsid w:val="55B2515C"/>
    <w:rsid w:val="55BB82AB"/>
    <w:rsid w:val="55C47F16"/>
    <w:rsid w:val="55E6196D"/>
    <w:rsid w:val="55EAFAA2"/>
    <w:rsid w:val="56162A97"/>
    <w:rsid w:val="561A0283"/>
    <w:rsid w:val="5642E9DD"/>
    <w:rsid w:val="564F694F"/>
    <w:rsid w:val="565A06A9"/>
    <w:rsid w:val="56A72F53"/>
    <w:rsid w:val="56A90E99"/>
    <w:rsid w:val="56AAB892"/>
    <w:rsid w:val="56B479CB"/>
    <w:rsid w:val="56C1E924"/>
    <w:rsid w:val="56D48F09"/>
    <w:rsid w:val="56DCBCB7"/>
    <w:rsid w:val="56E85F16"/>
    <w:rsid w:val="56F8F542"/>
    <w:rsid w:val="570588B5"/>
    <w:rsid w:val="571B40AF"/>
    <w:rsid w:val="57408E32"/>
    <w:rsid w:val="57462CE0"/>
    <w:rsid w:val="57508999"/>
    <w:rsid w:val="577718E9"/>
    <w:rsid w:val="57888E05"/>
    <w:rsid w:val="578A5660"/>
    <w:rsid w:val="57949D4E"/>
    <w:rsid w:val="57B5471C"/>
    <w:rsid w:val="57B6418A"/>
    <w:rsid w:val="57BD818D"/>
    <w:rsid w:val="57C8A624"/>
    <w:rsid w:val="581B1BFF"/>
    <w:rsid w:val="581C6905"/>
    <w:rsid w:val="582DDDD1"/>
    <w:rsid w:val="58300081"/>
    <w:rsid w:val="58432392"/>
    <w:rsid w:val="5862FC67"/>
    <w:rsid w:val="586CA5D7"/>
    <w:rsid w:val="5877FDD7"/>
    <w:rsid w:val="58BEAD26"/>
    <w:rsid w:val="58BFBFDD"/>
    <w:rsid w:val="5919E7AB"/>
    <w:rsid w:val="5923B0AB"/>
    <w:rsid w:val="59682496"/>
    <w:rsid w:val="596E405A"/>
    <w:rsid w:val="5998801B"/>
    <w:rsid w:val="59D76A2E"/>
    <w:rsid w:val="59D82503"/>
    <w:rsid w:val="59F24037"/>
    <w:rsid w:val="5A260400"/>
    <w:rsid w:val="5A27C859"/>
    <w:rsid w:val="5A2DEEC7"/>
    <w:rsid w:val="5A3D1D65"/>
    <w:rsid w:val="5A7352AA"/>
    <w:rsid w:val="5A76082C"/>
    <w:rsid w:val="5AAE0AB3"/>
    <w:rsid w:val="5AEF9129"/>
    <w:rsid w:val="5AF13DA1"/>
    <w:rsid w:val="5AF820E3"/>
    <w:rsid w:val="5B03E00D"/>
    <w:rsid w:val="5B0CDB6F"/>
    <w:rsid w:val="5B28CBB2"/>
    <w:rsid w:val="5B34764D"/>
    <w:rsid w:val="5B456980"/>
    <w:rsid w:val="5B5703D1"/>
    <w:rsid w:val="5B617E34"/>
    <w:rsid w:val="5B77650F"/>
    <w:rsid w:val="5BA95FAD"/>
    <w:rsid w:val="5BB0857B"/>
    <w:rsid w:val="5C2BF750"/>
    <w:rsid w:val="5C60BAA6"/>
    <w:rsid w:val="5C611CE2"/>
    <w:rsid w:val="5C6D4511"/>
    <w:rsid w:val="5C7996E4"/>
    <w:rsid w:val="5CA01B4C"/>
    <w:rsid w:val="5CA21D2E"/>
    <w:rsid w:val="5CA32219"/>
    <w:rsid w:val="5CBA77D6"/>
    <w:rsid w:val="5CC59B3E"/>
    <w:rsid w:val="5CD6B282"/>
    <w:rsid w:val="5CDA30FA"/>
    <w:rsid w:val="5CE1226D"/>
    <w:rsid w:val="5CF90990"/>
    <w:rsid w:val="5D17BFC8"/>
    <w:rsid w:val="5D2DB0CD"/>
    <w:rsid w:val="5D733BC0"/>
    <w:rsid w:val="5D764493"/>
    <w:rsid w:val="5D7A0B06"/>
    <w:rsid w:val="5DB8EED6"/>
    <w:rsid w:val="5DC048B3"/>
    <w:rsid w:val="5DF71081"/>
    <w:rsid w:val="5E06B8FE"/>
    <w:rsid w:val="5E2EB652"/>
    <w:rsid w:val="5E36C983"/>
    <w:rsid w:val="5E4692ED"/>
    <w:rsid w:val="5E9991AD"/>
    <w:rsid w:val="5EBF1D86"/>
    <w:rsid w:val="5EDBE576"/>
    <w:rsid w:val="5F0CB8D7"/>
    <w:rsid w:val="5F16B7EB"/>
    <w:rsid w:val="5F365B8A"/>
    <w:rsid w:val="5F9C93AE"/>
    <w:rsid w:val="5F9F9BD4"/>
    <w:rsid w:val="5FA65DFF"/>
    <w:rsid w:val="5FD5C671"/>
    <w:rsid w:val="5FF5E383"/>
    <w:rsid w:val="5FF631B6"/>
    <w:rsid w:val="600A34C3"/>
    <w:rsid w:val="60393096"/>
    <w:rsid w:val="60548740"/>
    <w:rsid w:val="605C1210"/>
    <w:rsid w:val="609C7BF8"/>
    <w:rsid w:val="60B055B8"/>
    <w:rsid w:val="60C8817C"/>
    <w:rsid w:val="60F97F48"/>
    <w:rsid w:val="6119528C"/>
    <w:rsid w:val="6143A85F"/>
    <w:rsid w:val="61580952"/>
    <w:rsid w:val="616219BE"/>
    <w:rsid w:val="616B56E8"/>
    <w:rsid w:val="616C715D"/>
    <w:rsid w:val="6199D9FB"/>
    <w:rsid w:val="61BCAF30"/>
    <w:rsid w:val="61CA9AD3"/>
    <w:rsid w:val="61D1F235"/>
    <w:rsid w:val="61E0DD08"/>
    <w:rsid w:val="61EA7010"/>
    <w:rsid w:val="6245E10D"/>
    <w:rsid w:val="6247BBA6"/>
    <w:rsid w:val="62AFD7F3"/>
    <w:rsid w:val="630B9365"/>
    <w:rsid w:val="63334A0B"/>
    <w:rsid w:val="63356041"/>
    <w:rsid w:val="633FFE17"/>
    <w:rsid w:val="636AA3A8"/>
    <w:rsid w:val="636DC491"/>
    <w:rsid w:val="637D020E"/>
    <w:rsid w:val="638AC75F"/>
    <w:rsid w:val="63944393"/>
    <w:rsid w:val="63AD87A6"/>
    <w:rsid w:val="63B74578"/>
    <w:rsid w:val="63E546FA"/>
    <w:rsid w:val="63F52DA8"/>
    <w:rsid w:val="63FC8572"/>
    <w:rsid w:val="6414C994"/>
    <w:rsid w:val="641F5208"/>
    <w:rsid w:val="643249D8"/>
    <w:rsid w:val="644F6C1E"/>
    <w:rsid w:val="6461E19F"/>
    <w:rsid w:val="64909F8C"/>
    <w:rsid w:val="64AD39B0"/>
    <w:rsid w:val="64D36845"/>
    <w:rsid w:val="6506ECF7"/>
    <w:rsid w:val="652622DC"/>
    <w:rsid w:val="6526EA92"/>
    <w:rsid w:val="6587DC21"/>
    <w:rsid w:val="659AE81D"/>
    <w:rsid w:val="65D152F1"/>
    <w:rsid w:val="65D533E4"/>
    <w:rsid w:val="65DF3887"/>
    <w:rsid w:val="65F10E44"/>
    <w:rsid w:val="6601D7C6"/>
    <w:rsid w:val="663F9652"/>
    <w:rsid w:val="664774F8"/>
    <w:rsid w:val="6673BBFA"/>
    <w:rsid w:val="66B507BF"/>
    <w:rsid w:val="66B62325"/>
    <w:rsid w:val="66B9F026"/>
    <w:rsid w:val="66C03B0A"/>
    <w:rsid w:val="66CA6CC6"/>
    <w:rsid w:val="66E8FC32"/>
    <w:rsid w:val="66F87297"/>
    <w:rsid w:val="66FD292F"/>
    <w:rsid w:val="6725D224"/>
    <w:rsid w:val="6749C51C"/>
    <w:rsid w:val="6749D854"/>
    <w:rsid w:val="6759E33A"/>
    <w:rsid w:val="6770A1BB"/>
    <w:rsid w:val="678FF1C2"/>
    <w:rsid w:val="67C914BB"/>
    <w:rsid w:val="67FDAE88"/>
    <w:rsid w:val="6803C460"/>
    <w:rsid w:val="6804E3AF"/>
    <w:rsid w:val="6819F785"/>
    <w:rsid w:val="681E758F"/>
    <w:rsid w:val="6876B1EA"/>
    <w:rsid w:val="68801878"/>
    <w:rsid w:val="6892F3EF"/>
    <w:rsid w:val="68AC72E9"/>
    <w:rsid w:val="68B003DA"/>
    <w:rsid w:val="68B0F45A"/>
    <w:rsid w:val="68C59627"/>
    <w:rsid w:val="68D37DAB"/>
    <w:rsid w:val="68FAA7C0"/>
    <w:rsid w:val="690C56D1"/>
    <w:rsid w:val="69336289"/>
    <w:rsid w:val="69470841"/>
    <w:rsid w:val="69557BA7"/>
    <w:rsid w:val="699C630F"/>
    <w:rsid w:val="69C8AC6B"/>
    <w:rsid w:val="69CC4A4E"/>
    <w:rsid w:val="69D486EF"/>
    <w:rsid w:val="69DCD23C"/>
    <w:rsid w:val="69FD67EA"/>
    <w:rsid w:val="6A1F2C88"/>
    <w:rsid w:val="6A3E214D"/>
    <w:rsid w:val="6A3FC17E"/>
    <w:rsid w:val="6A593D10"/>
    <w:rsid w:val="6A658F03"/>
    <w:rsid w:val="6A84FA15"/>
    <w:rsid w:val="6AB5BA69"/>
    <w:rsid w:val="6AC541E9"/>
    <w:rsid w:val="6AF5D4C7"/>
    <w:rsid w:val="6AFBEBA0"/>
    <w:rsid w:val="6B1C6D21"/>
    <w:rsid w:val="6B24D9B5"/>
    <w:rsid w:val="6B4579DF"/>
    <w:rsid w:val="6B4D45CF"/>
    <w:rsid w:val="6B5BBE69"/>
    <w:rsid w:val="6B7B0F47"/>
    <w:rsid w:val="6B7F9554"/>
    <w:rsid w:val="6BA995F9"/>
    <w:rsid w:val="6BAA0DBD"/>
    <w:rsid w:val="6BE8D0CC"/>
    <w:rsid w:val="6BFE68C8"/>
    <w:rsid w:val="6C115F67"/>
    <w:rsid w:val="6C47DA1F"/>
    <w:rsid w:val="6C4C2D43"/>
    <w:rsid w:val="6C4CB5FE"/>
    <w:rsid w:val="6C8C35CB"/>
    <w:rsid w:val="6C9DCE6F"/>
    <w:rsid w:val="6CAC3FF0"/>
    <w:rsid w:val="6CB05C65"/>
    <w:rsid w:val="6CC3B51A"/>
    <w:rsid w:val="6CD48C85"/>
    <w:rsid w:val="6CE92A78"/>
    <w:rsid w:val="6D0D6248"/>
    <w:rsid w:val="6D49AC4F"/>
    <w:rsid w:val="6D4C9EE5"/>
    <w:rsid w:val="6D514829"/>
    <w:rsid w:val="6D82366F"/>
    <w:rsid w:val="6D8CB7D3"/>
    <w:rsid w:val="6DB45EB7"/>
    <w:rsid w:val="6DEE9B3A"/>
    <w:rsid w:val="6DFCE25E"/>
    <w:rsid w:val="6E171076"/>
    <w:rsid w:val="6E21DE50"/>
    <w:rsid w:val="6E2583BD"/>
    <w:rsid w:val="6E49D7A5"/>
    <w:rsid w:val="6E4D9202"/>
    <w:rsid w:val="6E860900"/>
    <w:rsid w:val="6E87DCEA"/>
    <w:rsid w:val="6E91CA36"/>
    <w:rsid w:val="6EAE0617"/>
    <w:rsid w:val="6EB38703"/>
    <w:rsid w:val="6EC7DC22"/>
    <w:rsid w:val="6ECFF8BA"/>
    <w:rsid w:val="6ED9EEFA"/>
    <w:rsid w:val="6F04FCF8"/>
    <w:rsid w:val="6F0CE4D5"/>
    <w:rsid w:val="6F0E2183"/>
    <w:rsid w:val="6F2139C1"/>
    <w:rsid w:val="6F67A85B"/>
    <w:rsid w:val="6F736C1F"/>
    <w:rsid w:val="6FF965C3"/>
    <w:rsid w:val="700AD868"/>
    <w:rsid w:val="70367D85"/>
    <w:rsid w:val="70464D4C"/>
    <w:rsid w:val="705ABCAA"/>
    <w:rsid w:val="7089C96D"/>
    <w:rsid w:val="7096C4D7"/>
    <w:rsid w:val="70998485"/>
    <w:rsid w:val="70A5C696"/>
    <w:rsid w:val="70F03758"/>
    <w:rsid w:val="7106EAC1"/>
    <w:rsid w:val="7113B321"/>
    <w:rsid w:val="71196C99"/>
    <w:rsid w:val="711D01BF"/>
    <w:rsid w:val="711D53DD"/>
    <w:rsid w:val="712705A5"/>
    <w:rsid w:val="7134F65F"/>
    <w:rsid w:val="7138711A"/>
    <w:rsid w:val="714D4B2C"/>
    <w:rsid w:val="716A2A88"/>
    <w:rsid w:val="71A47F7F"/>
    <w:rsid w:val="71B17F03"/>
    <w:rsid w:val="71DA255B"/>
    <w:rsid w:val="71EC5408"/>
    <w:rsid w:val="71F0D166"/>
    <w:rsid w:val="71FEBDC2"/>
    <w:rsid w:val="7208C703"/>
    <w:rsid w:val="720CCD76"/>
    <w:rsid w:val="7216874C"/>
    <w:rsid w:val="721DA25B"/>
    <w:rsid w:val="722ADE22"/>
    <w:rsid w:val="724C7437"/>
    <w:rsid w:val="7257C5BB"/>
    <w:rsid w:val="7259673F"/>
    <w:rsid w:val="72873071"/>
    <w:rsid w:val="72C1DA63"/>
    <w:rsid w:val="72C5A000"/>
    <w:rsid w:val="730FF359"/>
    <w:rsid w:val="7311474F"/>
    <w:rsid w:val="731BBA24"/>
    <w:rsid w:val="732788C3"/>
    <w:rsid w:val="73313136"/>
    <w:rsid w:val="7348A00C"/>
    <w:rsid w:val="73501848"/>
    <w:rsid w:val="7380AF86"/>
    <w:rsid w:val="7391A67B"/>
    <w:rsid w:val="739DF119"/>
    <w:rsid w:val="73B13395"/>
    <w:rsid w:val="73CAB6B3"/>
    <w:rsid w:val="73D41804"/>
    <w:rsid w:val="73E03B92"/>
    <w:rsid w:val="73FD5FA8"/>
    <w:rsid w:val="7402E6C6"/>
    <w:rsid w:val="74129368"/>
    <w:rsid w:val="742A7DEE"/>
    <w:rsid w:val="745DD83B"/>
    <w:rsid w:val="745E39DF"/>
    <w:rsid w:val="74724A4B"/>
    <w:rsid w:val="748ADB1B"/>
    <w:rsid w:val="7494431F"/>
    <w:rsid w:val="74AC4085"/>
    <w:rsid w:val="74CBA2C7"/>
    <w:rsid w:val="74DC1E20"/>
    <w:rsid w:val="74E419B0"/>
    <w:rsid w:val="74F58549"/>
    <w:rsid w:val="750F9792"/>
    <w:rsid w:val="7579BDD3"/>
    <w:rsid w:val="7596D954"/>
    <w:rsid w:val="75E33DD8"/>
    <w:rsid w:val="75F69B77"/>
    <w:rsid w:val="7625D2DA"/>
    <w:rsid w:val="76477725"/>
    <w:rsid w:val="7671B204"/>
    <w:rsid w:val="767B9F96"/>
    <w:rsid w:val="768A6D00"/>
    <w:rsid w:val="76913A3D"/>
    <w:rsid w:val="76981279"/>
    <w:rsid w:val="769AEBDB"/>
    <w:rsid w:val="76D24C96"/>
    <w:rsid w:val="76D2C630"/>
    <w:rsid w:val="76FD9B7C"/>
    <w:rsid w:val="7705CBD1"/>
    <w:rsid w:val="77429170"/>
    <w:rsid w:val="77A08EA3"/>
    <w:rsid w:val="77AB214C"/>
    <w:rsid w:val="77BBDD3F"/>
    <w:rsid w:val="77BDE46A"/>
    <w:rsid w:val="77D8D93E"/>
    <w:rsid w:val="77DB9641"/>
    <w:rsid w:val="77DD22BB"/>
    <w:rsid w:val="77E48F80"/>
    <w:rsid w:val="7800AD77"/>
    <w:rsid w:val="78143632"/>
    <w:rsid w:val="781DBE83"/>
    <w:rsid w:val="7824BF2E"/>
    <w:rsid w:val="782F1314"/>
    <w:rsid w:val="783B590D"/>
    <w:rsid w:val="7868FA13"/>
    <w:rsid w:val="78A38330"/>
    <w:rsid w:val="79295399"/>
    <w:rsid w:val="7940FBB5"/>
    <w:rsid w:val="79421F31"/>
    <w:rsid w:val="794C9732"/>
    <w:rsid w:val="798B38FF"/>
    <w:rsid w:val="79A03337"/>
    <w:rsid w:val="79A96EE9"/>
    <w:rsid w:val="79DCAB89"/>
    <w:rsid w:val="7A072A82"/>
    <w:rsid w:val="7A24556A"/>
    <w:rsid w:val="7A24889A"/>
    <w:rsid w:val="7A2F14A0"/>
    <w:rsid w:val="7A426A46"/>
    <w:rsid w:val="7A57629D"/>
    <w:rsid w:val="7A8C75D3"/>
    <w:rsid w:val="7AC2E946"/>
    <w:rsid w:val="7AD1A102"/>
    <w:rsid w:val="7ADB9127"/>
    <w:rsid w:val="7B6EA513"/>
    <w:rsid w:val="7B6FECC7"/>
    <w:rsid w:val="7B87AC4D"/>
    <w:rsid w:val="7B9029B8"/>
    <w:rsid w:val="7B92D3B3"/>
    <w:rsid w:val="7BA47338"/>
    <w:rsid w:val="7BAB51B0"/>
    <w:rsid w:val="7BDF1BCA"/>
    <w:rsid w:val="7BE67593"/>
    <w:rsid w:val="7BEE526F"/>
    <w:rsid w:val="7BF97D72"/>
    <w:rsid w:val="7BFA644A"/>
    <w:rsid w:val="7C02B130"/>
    <w:rsid w:val="7C1D9A79"/>
    <w:rsid w:val="7C22A7D3"/>
    <w:rsid w:val="7C534010"/>
    <w:rsid w:val="7C5AB2D9"/>
    <w:rsid w:val="7C84DE60"/>
    <w:rsid w:val="7CE9CD66"/>
    <w:rsid w:val="7D218FEC"/>
    <w:rsid w:val="7D2539F3"/>
    <w:rsid w:val="7D2AE73C"/>
    <w:rsid w:val="7D447E0F"/>
    <w:rsid w:val="7D53D133"/>
    <w:rsid w:val="7D8E7A76"/>
    <w:rsid w:val="7D9D1AE2"/>
    <w:rsid w:val="7DBAFA92"/>
    <w:rsid w:val="7DC31364"/>
    <w:rsid w:val="7DE22431"/>
    <w:rsid w:val="7E39CAA7"/>
    <w:rsid w:val="7E435202"/>
    <w:rsid w:val="7E4E43E1"/>
    <w:rsid w:val="7E7651EE"/>
    <w:rsid w:val="7E9796E8"/>
    <w:rsid w:val="7EC39179"/>
    <w:rsid w:val="7EF61C34"/>
    <w:rsid w:val="7EF65F51"/>
    <w:rsid w:val="7F24325D"/>
    <w:rsid w:val="7F709DEC"/>
    <w:rsid w:val="7F7A9CAF"/>
    <w:rsid w:val="7F8095DA"/>
    <w:rsid w:val="7F9DDF47"/>
    <w:rsid w:val="7F9E6070"/>
    <w:rsid w:val="7FC8BCE7"/>
    <w:rsid w:val="7FCA2F29"/>
    <w:rsid w:val="7FD17CFB"/>
    <w:rsid w:val="7FEBBF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425C"/>
  <w15:chartTrackingRefBased/>
  <w15:docId w15:val="{1669AE4F-92E3-4F8F-AAB3-C000C9C9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0999"/>
    <w:pPr>
      <w:keepNext/>
      <w:keepLines/>
      <w:spacing w:before="360" w:after="80"/>
      <w:outlineLvl w:val="0"/>
    </w:pPr>
    <w:rPr>
      <w:rFonts w:eastAsiaTheme="majorEastAsia" w:cs="Arial"/>
      <w:color w:val="0F4761" w:themeColor="accent1" w:themeShade="BF"/>
      <w:sz w:val="44"/>
      <w:szCs w:val="44"/>
      <w:lang w:val="sr-Latn-RS"/>
    </w:rPr>
  </w:style>
  <w:style w:type="paragraph" w:styleId="Heading2">
    <w:name w:val="heading 2"/>
    <w:basedOn w:val="Normal"/>
    <w:next w:val="Normal"/>
    <w:link w:val="Heading2Char"/>
    <w:uiPriority w:val="9"/>
    <w:unhideWhenUsed/>
    <w:qFormat/>
    <w:rsid w:val="00C27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7A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27A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A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999"/>
    <w:rPr>
      <w:rFonts w:eastAsiaTheme="majorEastAsia" w:cs="Arial"/>
      <w:color w:val="0F4761" w:themeColor="accent1" w:themeShade="BF"/>
      <w:sz w:val="44"/>
      <w:szCs w:val="44"/>
      <w:lang w:val="sr-Latn-RS"/>
    </w:rPr>
  </w:style>
  <w:style w:type="character" w:customStyle="1" w:styleId="Heading2Char">
    <w:name w:val="Heading 2 Char"/>
    <w:basedOn w:val="DefaultParagraphFont"/>
    <w:link w:val="Heading2"/>
    <w:uiPriority w:val="9"/>
    <w:rsid w:val="00C27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7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27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AE6"/>
    <w:rPr>
      <w:rFonts w:eastAsiaTheme="majorEastAsia" w:cstheme="majorBidi"/>
      <w:color w:val="272727" w:themeColor="text1" w:themeTint="D8"/>
    </w:rPr>
  </w:style>
  <w:style w:type="paragraph" w:styleId="Title">
    <w:name w:val="Title"/>
    <w:basedOn w:val="Normal"/>
    <w:next w:val="Normal"/>
    <w:link w:val="TitleChar"/>
    <w:uiPriority w:val="10"/>
    <w:qFormat/>
    <w:rsid w:val="00C27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AE6"/>
    <w:pPr>
      <w:spacing w:before="160"/>
      <w:jc w:val="center"/>
    </w:pPr>
    <w:rPr>
      <w:i/>
      <w:iCs/>
      <w:color w:val="404040" w:themeColor="text1" w:themeTint="BF"/>
    </w:rPr>
  </w:style>
  <w:style w:type="character" w:customStyle="1" w:styleId="QuoteChar">
    <w:name w:val="Quote Char"/>
    <w:basedOn w:val="DefaultParagraphFont"/>
    <w:link w:val="Quote"/>
    <w:uiPriority w:val="29"/>
    <w:rsid w:val="00C27AE6"/>
    <w:rPr>
      <w:i/>
      <w:iCs/>
      <w:color w:val="404040" w:themeColor="text1" w:themeTint="BF"/>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C27AE6"/>
    <w:pPr>
      <w:ind w:left="720"/>
      <w:contextualSpacing/>
    </w:pPr>
  </w:style>
  <w:style w:type="character" w:styleId="IntenseEmphasis">
    <w:name w:val="Intense Emphasis"/>
    <w:basedOn w:val="DefaultParagraphFont"/>
    <w:uiPriority w:val="21"/>
    <w:qFormat/>
    <w:rsid w:val="00C27AE6"/>
    <w:rPr>
      <w:i/>
      <w:iCs/>
      <w:color w:val="0F4761" w:themeColor="accent1" w:themeShade="BF"/>
    </w:rPr>
  </w:style>
  <w:style w:type="paragraph" w:styleId="IntenseQuote">
    <w:name w:val="Intense Quote"/>
    <w:basedOn w:val="Normal"/>
    <w:next w:val="Normal"/>
    <w:link w:val="IntenseQuoteChar"/>
    <w:uiPriority w:val="30"/>
    <w:qFormat/>
    <w:rsid w:val="00C27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AE6"/>
    <w:rPr>
      <w:i/>
      <w:iCs/>
      <w:color w:val="0F4761" w:themeColor="accent1" w:themeShade="BF"/>
    </w:rPr>
  </w:style>
  <w:style w:type="character" w:styleId="IntenseReference">
    <w:name w:val="Intense Reference"/>
    <w:basedOn w:val="DefaultParagraphFont"/>
    <w:uiPriority w:val="32"/>
    <w:qFormat/>
    <w:rsid w:val="00C27AE6"/>
    <w:rPr>
      <w:b/>
      <w:bCs/>
      <w:smallCaps/>
      <w:color w:val="0F4761" w:themeColor="accent1" w:themeShade="BF"/>
      <w:spacing w:val="5"/>
    </w:rPr>
  </w:style>
  <w:style w:type="paragraph" w:styleId="TOCHeading">
    <w:name w:val="TOC Heading"/>
    <w:basedOn w:val="Heading1"/>
    <w:next w:val="Normal"/>
    <w:uiPriority w:val="39"/>
    <w:unhideWhenUsed/>
    <w:qFormat/>
    <w:rsid w:val="00C27AE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C27AE6"/>
    <w:pPr>
      <w:spacing w:after="100"/>
    </w:pPr>
  </w:style>
  <w:style w:type="character" w:styleId="Hyperlink">
    <w:name w:val="Hyperlink"/>
    <w:basedOn w:val="DefaultParagraphFont"/>
    <w:uiPriority w:val="99"/>
    <w:unhideWhenUsed/>
    <w:rsid w:val="00C27AE6"/>
    <w:rPr>
      <w:color w:val="467886" w:themeColor="hyperlink"/>
      <w:u w:val="single"/>
    </w:rPr>
  </w:style>
  <w:style w:type="table" w:styleId="TableGrid">
    <w:name w:val="Table Grid"/>
    <w:aliases w:val="Table Format 1,Tabellengitternetz"/>
    <w:basedOn w:val="TableNormal"/>
    <w:uiPriority w:val="39"/>
    <w:qFormat/>
    <w:rsid w:val="000257F8"/>
    <w:pPr>
      <w:spacing w:after="0" w:line="240" w:lineRule="auto"/>
    </w:pPr>
    <w:tblPr/>
  </w:style>
  <w:style w:type="paragraph" w:styleId="FootnoteText">
    <w:name w:val="footnote text"/>
    <w:aliases w:val="Footnote,Text,FOOTNOTES,fn,single space,Footnote Text1,Fodnotetekst Tegn,footnote text Char,Fodnotetekst Tegn Char,single space Char,footnote text Char Char Char,Fodnotetekst Tegn Char1,single space Char1,footnote text Char Char1,f,Char,ft"/>
    <w:basedOn w:val="Normal"/>
    <w:link w:val="FootnoteTextChar"/>
    <w:uiPriority w:val="99"/>
    <w:unhideWhenUsed/>
    <w:qFormat/>
    <w:rsid w:val="000F3157"/>
    <w:pPr>
      <w:spacing w:after="0" w:line="240" w:lineRule="auto"/>
    </w:pPr>
    <w:rPr>
      <w:sz w:val="20"/>
      <w:szCs w:val="20"/>
    </w:rPr>
  </w:style>
  <w:style w:type="character" w:customStyle="1" w:styleId="FootnoteTextChar">
    <w:name w:val="Footnote Text Char"/>
    <w:aliases w:val="Footnote Char,Text Char,FOOTNOTES Char,fn Char,single space Char2,Footnote Text1 Char,Fodnotetekst Tegn Char2,footnote text Char Char,Fodnotetekst Tegn Char Char,single space Char Char,footnote text Char Char Char Char,f Char,ft Char"/>
    <w:basedOn w:val="DefaultParagraphFont"/>
    <w:link w:val="FootnoteText"/>
    <w:uiPriority w:val="99"/>
    <w:qFormat/>
    <w:rsid w:val="000F3157"/>
    <w:rPr>
      <w:sz w:val="20"/>
      <w:szCs w:val="20"/>
    </w:rPr>
  </w:style>
  <w:style w:type="character" w:styleId="FootnoteReference">
    <w:name w:val="footnote reference"/>
    <w:aliases w:val="Footnote symbol,Footnote reference number,ftref,BVI fnr,Footnote za GI,16 Point,Superscript 6 Point,Footnote Reference Number,nota pié di pagina,Times 10 Point,Exposant 3 Point,EN Footnote Reference,note TESI,Fussnota,fr"/>
    <w:basedOn w:val="DefaultParagraphFont"/>
    <w:link w:val="Ref"/>
    <w:uiPriority w:val="99"/>
    <w:unhideWhenUsed/>
    <w:qFormat/>
    <w:rsid w:val="000F3157"/>
    <w:rPr>
      <w:vertAlign w:val="superscript"/>
    </w:rPr>
  </w:style>
  <w:style w:type="paragraph" w:customStyle="1" w:styleId="Ref">
    <w:name w:val="Ref"/>
    <w:basedOn w:val="Normal"/>
    <w:link w:val="FootnoteReference"/>
    <w:uiPriority w:val="99"/>
    <w:qFormat/>
    <w:rsid w:val="007A2D9B"/>
    <w:pPr>
      <w:spacing w:line="240" w:lineRule="exact"/>
    </w:pPr>
    <w:rPr>
      <w:vertAlign w:val="superscript"/>
    </w:rPr>
  </w:style>
  <w:style w:type="paragraph" w:styleId="NormalWeb">
    <w:name w:val="Normal (Web)"/>
    <w:basedOn w:val="Normal"/>
    <w:uiPriority w:val="99"/>
    <w:unhideWhenUsed/>
    <w:qFormat/>
    <w:rsid w:val="007A2D9B"/>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fontstyle01">
    <w:name w:val="fontstyle01"/>
    <w:basedOn w:val="DefaultParagraphFont"/>
    <w:rsid w:val="007A2D9B"/>
    <w:rPr>
      <w:rFonts w:ascii="ArialMT" w:hAnsi="ArialMT" w:hint="default"/>
      <w:b w:val="0"/>
      <w:bCs w:val="0"/>
      <w:i w:val="0"/>
      <w:iCs w:val="0"/>
      <w:color w:val="000000"/>
      <w:sz w:val="18"/>
      <w:szCs w:val="18"/>
    </w:rPr>
  </w:style>
  <w:style w:type="character" w:styleId="CommentReference">
    <w:name w:val="annotation reference"/>
    <w:basedOn w:val="DefaultParagraphFont"/>
    <w:uiPriority w:val="99"/>
    <w:semiHidden/>
    <w:unhideWhenUsed/>
    <w:qFormat/>
    <w:rsid w:val="00E75D5A"/>
    <w:rPr>
      <w:sz w:val="16"/>
      <w:szCs w:val="16"/>
    </w:rPr>
  </w:style>
  <w:style w:type="paragraph" w:styleId="CommentText">
    <w:name w:val="annotation text"/>
    <w:basedOn w:val="Normal"/>
    <w:link w:val="CommentTextChar"/>
    <w:uiPriority w:val="99"/>
    <w:unhideWhenUsed/>
    <w:qFormat/>
    <w:rsid w:val="00E75D5A"/>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qFormat/>
    <w:rsid w:val="00E75D5A"/>
    <w:rPr>
      <w:kern w:val="0"/>
      <w:sz w:val="20"/>
      <w:szCs w:val="20"/>
      <w:lang w:val="en-GB"/>
      <w14:ligatures w14:val="none"/>
    </w:rPr>
  </w:style>
  <w:style w:type="paragraph" w:styleId="TOC2">
    <w:name w:val="toc 2"/>
    <w:basedOn w:val="Normal"/>
    <w:next w:val="Normal"/>
    <w:autoRedefine/>
    <w:uiPriority w:val="39"/>
    <w:unhideWhenUsed/>
    <w:rsid w:val="00E75D5A"/>
    <w:pPr>
      <w:spacing w:after="100"/>
      <w:ind w:left="240"/>
    </w:pPr>
  </w:style>
  <w:style w:type="paragraph" w:styleId="TOC3">
    <w:name w:val="toc 3"/>
    <w:basedOn w:val="Normal"/>
    <w:next w:val="Normal"/>
    <w:autoRedefine/>
    <w:uiPriority w:val="39"/>
    <w:unhideWhenUsed/>
    <w:rsid w:val="00E75D5A"/>
    <w:pPr>
      <w:spacing w:after="100"/>
      <w:ind w:left="480"/>
    </w:pPr>
    <w:rPr>
      <w:rFonts w:eastAsiaTheme="minorEastAsia"/>
    </w:rPr>
  </w:style>
  <w:style w:type="paragraph" w:styleId="TOC4">
    <w:name w:val="toc 4"/>
    <w:basedOn w:val="Normal"/>
    <w:next w:val="Normal"/>
    <w:autoRedefine/>
    <w:uiPriority w:val="39"/>
    <w:unhideWhenUsed/>
    <w:rsid w:val="00E75D5A"/>
    <w:pPr>
      <w:spacing w:after="100"/>
      <w:ind w:left="720"/>
    </w:pPr>
    <w:rPr>
      <w:rFonts w:eastAsiaTheme="minorEastAsia"/>
    </w:rPr>
  </w:style>
  <w:style w:type="paragraph" w:styleId="TOC5">
    <w:name w:val="toc 5"/>
    <w:basedOn w:val="Normal"/>
    <w:next w:val="Normal"/>
    <w:autoRedefine/>
    <w:uiPriority w:val="39"/>
    <w:unhideWhenUsed/>
    <w:rsid w:val="00E75D5A"/>
    <w:pPr>
      <w:spacing w:after="100"/>
      <w:ind w:left="960"/>
    </w:pPr>
    <w:rPr>
      <w:rFonts w:eastAsiaTheme="minorEastAsia"/>
    </w:rPr>
  </w:style>
  <w:style w:type="paragraph" w:styleId="TOC6">
    <w:name w:val="toc 6"/>
    <w:basedOn w:val="Normal"/>
    <w:next w:val="Normal"/>
    <w:autoRedefine/>
    <w:uiPriority w:val="39"/>
    <w:unhideWhenUsed/>
    <w:rsid w:val="00E75D5A"/>
    <w:pPr>
      <w:spacing w:after="100"/>
      <w:ind w:left="1200"/>
    </w:pPr>
    <w:rPr>
      <w:rFonts w:eastAsiaTheme="minorEastAsia"/>
    </w:rPr>
  </w:style>
  <w:style w:type="paragraph" w:styleId="TOC7">
    <w:name w:val="toc 7"/>
    <w:basedOn w:val="Normal"/>
    <w:next w:val="Normal"/>
    <w:autoRedefine/>
    <w:uiPriority w:val="39"/>
    <w:unhideWhenUsed/>
    <w:rsid w:val="00E75D5A"/>
    <w:pPr>
      <w:spacing w:after="100"/>
      <w:ind w:left="1440"/>
    </w:pPr>
    <w:rPr>
      <w:rFonts w:eastAsiaTheme="minorEastAsia"/>
    </w:rPr>
  </w:style>
  <w:style w:type="paragraph" w:styleId="TOC8">
    <w:name w:val="toc 8"/>
    <w:basedOn w:val="Normal"/>
    <w:next w:val="Normal"/>
    <w:autoRedefine/>
    <w:uiPriority w:val="39"/>
    <w:unhideWhenUsed/>
    <w:rsid w:val="00E75D5A"/>
    <w:pPr>
      <w:spacing w:after="100"/>
      <w:ind w:left="1680"/>
    </w:pPr>
    <w:rPr>
      <w:rFonts w:eastAsiaTheme="minorEastAsia"/>
    </w:rPr>
  </w:style>
  <w:style w:type="paragraph" w:styleId="TOC9">
    <w:name w:val="toc 9"/>
    <w:basedOn w:val="Normal"/>
    <w:next w:val="Normal"/>
    <w:autoRedefine/>
    <w:uiPriority w:val="39"/>
    <w:unhideWhenUsed/>
    <w:rsid w:val="00E75D5A"/>
    <w:pPr>
      <w:spacing w:after="100"/>
      <w:ind w:left="1920"/>
    </w:pPr>
    <w:rPr>
      <w:rFonts w:eastAsiaTheme="minorEastAsia"/>
    </w:rPr>
  </w:style>
  <w:style w:type="character" w:customStyle="1" w:styleId="UnresolvedMention1">
    <w:name w:val="Unresolved Mention1"/>
    <w:basedOn w:val="DefaultParagraphFont"/>
    <w:uiPriority w:val="99"/>
    <w:semiHidden/>
    <w:unhideWhenUsed/>
    <w:rsid w:val="00E75D5A"/>
    <w:rPr>
      <w:color w:val="605E5C"/>
      <w:shd w:val="clear" w:color="auto" w:fill="E1DFDD"/>
    </w:rPr>
  </w:style>
  <w:style w:type="paragraph" w:styleId="NoSpacing">
    <w:name w:val="No Spacing"/>
    <w:link w:val="NoSpacingChar"/>
    <w:uiPriority w:val="1"/>
    <w:qFormat/>
    <w:rsid w:val="000C148A"/>
    <w:pPr>
      <w:spacing w:after="0" w:line="240" w:lineRule="auto"/>
    </w:pPr>
    <w:rPr>
      <w:lang w:val="en-GB"/>
    </w:rPr>
  </w:style>
  <w:style w:type="character" w:customStyle="1" w:styleId="NoSpacingChar">
    <w:name w:val="No Spacing Char"/>
    <w:basedOn w:val="DefaultParagraphFont"/>
    <w:link w:val="NoSpacing"/>
    <w:uiPriority w:val="1"/>
    <w:rsid w:val="000C148A"/>
    <w:rPr>
      <w:lang w:val="en-GB"/>
    </w:rPr>
  </w:style>
  <w:style w:type="paragraph" w:styleId="HTMLPreformatted">
    <w:name w:val="HTML Preformatted"/>
    <w:basedOn w:val="Normal"/>
    <w:link w:val="HTMLPreformattedChar"/>
    <w:uiPriority w:val="99"/>
    <w:unhideWhenUsed/>
    <w:rsid w:val="000C1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GB" w:eastAsia="en-GB"/>
      <w14:ligatures w14:val="none"/>
    </w:rPr>
  </w:style>
  <w:style w:type="character" w:customStyle="1" w:styleId="HTMLPreformattedChar">
    <w:name w:val="HTML Preformatted Char"/>
    <w:basedOn w:val="DefaultParagraphFont"/>
    <w:link w:val="HTMLPreformatted"/>
    <w:uiPriority w:val="99"/>
    <w:rsid w:val="000C148A"/>
    <w:rPr>
      <w:rFonts w:ascii="Courier New" w:eastAsia="Times New Roman" w:hAnsi="Courier New" w:cs="Courier New"/>
      <w:kern w:val="0"/>
      <w:sz w:val="20"/>
      <w:szCs w:val="20"/>
      <w:lang w:val="en-GB" w:eastAsia="en-GB"/>
      <w14:ligatures w14:val="none"/>
    </w:rPr>
  </w:style>
  <w:style w:type="character" w:customStyle="1" w:styleId="y2iqfc">
    <w:name w:val="y2iqfc"/>
    <w:basedOn w:val="DefaultParagraphFont"/>
    <w:rsid w:val="000C148A"/>
  </w:style>
  <w:style w:type="paragraph" w:styleId="Header">
    <w:name w:val="header"/>
    <w:basedOn w:val="Normal"/>
    <w:link w:val="HeaderChar"/>
    <w:uiPriority w:val="99"/>
    <w:unhideWhenUsed/>
    <w:rsid w:val="00D26AC4"/>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26AC4"/>
  </w:style>
  <w:style w:type="paragraph" w:styleId="Footer">
    <w:name w:val="footer"/>
    <w:basedOn w:val="Normal"/>
    <w:link w:val="FooterChar"/>
    <w:uiPriority w:val="99"/>
    <w:unhideWhenUsed/>
    <w:rsid w:val="00D26AC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26AC4"/>
  </w:style>
  <w:style w:type="character" w:styleId="Strong">
    <w:name w:val="Strong"/>
    <w:basedOn w:val="DefaultParagraphFont"/>
    <w:uiPriority w:val="22"/>
    <w:qFormat/>
    <w:rsid w:val="005C303D"/>
    <w:rPr>
      <w:b/>
      <w:bC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534AD"/>
  </w:style>
  <w:style w:type="paragraph" w:customStyle="1" w:styleId="Char2">
    <w:name w:val="Char2"/>
    <w:basedOn w:val="Normal"/>
    <w:uiPriority w:val="99"/>
    <w:qFormat/>
    <w:rsid w:val="0083739B"/>
    <w:pPr>
      <w:spacing w:line="240" w:lineRule="exact"/>
      <w:ind w:firstLine="369"/>
      <w:jc w:val="both"/>
    </w:pPr>
    <w:rPr>
      <w:vertAlign w:val="superscript"/>
    </w:rPr>
  </w:style>
  <w:style w:type="paragraph" w:styleId="Caption">
    <w:name w:val="caption"/>
    <w:basedOn w:val="Normal"/>
    <w:next w:val="Normal"/>
    <w:uiPriority w:val="35"/>
    <w:unhideWhenUsed/>
    <w:qFormat/>
    <w:rsid w:val="0076381E"/>
    <w:pPr>
      <w:spacing w:after="200" w:line="240" w:lineRule="auto"/>
    </w:pPr>
    <w:rPr>
      <w:rFonts w:ascii="Times New Roman" w:eastAsia="Times New Roman" w:hAnsi="Times New Roman" w:cs="Times New Roman"/>
      <w:i/>
      <w:iCs/>
      <w:color w:val="0E2841" w:themeColor="text2"/>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5B60C9"/>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5B60C9"/>
    <w:rPr>
      <w:b/>
      <w:bCs/>
      <w:kern w:val="0"/>
      <w:sz w:val="20"/>
      <w:szCs w:val="20"/>
      <w:lang w:val="en-GB"/>
      <w14:ligatures w14:val="none"/>
    </w:rPr>
  </w:style>
  <w:style w:type="character" w:customStyle="1" w:styleId="Mention1">
    <w:name w:val="Mention1"/>
    <w:basedOn w:val="DefaultParagraphFont"/>
    <w:uiPriority w:val="99"/>
    <w:unhideWhenUsed/>
    <w:rsid w:val="00DA0422"/>
    <w:rPr>
      <w:color w:val="2B579A"/>
      <w:shd w:val="clear" w:color="auto" w:fill="E1DFDD"/>
    </w:rPr>
  </w:style>
  <w:style w:type="paragraph" w:styleId="Revision">
    <w:name w:val="Revision"/>
    <w:hidden/>
    <w:uiPriority w:val="99"/>
    <w:semiHidden/>
    <w:rsid w:val="00F91FA2"/>
    <w:pPr>
      <w:spacing w:after="0" w:line="240" w:lineRule="auto"/>
    </w:pPr>
  </w:style>
  <w:style w:type="numbering" w:customStyle="1" w:styleId="NoList1">
    <w:name w:val="No List1"/>
    <w:next w:val="NoList"/>
    <w:uiPriority w:val="99"/>
    <w:semiHidden/>
    <w:unhideWhenUsed/>
    <w:rsid w:val="00CF32C3"/>
  </w:style>
  <w:style w:type="table" w:customStyle="1" w:styleId="TableGrid1">
    <w:name w:val="Table Grid1"/>
    <w:basedOn w:val="TableNormal"/>
    <w:next w:val="TableGrid"/>
    <w:uiPriority w:val="59"/>
    <w:rsid w:val="00CF32C3"/>
    <w:pPr>
      <w:spacing w:after="0" w:line="240" w:lineRule="auto"/>
    </w:pPr>
    <w:rPr>
      <w:kern w:val="0"/>
      <w14:ligatures w14:val="none"/>
    </w:rPr>
    <w:tblPr/>
  </w:style>
  <w:style w:type="paragraph" w:styleId="BalloonText">
    <w:name w:val="Balloon Text"/>
    <w:basedOn w:val="Normal"/>
    <w:link w:val="BalloonTextChar"/>
    <w:uiPriority w:val="99"/>
    <w:semiHidden/>
    <w:unhideWhenUsed/>
    <w:qFormat/>
    <w:rsid w:val="00CF32C3"/>
    <w:pPr>
      <w:spacing w:after="0" w:line="240" w:lineRule="auto"/>
    </w:pPr>
    <w:rPr>
      <w:rFonts w:ascii="Times New Roman" w:eastAsia="Times New Roman" w:hAnsi="Times New Roman" w:cs="Times New Roman"/>
      <w:kern w:val="0"/>
      <w:sz w:val="18"/>
      <w:szCs w:val="18"/>
      <w:lang w:eastAsia="en-GB"/>
      <w14:ligatures w14:val="none"/>
    </w:rPr>
  </w:style>
  <w:style w:type="character" w:customStyle="1" w:styleId="BalloonTextChar">
    <w:name w:val="Balloon Text Char"/>
    <w:basedOn w:val="DefaultParagraphFont"/>
    <w:link w:val="BalloonText"/>
    <w:uiPriority w:val="99"/>
    <w:semiHidden/>
    <w:qFormat/>
    <w:rsid w:val="00CF32C3"/>
    <w:rPr>
      <w:rFonts w:ascii="Times New Roman" w:eastAsia="Times New Roman" w:hAnsi="Times New Roman" w:cs="Times New Roman"/>
      <w:kern w:val="0"/>
      <w:sz w:val="18"/>
      <w:szCs w:val="18"/>
      <w:lang w:eastAsia="en-GB"/>
      <w14:ligatures w14:val="none"/>
    </w:rPr>
  </w:style>
  <w:style w:type="paragraph" w:customStyle="1" w:styleId="paragraph">
    <w:name w:val="paragraph"/>
    <w:basedOn w:val="Normal"/>
    <w:rsid w:val="00CF32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F32C3"/>
  </w:style>
  <w:style w:type="paragraph" w:customStyle="1" w:styleId="Style11">
    <w:name w:val="Style11"/>
    <w:basedOn w:val="Normal"/>
    <w:link w:val="Style11Char"/>
    <w:qFormat/>
    <w:rsid w:val="00CF32C3"/>
    <w:pPr>
      <w:spacing w:after="0" w:line="240" w:lineRule="auto"/>
      <w:jc w:val="both"/>
    </w:pPr>
    <w:rPr>
      <w:rFonts w:ascii="Calibri" w:eastAsia="Times New Roman" w:hAnsi="Calibri" w:cs="Calibri"/>
      <w:kern w:val="0"/>
      <w:sz w:val="20"/>
      <w:szCs w:val="20"/>
      <w:lang w:eastAsia="en-GB"/>
      <w14:ligatures w14:val="none"/>
    </w:rPr>
  </w:style>
  <w:style w:type="character" w:customStyle="1" w:styleId="Style11Char">
    <w:name w:val="Style11 Char"/>
    <w:basedOn w:val="DefaultParagraphFont"/>
    <w:link w:val="Style11"/>
    <w:rsid w:val="00CF32C3"/>
    <w:rPr>
      <w:rFonts w:ascii="Calibri" w:eastAsia="Times New Roman" w:hAnsi="Calibri" w:cs="Calibri"/>
      <w:kern w:val="0"/>
      <w:sz w:val="20"/>
      <w:szCs w:val="20"/>
      <w:lang w:eastAsia="en-GB"/>
      <w14:ligatures w14:val="none"/>
    </w:rPr>
  </w:style>
  <w:style w:type="character" w:customStyle="1" w:styleId="tlid-translation">
    <w:name w:val="tlid-translation"/>
    <w:basedOn w:val="DefaultParagraphFont"/>
    <w:rsid w:val="00CF32C3"/>
  </w:style>
  <w:style w:type="paragraph" w:customStyle="1" w:styleId="basic-paragraph">
    <w:name w:val="basic-paragraph"/>
    <w:basedOn w:val="Normal"/>
    <w:qFormat/>
    <w:rsid w:val="00CF32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CF32C3"/>
    <w:rPr>
      <w:color w:val="96607D" w:themeColor="followedHyperlink"/>
      <w:u w:val="single"/>
    </w:rPr>
  </w:style>
  <w:style w:type="paragraph" w:customStyle="1" w:styleId="xmsonormal">
    <w:name w:val="x_msonormal"/>
    <w:basedOn w:val="Normal"/>
    <w:rsid w:val="00CF32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Footnotesrefs">
    <w:name w:val="Footnotes refs"/>
    <w:basedOn w:val="Normal"/>
    <w:uiPriority w:val="99"/>
    <w:qFormat/>
    <w:rsid w:val="00CF32C3"/>
    <w:pPr>
      <w:spacing w:line="240" w:lineRule="exact"/>
    </w:pPr>
    <w:rPr>
      <w:rFonts w:ascii="Times New Roman" w:eastAsia="Times New Roman" w:hAnsi="Times New Roman" w:cs="Times New Roman"/>
      <w:kern w:val="0"/>
      <w:sz w:val="22"/>
      <w:szCs w:val="22"/>
      <w:vertAlign w:val="superscript"/>
      <w:lang w:val="sr-Latn-CS" w:eastAsia="en-GB"/>
      <w14:ligatures w14:val="none"/>
    </w:rPr>
  </w:style>
  <w:style w:type="paragraph" w:customStyle="1" w:styleId="v2-clan-left-1">
    <w:name w:val="v2-clan-left-1"/>
    <w:basedOn w:val="Normal"/>
    <w:rsid w:val="00CF32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Normal1">
    <w:name w:val="Normal1"/>
    <w:basedOn w:val="Normal"/>
    <w:rsid w:val="00CF32C3"/>
    <w:pPr>
      <w:spacing w:before="100" w:beforeAutospacing="1" w:after="100" w:afterAutospacing="1" w:line="240" w:lineRule="auto"/>
    </w:pPr>
    <w:rPr>
      <w:rFonts w:ascii="Arial" w:eastAsia="Times New Roman" w:hAnsi="Arial" w:cs="Arial"/>
      <w:kern w:val="0"/>
      <w:sz w:val="22"/>
      <w:szCs w:val="22"/>
      <w:lang w:eastAsia="en-GB"/>
      <w14:ligatures w14:val="none"/>
    </w:rPr>
  </w:style>
  <w:style w:type="character" w:customStyle="1" w:styleId="st1">
    <w:name w:val="st1"/>
    <w:basedOn w:val="DefaultParagraphFont"/>
    <w:rsid w:val="00CF32C3"/>
  </w:style>
  <w:style w:type="character" w:customStyle="1" w:styleId="UnresolvedMention10">
    <w:name w:val="Unresolved Mention10"/>
    <w:basedOn w:val="DefaultParagraphFont"/>
    <w:uiPriority w:val="99"/>
    <w:semiHidden/>
    <w:unhideWhenUsed/>
    <w:rsid w:val="00CF32C3"/>
    <w:rPr>
      <w:color w:val="605E5C"/>
      <w:shd w:val="clear" w:color="auto" w:fill="E1DFDD"/>
    </w:rPr>
  </w:style>
  <w:style w:type="paragraph" w:customStyle="1" w:styleId="Naslov111">
    <w:name w:val="Naslov 1.1.1."/>
    <w:basedOn w:val="Normal"/>
    <w:link w:val="Naslov111Char"/>
    <w:qFormat/>
    <w:rsid w:val="00CF32C3"/>
    <w:pPr>
      <w:tabs>
        <w:tab w:val="left" w:pos="1173"/>
      </w:tabs>
      <w:spacing w:after="0" w:line="240" w:lineRule="auto"/>
      <w:ind w:left="907" w:hanging="907"/>
      <w:outlineLvl w:val="0"/>
    </w:pPr>
    <w:rPr>
      <w:rFonts w:ascii="Tahoma" w:eastAsia="Times New Roman" w:hAnsi="Tahoma" w:cs="Tahoma"/>
      <w:b/>
      <w:noProof/>
      <w:kern w:val="0"/>
      <w:lang w:eastAsia="de-CH"/>
      <w14:ligatures w14:val="none"/>
    </w:rPr>
  </w:style>
  <w:style w:type="character" w:customStyle="1" w:styleId="Naslov111Char">
    <w:name w:val="Naslov 1.1.1. Char"/>
    <w:basedOn w:val="DefaultParagraphFont"/>
    <w:link w:val="Naslov111"/>
    <w:rsid w:val="00CF32C3"/>
    <w:rPr>
      <w:rFonts w:ascii="Tahoma" w:eastAsia="Times New Roman" w:hAnsi="Tahoma" w:cs="Tahoma"/>
      <w:b/>
      <w:noProof/>
      <w:kern w:val="0"/>
      <w:lang w:eastAsia="de-CH"/>
      <w14:ligatures w14:val="none"/>
    </w:rPr>
  </w:style>
  <w:style w:type="paragraph" w:styleId="EndnoteText">
    <w:name w:val="endnote text"/>
    <w:basedOn w:val="Normal"/>
    <w:link w:val="EndnoteTextChar"/>
    <w:uiPriority w:val="99"/>
    <w:semiHidden/>
    <w:unhideWhenUsed/>
    <w:rsid w:val="00CF32C3"/>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CF32C3"/>
    <w:rPr>
      <w:rFonts w:ascii="Times New Roman" w:eastAsia="Times New Roman" w:hAnsi="Times New Roman"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CF32C3"/>
    <w:rPr>
      <w:vertAlign w:val="superscript"/>
    </w:rPr>
  </w:style>
  <w:style w:type="table" w:customStyle="1" w:styleId="PlainTable11">
    <w:name w:val="Plain Table 11"/>
    <w:basedOn w:val="TableNormal"/>
    <w:uiPriority w:val="41"/>
    <w:rsid w:val="00CF32C3"/>
    <w:pPr>
      <w:spacing w:after="0" w:line="240" w:lineRule="auto"/>
    </w:pPr>
    <w:rPr>
      <w:rFonts w:ascii="Times New Roman" w:hAnsi="Times New Roman" w:cs="Times New Roman"/>
      <w:kern w:val="0"/>
      <w14:ligatures w14:val="none"/>
    </w:rPr>
    <w:tblPr>
      <w:tblStyleColBandSize w:val="1"/>
    </w:tblPr>
    <w:tblStylePr w:type="firstRow">
      <w:rPr>
        <w:b/>
        <w:bCs/>
      </w:rPr>
    </w:tblStylePr>
    <w:tblStylePr w:type="lastRow">
      <w:rPr>
        <w:b/>
        <w:bCs/>
      </w:rPr>
    </w:tblStylePr>
    <w:tblStylePr w:type="firstCol">
      <w:rPr>
        <w:b/>
        <w:bCs/>
      </w:rPr>
    </w:tblStylePr>
    <w:tblStylePr w:type="lastCol">
      <w:rPr>
        <w:b/>
        <w:bCs/>
      </w:rPr>
    </w:tblStylePr>
  </w:style>
  <w:style w:type="table" w:customStyle="1" w:styleId="GridTable1Light1">
    <w:name w:val="Grid Table 1 Light1"/>
    <w:basedOn w:val="TableNormal"/>
    <w:uiPriority w:val="46"/>
    <w:rsid w:val="00CF32C3"/>
    <w:pPr>
      <w:spacing w:after="0" w:line="240" w:lineRule="auto"/>
    </w:pPr>
    <w:rPr>
      <w:kern w:val="0"/>
      <w:sz w:val="22"/>
      <w:szCs w:val="22"/>
      <w14:ligatures w14:val="none"/>
    </w:rPr>
    <w:tblPr>
      <w:tblStyleRowBandSize w:val="1"/>
      <w:tblStyleColBandSize w:val="1"/>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CF32C3"/>
    <w:pPr>
      <w:spacing w:after="0" w:line="240" w:lineRule="auto"/>
    </w:pPr>
    <w:rPr>
      <w:kern w:val="0"/>
      <w:sz w:val="22"/>
      <w:szCs w:val="22"/>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PlainTable21">
    <w:name w:val="Plain Table 21"/>
    <w:basedOn w:val="TableNormal"/>
    <w:uiPriority w:val="42"/>
    <w:rsid w:val="00CF32C3"/>
    <w:pPr>
      <w:spacing w:after="0" w:line="240" w:lineRule="auto"/>
    </w:pPr>
    <w:rPr>
      <w:rFonts w:ascii="Times New Roman" w:hAnsi="Times New Roman" w:cs="Times New Roman"/>
      <w:kern w:val="0"/>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CF32C3"/>
  </w:style>
  <w:style w:type="character" w:customStyle="1" w:styleId="UnresolvedMention2">
    <w:name w:val="Unresolved Mention2"/>
    <w:basedOn w:val="DefaultParagraphFont"/>
    <w:uiPriority w:val="99"/>
    <w:semiHidden/>
    <w:unhideWhenUsed/>
    <w:rsid w:val="00CF32C3"/>
    <w:rPr>
      <w:color w:val="605E5C"/>
      <w:shd w:val="clear" w:color="auto" w:fill="E1DFDD"/>
    </w:rPr>
  </w:style>
  <w:style w:type="paragraph" w:customStyle="1" w:styleId="odluka-zakon">
    <w:name w:val="odluka-zakon"/>
    <w:basedOn w:val="Normal"/>
    <w:rsid w:val="00CF32C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UnresolvedMention3">
    <w:name w:val="Unresolved Mention3"/>
    <w:basedOn w:val="DefaultParagraphFont"/>
    <w:uiPriority w:val="99"/>
    <w:unhideWhenUsed/>
    <w:rsid w:val="00CF32C3"/>
    <w:rPr>
      <w:color w:val="605E5C"/>
      <w:shd w:val="clear" w:color="auto" w:fill="E1DFDD"/>
    </w:rPr>
  </w:style>
  <w:style w:type="numbering" w:customStyle="1" w:styleId="NoList11">
    <w:name w:val="No List11"/>
    <w:next w:val="NoList"/>
    <w:uiPriority w:val="99"/>
    <w:semiHidden/>
    <w:unhideWhenUsed/>
    <w:rsid w:val="00CF32C3"/>
  </w:style>
  <w:style w:type="character" w:styleId="SubtleEmphasis">
    <w:name w:val="Subtle Emphasis"/>
    <w:basedOn w:val="DefaultParagraphFont"/>
    <w:uiPriority w:val="19"/>
    <w:qFormat/>
    <w:rsid w:val="00CF32C3"/>
    <w:rPr>
      <w:i/>
      <w:iCs/>
      <w:color w:val="404040" w:themeColor="text1" w:themeTint="BF"/>
    </w:rPr>
  </w:style>
  <w:style w:type="paragraph" w:customStyle="1" w:styleId="Default">
    <w:name w:val="Default"/>
    <w:rsid w:val="00CF32C3"/>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table" w:customStyle="1" w:styleId="TableGrid11">
    <w:name w:val="Table Grid11"/>
    <w:basedOn w:val="TableNormal"/>
    <w:next w:val="TableGrid"/>
    <w:uiPriority w:val="59"/>
    <w:rsid w:val="00CF32C3"/>
    <w:pPr>
      <w:spacing w:after="0" w:line="240" w:lineRule="auto"/>
    </w:pPr>
    <w:rPr>
      <w:kern w:val="0"/>
      <w:sz w:val="22"/>
      <w:szCs w:val="22"/>
      <w14:ligatures w14:val="none"/>
    </w:rPr>
    <w:tblPr/>
  </w:style>
  <w:style w:type="character" w:customStyle="1" w:styleId="Mention10">
    <w:name w:val="Mention10"/>
    <w:basedOn w:val="DefaultParagraphFont"/>
    <w:uiPriority w:val="99"/>
    <w:unhideWhenUsed/>
    <w:rsid w:val="00CF32C3"/>
    <w:rPr>
      <w:color w:val="2B579A"/>
      <w:shd w:val="clear" w:color="auto" w:fill="E1DFDD"/>
    </w:rPr>
  </w:style>
  <w:style w:type="character" w:customStyle="1" w:styleId="Nerazreenopominjanje1">
    <w:name w:val="Nerazrešeno pominjanje1"/>
    <w:basedOn w:val="DefaultParagraphFont"/>
    <w:uiPriority w:val="99"/>
    <w:semiHidden/>
    <w:unhideWhenUsed/>
    <w:rsid w:val="00CF32C3"/>
    <w:rPr>
      <w:color w:val="605E5C"/>
      <w:shd w:val="clear" w:color="auto" w:fill="E1DFDD"/>
    </w:rPr>
  </w:style>
  <w:style w:type="character" w:customStyle="1" w:styleId="UnresolvedMention4">
    <w:name w:val="Unresolved Mention4"/>
    <w:basedOn w:val="DefaultParagraphFont"/>
    <w:uiPriority w:val="99"/>
    <w:semiHidden/>
    <w:unhideWhenUsed/>
    <w:rsid w:val="00CF32C3"/>
    <w:rPr>
      <w:color w:val="605E5C"/>
      <w:shd w:val="clear" w:color="auto" w:fill="E1DFDD"/>
    </w:rPr>
  </w:style>
  <w:style w:type="paragraph" w:customStyle="1" w:styleId="kmnaslov1">
    <w:name w:val="kmnaslov1"/>
    <w:basedOn w:val="Normal"/>
    <w:uiPriority w:val="99"/>
    <w:rsid w:val="00CF32C3"/>
    <w:pPr>
      <w:spacing w:before="100" w:beforeAutospacing="1" w:after="100" w:afterAutospacing="1" w:line="240" w:lineRule="auto"/>
    </w:pPr>
    <w:rPr>
      <w:rFonts w:ascii="Calibri" w:eastAsia="Times New Roman" w:hAnsi="Calibri" w:cs="Calibri"/>
      <w:kern w:val="0"/>
      <w:lang w:eastAsia="en-GB"/>
      <w14:ligatures w14:val="none"/>
    </w:rPr>
  </w:style>
  <w:style w:type="character" w:customStyle="1" w:styleId="UnresolvedMention5">
    <w:name w:val="Unresolved Mention5"/>
    <w:basedOn w:val="DefaultParagraphFont"/>
    <w:uiPriority w:val="99"/>
    <w:semiHidden/>
    <w:unhideWhenUsed/>
    <w:rsid w:val="00CF32C3"/>
    <w:rPr>
      <w:color w:val="605E5C"/>
      <w:shd w:val="clear" w:color="auto" w:fill="E1DFDD"/>
    </w:rPr>
  </w:style>
  <w:style w:type="character" w:customStyle="1" w:styleId="UnresolvedMention6">
    <w:name w:val="Unresolved Mention6"/>
    <w:basedOn w:val="DefaultParagraphFont"/>
    <w:uiPriority w:val="99"/>
    <w:semiHidden/>
    <w:unhideWhenUsed/>
    <w:rsid w:val="00CF32C3"/>
    <w:rPr>
      <w:color w:val="605E5C"/>
      <w:shd w:val="clear" w:color="auto" w:fill="E1DFDD"/>
    </w:rPr>
  </w:style>
  <w:style w:type="character" w:customStyle="1" w:styleId="pronadjen">
    <w:name w:val="pronadjen"/>
    <w:basedOn w:val="DefaultParagraphFont"/>
    <w:qFormat/>
    <w:rsid w:val="00CF32C3"/>
  </w:style>
  <w:style w:type="character" w:customStyle="1" w:styleId="BodyTextChar">
    <w:name w:val="Body Text Char"/>
    <w:basedOn w:val="DefaultParagraphFont"/>
    <w:link w:val="BodyText"/>
    <w:rsid w:val="00CF32C3"/>
    <w:rPr>
      <w:rFonts w:eastAsia="Times New Roman" w:cs="Calibri"/>
    </w:rPr>
  </w:style>
  <w:style w:type="paragraph" w:styleId="BodyText">
    <w:name w:val="Body Text"/>
    <w:basedOn w:val="Normal"/>
    <w:link w:val="BodyTextChar"/>
    <w:rsid w:val="00CF32C3"/>
    <w:pPr>
      <w:spacing w:after="140" w:line="276" w:lineRule="auto"/>
    </w:pPr>
    <w:rPr>
      <w:rFonts w:eastAsia="Times New Roman" w:cs="Calibri"/>
    </w:rPr>
  </w:style>
  <w:style w:type="character" w:customStyle="1" w:styleId="BodyTextChar1">
    <w:name w:val="Body Text Char1"/>
    <w:basedOn w:val="DefaultParagraphFont"/>
    <w:uiPriority w:val="99"/>
    <w:semiHidden/>
    <w:rsid w:val="00CF32C3"/>
  </w:style>
  <w:style w:type="table" w:customStyle="1" w:styleId="Svetlatabelaliste1akcenat11">
    <w:name w:val="Svetla tabela liste 1 – akcenat 11"/>
    <w:basedOn w:val="TableNormal"/>
    <w:uiPriority w:val="46"/>
    <w:rsid w:val="00CF32C3"/>
    <w:pPr>
      <w:spacing w:after="0" w:line="240" w:lineRule="auto"/>
    </w:pPr>
    <w:rPr>
      <w:kern w:val="0"/>
      <w:sz w:val="22"/>
      <w:szCs w:val="22"/>
      <w14:ligatures w14:val="none"/>
    </w:rPr>
    <w:tblPr>
      <w:tblStyleRowBandSize w:val="1"/>
      <w:tblStyleColBandSize w:val="1"/>
    </w:tblPr>
    <w:tcPr>
      <w:shd w:val="clear" w:color="auto" w:fill="C1E4F5" w:themeFill="accent1" w:themeFillTint="33"/>
    </w:tc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style>
  <w:style w:type="character" w:customStyle="1" w:styleId="UnresolvedMention7">
    <w:name w:val="Unresolved Mention7"/>
    <w:basedOn w:val="DefaultParagraphFont"/>
    <w:uiPriority w:val="99"/>
    <w:semiHidden/>
    <w:unhideWhenUsed/>
    <w:rsid w:val="00CF32C3"/>
    <w:rPr>
      <w:color w:val="605E5C"/>
      <w:shd w:val="clear" w:color="auto" w:fill="E1DFDD"/>
    </w:rPr>
  </w:style>
  <w:style w:type="character" w:customStyle="1" w:styleId="UnresolvedMention8">
    <w:name w:val="Unresolved Mention8"/>
    <w:basedOn w:val="DefaultParagraphFont"/>
    <w:uiPriority w:val="99"/>
    <w:semiHidden/>
    <w:unhideWhenUsed/>
    <w:rsid w:val="00CF32C3"/>
    <w:rPr>
      <w:color w:val="605E5C"/>
      <w:shd w:val="clear" w:color="auto" w:fill="E1DFDD"/>
    </w:rPr>
  </w:style>
  <w:style w:type="character" w:customStyle="1" w:styleId="UnresolvedMention9">
    <w:name w:val="Unresolved Mention9"/>
    <w:basedOn w:val="DefaultParagraphFont"/>
    <w:uiPriority w:val="99"/>
    <w:semiHidden/>
    <w:unhideWhenUsed/>
    <w:rsid w:val="00CF32C3"/>
    <w:rPr>
      <w:color w:val="605E5C"/>
      <w:shd w:val="clear" w:color="auto" w:fill="E1DFDD"/>
    </w:rPr>
  </w:style>
  <w:style w:type="character" w:customStyle="1" w:styleId="UnresolvedMention100">
    <w:name w:val="Unresolved Mention100"/>
    <w:basedOn w:val="DefaultParagraphFont"/>
    <w:uiPriority w:val="99"/>
    <w:semiHidden/>
    <w:unhideWhenUsed/>
    <w:rsid w:val="00CF32C3"/>
    <w:rPr>
      <w:color w:val="605E5C"/>
      <w:shd w:val="clear" w:color="auto" w:fill="E1DFDD"/>
    </w:rPr>
  </w:style>
  <w:style w:type="paragraph" w:customStyle="1" w:styleId="western">
    <w:name w:val="western"/>
    <w:basedOn w:val="Normal"/>
    <w:rsid w:val="00CF32C3"/>
    <w:pPr>
      <w:spacing w:before="100" w:beforeAutospacing="1" w:after="100" w:afterAutospacing="1" w:line="240" w:lineRule="auto"/>
    </w:pPr>
    <w:rPr>
      <w:rFonts w:ascii="Times New Roman" w:hAnsi="Times New Roman" w:cs="Times New Roman"/>
      <w:kern w:val="0"/>
      <w14:ligatures w14:val="none"/>
    </w:rPr>
  </w:style>
  <w:style w:type="paragraph" w:styleId="TableofFigures">
    <w:name w:val="table of figures"/>
    <w:basedOn w:val="Normal"/>
    <w:next w:val="Normal"/>
    <w:uiPriority w:val="99"/>
    <w:unhideWhenUsed/>
    <w:rsid w:val="00CF32C3"/>
    <w:pPr>
      <w:spacing w:after="0" w:line="240" w:lineRule="auto"/>
    </w:pPr>
    <w:rPr>
      <w:rFonts w:ascii="Arial" w:eastAsia="Times New Roman" w:hAnsi="Arial" w:cs="Times New Roman"/>
      <w:i/>
      <w:kern w:val="0"/>
      <w:sz w:val="20"/>
      <w14:ligatures w14:val="none"/>
    </w:rPr>
  </w:style>
  <w:style w:type="character" w:customStyle="1" w:styleId="UnresolvedMention11">
    <w:name w:val="Unresolved Mention11"/>
    <w:basedOn w:val="DefaultParagraphFont"/>
    <w:uiPriority w:val="99"/>
    <w:semiHidden/>
    <w:unhideWhenUsed/>
    <w:rsid w:val="00CF32C3"/>
    <w:rPr>
      <w:color w:val="605E5C"/>
      <w:shd w:val="clear" w:color="auto" w:fill="E1DFDD"/>
    </w:rPr>
  </w:style>
  <w:style w:type="table" w:customStyle="1" w:styleId="Style2">
    <w:name w:val="Style2"/>
    <w:basedOn w:val="TableNormal"/>
    <w:uiPriority w:val="99"/>
    <w:rsid w:val="00CF32C3"/>
    <w:pPr>
      <w:spacing w:after="0" w:line="240" w:lineRule="auto"/>
    </w:pPr>
    <w:rPr>
      <w:rFonts w:ascii="Calibri" w:eastAsia="Calibri" w:hAnsi="Calibri" w:cs="Arial"/>
      <w:kern w:val="0"/>
      <w:sz w:val="22"/>
      <w:szCs w:val="22"/>
      <w14:ligatures w14:val="none"/>
    </w:rPr>
    <w:tblPr/>
  </w:style>
  <w:style w:type="character" w:customStyle="1" w:styleId="Pomenite1">
    <w:name w:val="Pomenite1"/>
    <w:basedOn w:val="DefaultParagraphFont"/>
    <w:uiPriority w:val="99"/>
    <w:unhideWhenUsed/>
    <w:rsid w:val="00CF32C3"/>
    <w:rPr>
      <w:color w:val="2B579A"/>
      <w:shd w:val="clear" w:color="auto" w:fill="E1DFDD"/>
    </w:rPr>
  </w:style>
  <w:style w:type="character" w:customStyle="1" w:styleId="normaltextrun1">
    <w:name w:val="normaltextrun1"/>
    <w:basedOn w:val="DefaultParagraphFont"/>
    <w:rsid w:val="00CF32C3"/>
  </w:style>
  <w:style w:type="character" w:customStyle="1" w:styleId="normaltextrun">
    <w:name w:val="normaltextrun"/>
    <w:basedOn w:val="DefaultParagraphFont"/>
    <w:rsid w:val="00CF32C3"/>
  </w:style>
  <w:style w:type="character" w:styleId="Emphasis">
    <w:name w:val="Emphasis"/>
    <w:basedOn w:val="DefaultParagraphFont"/>
    <w:uiPriority w:val="20"/>
    <w:qFormat/>
    <w:rsid w:val="00CF32C3"/>
    <w:rPr>
      <w:i/>
      <w:iCs/>
    </w:rPr>
  </w:style>
  <w:style w:type="character" w:customStyle="1" w:styleId="Hyperlink1">
    <w:name w:val="Hyperlink1"/>
    <w:basedOn w:val="DefaultParagraphFont"/>
    <w:uiPriority w:val="99"/>
    <w:unhideWhenUsed/>
    <w:rsid w:val="00AD4022"/>
    <w:rPr>
      <w:color w:val="0563C1"/>
      <w:u w:val="single"/>
    </w:rPr>
  </w:style>
  <w:style w:type="character" w:customStyle="1" w:styleId="FollowedHyperlink1">
    <w:name w:val="FollowedHyperlink1"/>
    <w:basedOn w:val="DefaultParagraphFont"/>
    <w:uiPriority w:val="99"/>
    <w:semiHidden/>
    <w:unhideWhenUsed/>
    <w:rsid w:val="00AD4022"/>
    <w:rPr>
      <w:color w:val="954F72"/>
      <w:u w:val="single"/>
    </w:rPr>
  </w:style>
  <w:style w:type="character" w:customStyle="1" w:styleId="SubtleEmphasis1">
    <w:name w:val="Subtle Emphasis1"/>
    <w:basedOn w:val="DefaultParagraphFont"/>
    <w:qFormat/>
    <w:rsid w:val="00AD4022"/>
    <w:rPr>
      <w:i/>
      <w:iCs/>
      <w:color w:val="404040"/>
    </w:rPr>
  </w:style>
  <w:style w:type="table" w:customStyle="1" w:styleId="ListTable1Light-Accent11">
    <w:name w:val="List Table 1 Light - Accent 11"/>
    <w:basedOn w:val="TableNormal"/>
    <w:uiPriority w:val="46"/>
    <w:rsid w:val="00AD4022"/>
    <w:pPr>
      <w:spacing w:after="0" w:line="240" w:lineRule="auto"/>
    </w:pPr>
    <w:rPr>
      <w:kern w:val="0"/>
      <w:sz w:val="22"/>
      <w:szCs w:val="22"/>
      <w14:ligatures w14:val="none"/>
    </w:rPr>
    <w:tblPr>
      <w:tblStyleRowBandSize w:val="1"/>
      <w:tblStyleColBandSize w:val="1"/>
    </w:tblPr>
    <w:tcPr>
      <w:shd w:val="clear" w:color="auto" w:fill="D9E2F3"/>
    </w:tc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style>
  <w:style w:type="paragraph" w:customStyle="1" w:styleId="Caption1">
    <w:name w:val="Caption1"/>
    <w:basedOn w:val="Normal"/>
    <w:next w:val="Normal"/>
    <w:uiPriority w:val="35"/>
    <w:unhideWhenUsed/>
    <w:qFormat/>
    <w:rsid w:val="00AD4022"/>
    <w:pPr>
      <w:spacing w:after="200" w:line="240" w:lineRule="auto"/>
    </w:pPr>
    <w:rPr>
      <w:rFonts w:ascii="Times New Roman" w:eastAsia="Times New Roman" w:hAnsi="Times New Roman" w:cs="Times New Roman"/>
      <w:i/>
      <w:iCs/>
      <w:color w:val="44546A"/>
      <w:kern w:val="0"/>
      <w:sz w:val="18"/>
      <w:szCs w:val="18"/>
      <w14:ligatures w14:val="none"/>
    </w:rPr>
  </w:style>
  <w:style w:type="character" w:customStyle="1" w:styleId="Mention2">
    <w:name w:val="Mention2"/>
    <w:basedOn w:val="DefaultParagraphFont"/>
    <w:uiPriority w:val="99"/>
    <w:unhideWhenUsed/>
    <w:rsid w:val="00AD4022"/>
    <w:rPr>
      <w:color w:val="2B579A"/>
      <w:shd w:val="clear" w:color="auto" w:fill="E1DFDD"/>
    </w:rPr>
  </w:style>
  <w:style w:type="character" w:customStyle="1" w:styleId="eop">
    <w:name w:val="eop"/>
    <w:basedOn w:val="DefaultParagraphFont"/>
    <w:rsid w:val="00AD4022"/>
  </w:style>
  <w:style w:type="character" w:customStyle="1" w:styleId="cf01">
    <w:name w:val="cf01"/>
    <w:basedOn w:val="DefaultParagraphFont"/>
    <w:rsid w:val="00AD4022"/>
    <w:rPr>
      <w:rFonts w:ascii="Segoe UI" w:hAnsi="Segoe UI" w:cs="Segoe UI" w:hint="default"/>
      <w:sz w:val="18"/>
      <w:szCs w:val="18"/>
    </w:rPr>
  </w:style>
  <w:style w:type="character" w:customStyle="1" w:styleId="UnresolvedMention12">
    <w:name w:val="Unresolved Mention12"/>
    <w:basedOn w:val="DefaultParagraphFont"/>
    <w:uiPriority w:val="99"/>
    <w:semiHidden/>
    <w:unhideWhenUsed/>
    <w:rsid w:val="00EC2D47"/>
    <w:rPr>
      <w:color w:val="605E5C"/>
      <w:shd w:val="clear" w:color="auto" w:fill="E1DFDD"/>
    </w:rPr>
  </w:style>
  <w:style w:type="character" w:customStyle="1" w:styleId="Mention3">
    <w:name w:val="Mention3"/>
    <w:basedOn w:val="DefaultParagraphFont"/>
    <w:uiPriority w:val="99"/>
    <w:unhideWhenUsed/>
    <w:rsid w:val="00486E93"/>
    <w:rPr>
      <w:color w:val="2B579A"/>
      <w:shd w:val="clear" w:color="auto" w:fill="E1DFDD"/>
    </w:rPr>
  </w:style>
  <w:style w:type="paragraph" w:customStyle="1" w:styleId="pf0">
    <w:name w:val="pf0"/>
    <w:basedOn w:val="Normal"/>
    <w:rsid w:val="001039DD"/>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UnresolvedMention13">
    <w:name w:val="Unresolved Mention13"/>
    <w:basedOn w:val="DefaultParagraphFont"/>
    <w:uiPriority w:val="99"/>
    <w:semiHidden/>
    <w:unhideWhenUsed/>
    <w:rsid w:val="00F7248F"/>
    <w:rPr>
      <w:color w:val="605E5C"/>
      <w:shd w:val="clear" w:color="auto" w:fill="E1DFDD"/>
    </w:rPr>
  </w:style>
  <w:style w:type="character" w:customStyle="1" w:styleId="UnresolvedMention14">
    <w:name w:val="Unresolved Mention14"/>
    <w:basedOn w:val="DefaultParagraphFont"/>
    <w:uiPriority w:val="99"/>
    <w:semiHidden/>
    <w:unhideWhenUsed/>
    <w:rsid w:val="009B315F"/>
    <w:rPr>
      <w:color w:val="605E5C"/>
      <w:shd w:val="clear" w:color="auto" w:fill="E1DFDD"/>
    </w:rPr>
  </w:style>
  <w:style w:type="character" w:customStyle="1" w:styleId="Mention4">
    <w:name w:val="Mention4"/>
    <w:basedOn w:val="DefaultParagraphFont"/>
    <w:uiPriority w:val="99"/>
    <w:unhideWhenUsed/>
    <w:rsid w:val="0079415B"/>
    <w:rPr>
      <w:color w:val="2B579A"/>
      <w:shd w:val="clear" w:color="auto" w:fill="E1DFDD"/>
    </w:rPr>
  </w:style>
  <w:style w:type="character" w:customStyle="1" w:styleId="cf11">
    <w:name w:val="cf11"/>
    <w:basedOn w:val="DefaultParagraphFont"/>
    <w:rsid w:val="00821C4A"/>
    <w:rPr>
      <w:rFonts w:ascii="Segoe UI" w:hAnsi="Segoe UI" w:cs="Segoe UI" w:hint="default"/>
      <w:sz w:val="18"/>
      <w:szCs w:val="18"/>
    </w:rPr>
  </w:style>
  <w:style w:type="character" w:customStyle="1" w:styleId="cf21">
    <w:name w:val="cf21"/>
    <w:basedOn w:val="DefaultParagraphFont"/>
    <w:rsid w:val="00821C4A"/>
    <w:rPr>
      <w:rFonts w:ascii="Segoe UI" w:hAnsi="Segoe UI" w:cs="Segoe UI" w:hint="default"/>
      <w:sz w:val="18"/>
      <w:szCs w:val="18"/>
    </w:rPr>
  </w:style>
  <w:style w:type="character" w:customStyle="1" w:styleId="UnresolvedMention15">
    <w:name w:val="Unresolved Mention15"/>
    <w:basedOn w:val="DefaultParagraphFont"/>
    <w:uiPriority w:val="99"/>
    <w:semiHidden/>
    <w:unhideWhenUsed/>
    <w:rsid w:val="00B33FAD"/>
    <w:rPr>
      <w:color w:val="605E5C"/>
      <w:shd w:val="clear" w:color="auto" w:fill="E1DFDD"/>
    </w:rPr>
  </w:style>
  <w:style w:type="character" w:customStyle="1" w:styleId="Mention5">
    <w:name w:val="Mention5"/>
    <w:basedOn w:val="DefaultParagraphFont"/>
    <w:uiPriority w:val="99"/>
    <w:unhideWhenUsed/>
    <w:rsid w:val="00B33F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050113">
      <w:bodyDiv w:val="1"/>
      <w:marLeft w:val="0"/>
      <w:marRight w:val="0"/>
      <w:marTop w:val="0"/>
      <w:marBottom w:val="0"/>
      <w:divBdr>
        <w:top w:val="none" w:sz="0" w:space="0" w:color="auto"/>
        <w:left w:val="none" w:sz="0" w:space="0" w:color="auto"/>
        <w:bottom w:val="none" w:sz="0" w:space="0" w:color="auto"/>
        <w:right w:val="none" w:sz="0" w:space="0" w:color="auto"/>
      </w:divBdr>
    </w:div>
    <w:div w:id="1848518212">
      <w:bodyDiv w:val="1"/>
      <w:marLeft w:val="0"/>
      <w:marRight w:val="0"/>
      <w:marTop w:val="0"/>
      <w:marBottom w:val="0"/>
      <w:divBdr>
        <w:top w:val="none" w:sz="0" w:space="0" w:color="auto"/>
        <w:left w:val="none" w:sz="0" w:space="0" w:color="auto"/>
        <w:bottom w:val="none" w:sz="0" w:space="0" w:color="auto"/>
        <w:right w:val="none" w:sz="0" w:space="0" w:color="auto"/>
      </w:divBdr>
    </w:div>
    <w:div w:id="1960143053">
      <w:bodyDiv w:val="1"/>
      <w:marLeft w:val="0"/>
      <w:marRight w:val="0"/>
      <w:marTop w:val="0"/>
      <w:marBottom w:val="0"/>
      <w:divBdr>
        <w:top w:val="none" w:sz="0" w:space="0" w:color="auto"/>
        <w:left w:val="none" w:sz="0" w:space="0" w:color="auto"/>
        <w:bottom w:val="none" w:sz="0" w:space="0" w:color="auto"/>
        <w:right w:val="none" w:sz="0" w:space="0" w:color="auto"/>
      </w:divBdr>
    </w:div>
    <w:div w:id="199486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applewebdata://41884C53-FEB1-49F4-982C-FB6DA1EBA45C/" TargetMode="External"/><Relationship Id="rId39" Type="http://schemas.openxmlformats.org/officeDocument/2006/relationships/hyperlink" Target="https://www.trezor.gov.rs/src/services/" TargetMode="External"/><Relationship Id="rId21" Type="http://schemas.openxmlformats.org/officeDocument/2006/relationships/footer" Target="footer1.xml"/><Relationship Id="rId34" Type="http://schemas.openxmlformats.org/officeDocument/2006/relationships/hyperlink" Target="applewebdata://41884C53-FEB1-49F4-982C-FB6DA1EBA45C/" TargetMode="External"/><Relationship Id="rId42" Type="http://schemas.openxmlformats.org/officeDocument/2006/relationships/hyperlink" Target="mailto:aleksandar.marinkovic@skgo.org" TargetMode="External"/><Relationship Id="rId47" Type="http://schemas.openxmlformats.org/officeDocument/2006/relationships/hyperlink" Target="mailto:milena.radomirovic@skgo.org" TargetMode="External"/><Relationship Id="rId50" Type="http://schemas.openxmlformats.org/officeDocument/2006/relationships/hyperlink" Target="https://rsjp.gov.rs/jls-baza/" TargetMode="External"/><Relationship Id="rId55" Type="http://schemas.openxmlformats.org/officeDocument/2006/relationships/hyperlink" Target="mailto:milos.mucok@skgo.org"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applewebdata://41884C53-FEB1-49F4-982C-FB6DA1EBA45C/" TargetMode="External"/><Relationship Id="rId11" Type="http://schemas.openxmlformats.org/officeDocument/2006/relationships/chart" Target="charts/chart1.xml"/><Relationship Id="rId24" Type="http://schemas.openxmlformats.org/officeDocument/2006/relationships/hyperlink" Target="applewebdata://41884C53-FEB1-49F4-982C-FB6DA1EBA45C/" TargetMode="External"/><Relationship Id="rId32" Type="http://schemas.openxmlformats.org/officeDocument/2006/relationships/hyperlink" Target="applewebdata://41884C53-FEB1-49F4-982C-FB6DA1EBA45C/" TargetMode="External"/><Relationship Id="rId37" Type="http://schemas.openxmlformats.org/officeDocument/2006/relationships/hyperlink" Target="https://www.sigmaweb.org/en/publications/public-administration-in-serbia-2024_02001fe4-en.html" TargetMode="External"/><Relationship Id="rId40" Type="http://schemas.openxmlformats.org/officeDocument/2006/relationships/hyperlink" Target="https://rsjp.gov.rs/jls-baza/" TargetMode="External"/><Relationship Id="rId45" Type="http://schemas.openxmlformats.org/officeDocument/2006/relationships/hyperlink" Target="mailto:milena.radomirovic@skgo.org" TargetMode="External"/><Relationship Id="rId53" Type="http://schemas.openxmlformats.org/officeDocument/2006/relationships/hyperlink" Target="mailto:milos.mucok@skgo.org" TargetMode="External"/><Relationship Id="rId58" Type="http://schemas.openxmlformats.org/officeDocument/2006/relationships/hyperlink" Target="https://www.sigmaweb.org/en/publications/implementation-and-challenges-of-multi-level-governance-in-the-western-balkans_32891a8f-en.html" TargetMode="External"/><Relationship Id="rId5" Type="http://schemas.openxmlformats.org/officeDocument/2006/relationships/numbering" Target="numbering.xml"/><Relationship Id="rId61" Type="http://schemas.openxmlformats.org/officeDocument/2006/relationships/hyperlink" Target="https://mduls.gov.rs/obavestenja/obavestenje-o-pocetku-izrade-predloga-programa-za-reformu-sistema-lokalne-samouprave-u-republici-srbiji-za-period-od-2026-do-2030-godine-sa-akcionim-planom-za-njegovo-sprovodjenje/"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applewebdata://41884C53-FEB1-49F4-982C-FB6DA1EBA45C/" TargetMode="External"/><Relationship Id="rId27" Type="http://schemas.openxmlformats.org/officeDocument/2006/relationships/hyperlink" Target="applewebdata://41884C53-FEB1-49F4-982C-FB6DA1EBA45C/" TargetMode="External"/><Relationship Id="rId30" Type="http://schemas.openxmlformats.org/officeDocument/2006/relationships/hyperlink" Target="applewebdata://41884C53-FEB1-49F4-982C-FB6DA1EBA45C/" TargetMode="External"/><Relationship Id="rId35" Type="http://schemas.openxmlformats.org/officeDocument/2006/relationships/hyperlink" Target="mailto:dusanka.jovanovic@mduls.gov.rs" TargetMode="External"/><Relationship Id="rId43" Type="http://schemas.openxmlformats.org/officeDocument/2006/relationships/hyperlink" Target="mailto:milena.radomirovic@skgo.org" TargetMode="External"/><Relationship Id="rId48" Type="http://schemas.openxmlformats.org/officeDocument/2006/relationships/hyperlink" Target="mailto:ivan.zecic@mfin.gov.rs" TargetMode="External"/><Relationship Id="rId56" Type="http://schemas.openxmlformats.org/officeDocument/2006/relationships/hyperlink" Target="mailto:dusanka.jovanovic@mduls.gov.rs" TargetMode="External"/><Relationship Id="rId8" Type="http://schemas.openxmlformats.org/officeDocument/2006/relationships/webSettings" Target="webSettings.xml"/><Relationship Id="rId51" Type="http://schemas.openxmlformats.org/officeDocument/2006/relationships/hyperlink" Target="mailto:ivan.zecic@mfin.gov.rs" TargetMode="External"/><Relationship Id="rId3" Type="http://schemas.openxmlformats.org/officeDocument/2006/relationships/customXml" Target="../customXml/item3.xml"/><Relationship Id="rId12" Type="http://schemas.openxmlformats.org/officeDocument/2006/relationships/chart" Target="charts/chart2.xml"/><Relationship Id="rId17" Type="http://schemas.openxmlformats.org/officeDocument/2006/relationships/image" Target="media/image5.png"/><Relationship Id="rId25" Type="http://schemas.openxmlformats.org/officeDocument/2006/relationships/hyperlink" Target="applewebdata://41884C53-FEB1-49F4-982C-FB6DA1EBA45C/" TargetMode="External"/><Relationship Id="rId33" Type="http://schemas.openxmlformats.org/officeDocument/2006/relationships/hyperlink" Target="applewebdata://41884C53-FEB1-49F4-982C-FB6DA1EBA45C/" TargetMode="External"/><Relationship Id="rId38" Type="http://schemas.openxmlformats.org/officeDocument/2006/relationships/hyperlink" Target="https://www.mfin.gov.rs/aktivnosti/bilten-javnih-finansija" TargetMode="External"/><Relationship Id="rId46" Type="http://schemas.openxmlformats.org/officeDocument/2006/relationships/hyperlink" Target="mailto:dusanka.jovanovic@mduls.gov.rs" TargetMode="External"/><Relationship Id="rId59" Type="http://schemas.openxmlformats.org/officeDocument/2006/relationships/hyperlink" Target="mailto:dusanka.jovanovic@mduls.gov.rs" TargetMode="External"/><Relationship Id="rId20" Type="http://schemas.openxmlformats.org/officeDocument/2006/relationships/image" Target="media/image8.png"/><Relationship Id="rId41" Type="http://schemas.openxmlformats.org/officeDocument/2006/relationships/hyperlink" Target="mailto:ivan.zecic@mfin.gov.rs" TargetMode="External"/><Relationship Id="rId54" Type="http://schemas.openxmlformats.org/officeDocument/2006/relationships/hyperlink" Target="mailto:dusanka.jovanovic@mduls.gov.r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applewebdata://41884C53-FEB1-49F4-982C-FB6DA1EBA45C/" TargetMode="External"/><Relationship Id="rId28" Type="http://schemas.openxmlformats.org/officeDocument/2006/relationships/hyperlink" Target="applewebdata://41884C53-FEB1-49F4-982C-FB6DA1EBA45C/" TargetMode="External"/><Relationship Id="rId36" Type="http://schemas.openxmlformats.org/officeDocument/2006/relationships/hyperlink" Target="mailto:milena.radomirovic@skgo.org" TargetMode="External"/><Relationship Id="rId49" Type="http://schemas.openxmlformats.org/officeDocument/2006/relationships/hyperlink" Target="mailto:aleksandar.marinkovic@skgo.org" TargetMode="External"/><Relationship Id="rId57" Type="http://schemas.openxmlformats.org/officeDocument/2006/relationships/hyperlink" Target="mailto:milena.radomirovic@skgo.org" TargetMode="External"/><Relationship Id="rId10" Type="http://schemas.openxmlformats.org/officeDocument/2006/relationships/endnotes" Target="endnotes.xml"/><Relationship Id="rId31" Type="http://schemas.openxmlformats.org/officeDocument/2006/relationships/hyperlink" Target="applewebdata://41884C53-FEB1-49F4-982C-FB6DA1EBA45C/" TargetMode="External"/><Relationship Id="rId44" Type="http://schemas.openxmlformats.org/officeDocument/2006/relationships/hyperlink" Target="mailto:dusanka.jovanovic@mduls.gov.rs" TargetMode="External"/><Relationship Id="rId52" Type="http://schemas.openxmlformats.org/officeDocument/2006/relationships/hyperlink" Target="mailto:aleksandar.marinkovic@skgo.org" TargetMode="External"/><Relationship Id="rId60" Type="http://schemas.openxmlformats.org/officeDocument/2006/relationships/hyperlink" Target="https://ekonsultacije.gov.rs/topicOfDiscussionPage/458/3"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rsjp.gov.rs/cir/dokumenti-kategorija-cir/prirucnici-cir/" TargetMode="External"/><Relationship Id="rId13" Type="http://schemas.openxmlformats.org/officeDocument/2006/relationships/hyperlink" Target="https://eur-lex.europa.eu/eli/reg_del/2014/240/oj/eng" TargetMode="External"/><Relationship Id="rId3" Type="http://schemas.openxmlformats.org/officeDocument/2006/relationships/hyperlink" Target="https://www.transparentnost.org.rs/sr/istraivanja-o-korupciji/lipa" TargetMode="External"/><Relationship Id="rId7" Type="http://schemas.openxmlformats.org/officeDocument/2006/relationships/hyperlink" Target="https://www.sigmaweb.org/en/publications/inter-municipal-co-operation-in-the-western-balkans_a78a01e6-en.html" TargetMode="External"/><Relationship Id="rId12" Type="http://schemas.openxmlformats.org/officeDocument/2006/relationships/hyperlink" Target="https://www.skgo.org/storage/app/uploads/public/175/515/816/1755158163_Prirucnik%20za%20primenu%20Uredbe%20o%20KP%20u%20LS%20sa%20prilozima.zip" TargetMode="External"/><Relationship Id="rId2" Type="http://schemas.openxmlformats.org/officeDocument/2006/relationships/hyperlink" Target="https://med.org.rs/" TargetMode="External"/><Relationship Id="rId1" Type="http://schemas.openxmlformats.org/officeDocument/2006/relationships/hyperlink" Target="https://www.congress-monitoring.eu/en/pays.html" TargetMode="External"/><Relationship Id="rId6" Type="http://schemas.openxmlformats.org/officeDocument/2006/relationships/hyperlink" Target="https://pravno-informacioni-sistem.rs/eli/rep/sgrs/ministarstva/pravilnik/2024/69/1" TargetMode="External"/><Relationship Id="rId11" Type="http://schemas.openxmlformats.org/officeDocument/2006/relationships/hyperlink" Target="https://rsjp.gov.rs/wp-content/uploads/&#1052;&#1077;&#1090;&#1086;&#1076;&#1086;&#1083;&#1086;&#1075;&#1080;&#1112;&#1072;-&#1079;&#1072;-&#1087;&#1086;&#1074;&#1077;&#1079;&#1080;&#1074;&#1072;&#1114;&#1077;-&#1094;&#1080;&#1113;&#1077;&#1074;&#1072;-&#1044;&#1032;&#1055;-&#1089;&#1072;-&#1094;&#1080;&#1113;&#1077;&#1074;&#1080;&#1084;&#1072;-&#1086;&#1076;&#1088;&#1078;&#1080;&#1074;&#1086;&#1075;-&#1088;&#1072;&#1079;&#1074;&#1086;&#1112;&#1072;.pdf" TargetMode="External"/><Relationship Id="rId5" Type="http://schemas.openxmlformats.org/officeDocument/2006/relationships/hyperlink" Target="https://napa.gov.rs/extfile/sr/8109/Aneks-evaluacija-2024.pdf" TargetMode="External"/><Relationship Id="rId10" Type="http://schemas.openxmlformats.org/officeDocument/2006/relationships/hyperlink" Target="https://www.sigmaweb.org/en/publications/public-administration-in-serbia-2024_02001fe4-en.html" TargetMode="External"/><Relationship Id="rId4" Type="http://schemas.openxmlformats.org/officeDocument/2006/relationships/hyperlink" Target="https://www.mfin.gov.rs/o-ministarstvu/konsolidovani-godinji-izvetaj" TargetMode="External"/><Relationship Id="rId9" Type="http://schemas.openxmlformats.org/officeDocument/2006/relationships/hyperlink" Target="https://www.sigmaweb.org/en/publications/public-administration-in-serbia-2024_02001fe4-en.html" TargetMode="External"/><Relationship Id="rId14" Type="http://schemas.openxmlformats.org/officeDocument/2006/relationships/hyperlink" Target="https://monitoring.mduls.gov.rs/upload/media/0/0/0/11932/Resenje%202026-2030..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Prihodi!$B$12</c:f>
              <c:strCache>
                <c:ptCount val="1"/>
                <c:pt idx="0">
                  <c:v>У милијардама РСД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Prihodi!$A$13:$A$20</c:f>
              <c:numCache>
                <c:formatCode>General</c:formatCode>
                <c:ptCount val="8"/>
                <c:pt idx="0">
                  <c:v>2017</c:v>
                </c:pt>
                <c:pt idx="1">
                  <c:v>2018</c:v>
                </c:pt>
                <c:pt idx="2">
                  <c:v>2019</c:v>
                </c:pt>
                <c:pt idx="3">
                  <c:v>2020</c:v>
                </c:pt>
                <c:pt idx="4">
                  <c:v>2021</c:v>
                </c:pt>
                <c:pt idx="5">
                  <c:v>2022</c:v>
                </c:pt>
                <c:pt idx="6">
                  <c:v>2023</c:v>
                </c:pt>
                <c:pt idx="7">
                  <c:v>2024</c:v>
                </c:pt>
              </c:numCache>
            </c:numRef>
          </c:cat>
          <c:val>
            <c:numRef>
              <c:f>Prihodi!$B$13:$B$20</c:f>
              <c:numCache>
                <c:formatCode>0</c:formatCode>
                <c:ptCount val="8"/>
                <c:pt idx="0">
                  <c:v>280.51739999999995</c:v>
                </c:pt>
                <c:pt idx="1">
                  <c:v>300.3261</c:v>
                </c:pt>
                <c:pt idx="2">
                  <c:v>326.44069999999999</c:v>
                </c:pt>
                <c:pt idx="3">
                  <c:v>322.43779999999998</c:v>
                </c:pt>
                <c:pt idx="4">
                  <c:v>379.32239999999996</c:v>
                </c:pt>
                <c:pt idx="5">
                  <c:v>421.53550000000001</c:v>
                </c:pt>
                <c:pt idx="6">
                  <c:v>468.23379999999997</c:v>
                </c:pt>
                <c:pt idx="7">
                  <c:v>512.42290000000003</c:v>
                </c:pt>
              </c:numCache>
            </c:numRef>
          </c:val>
          <c:extLst>
            <c:ext xmlns:c16="http://schemas.microsoft.com/office/drawing/2014/chart" uri="{C3380CC4-5D6E-409C-BE32-E72D297353CC}">
              <c16:uniqueId val="{00000000-606C-4531-B286-C25A24A24F6D}"/>
            </c:ext>
          </c:extLst>
        </c:ser>
        <c:dLbls>
          <c:showLegendKey val="0"/>
          <c:showVal val="0"/>
          <c:showCatName val="0"/>
          <c:showSerName val="0"/>
          <c:showPercent val="0"/>
          <c:showBubbleSize val="0"/>
        </c:dLbls>
        <c:gapWidth val="219"/>
        <c:overlap val="-27"/>
        <c:axId val="2017030687"/>
        <c:axId val="2017027327"/>
      </c:barChart>
      <c:lineChart>
        <c:grouping val="standard"/>
        <c:varyColors val="0"/>
        <c:ser>
          <c:idx val="1"/>
          <c:order val="1"/>
          <c:tx>
            <c:strRef>
              <c:f>Prihodi!$C$12</c:f>
              <c:strCache>
                <c:ptCount val="1"/>
                <c:pt idx="0">
                  <c:v>Учешће прихода ЈЛС у консолидованим приходима државе</c:v>
                </c:pt>
              </c:strCache>
            </c:strRef>
          </c:tx>
          <c:spPr>
            <a:ln w="28575" cap="rnd">
              <a:solidFill>
                <a:schemeClr val="accent2"/>
              </a:solidFill>
              <a:round/>
            </a:ln>
            <a:effectLst/>
          </c:spPr>
          <c:marker>
            <c:symbol val="none"/>
          </c:marker>
          <c:dLbls>
            <c:dLbl>
              <c:idx val="0"/>
              <c:layout>
                <c:manualLayout>
                  <c:x val="-2.136752136752137E-3"/>
                  <c:y val="-4.62046204620462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06C-4531-B286-C25A24A24F6D}"/>
                </c:ext>
              </c:extLst>
            </c:dLbl>
            <c:dLbl>
              <c:idx val="1"/>
              <c:layout>
                <c:manualLayout>
                  <c:x val="-2.9914529914529916E-2"/>
                  <c:y val="-4.950495049504952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1442391816407561E-2"/>
                      <c:h val="0.21772303214573424"/>
                    </c:manualLayout>
                  </c15:layout>
                </c:ext>
                <c:ext xmlns:c16="http://schemas.microsoft.com/office/drawing/2014/chart" uri="{C3380CC4-5D6E-409C-BE32-E72D297353CC}">
                  <c16:uniqueId val="{00000003-606C-4531-B286-C25A24A24F6D}"/>
                </c:ext>
              </c:extLst>
            </c:dLbl>
            <c:dLbl>
              <c:idx val="2"/>
              <c:layout>
                <c:manualLayout>
                  <c:x val="2.1367521367520975E-3"/>
                  <c:y val="-1.980172032951326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6.5032135406151159E-2"/>
                      <c:h val="0.11211247108962863"/>
                    </c:manualLayout>
                  </c15:layout>
                </c:ext>
                <c:ext xmlns:c16="http://schemas.microsoft.com/office/drawing/2014/chart" uri="{C3380CC4-5D6E-409C-BE32-E72D297353CC}">
                  <c16:uniqueId val="{00000004-606C-4531-B286-C25A24A24F6D}"/>
                </c:ext>
              </c:extLst>
            </c:dLbl>
            <c:dLbl>
              <c:idx val="4"/>
              <c:layout>
                <c:manualLayout>
                  <c:x val="2.1368362608520089E-3"/>
                  <c:y val="-3.9603700527533064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7852648226663962E-2"/>
                      <c:h val="0.21112237207972762"/>
                    </c:manualLayout>
                  </c15:layout>
                </c:ext>
                <c:ext xmlns:c16="http://schemas.microsoft.com/office/drawing/2014/chart" uri="{C3380CC4-5D6E-409C-BE32-E72D297353CC}">
                  <c16:uniqueId val="{00000005-606C-4531-B286-C25A24A24F6D}"/>
                </c:ext>
              </c:extLst>
            </c:dLbl>
            <c:dLbl>
              <c:idx val="5"/>
              <c:layout>
                <c:manualLayout>
                  <c:x val="2.136752136752137E-3"/>
                  <c:y val="-2.9702710428523155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3579143953159704E-2"/>
                      <c:h val="0.17151841168368806"/>
                    </c:manualLayout>
                  </c15:layout>
                </c:ext>
                <c:ext xmlns:c16="http://schemas.microsoft.com/office/drawing/2014/chart" uri="{C3380CC4-5D6E-409C-BE32-E72D297353CC}">
                  <c16:uniqueId val="{00000006-606C-4531-B286-C25A24A24F6D}"/>
                </c:ext>
              </c:extLst>
            </c:dLbl>
            <c:dLbl>
              <c:idx val="6"/>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606C-4531-B286-C25A24A24F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Prihodi!$A$13:$A$20</c:f>
              <c:numCache>
                <c:formatCode>General</c:formatCode>
                <c:ptCount val="8"/>
                <c:pt idx="0">
                  <c:v>2017</c:v>
                </c:pt>
                <c:pt idx="1">
                  <c:v>2018</c:v>
                </c:pt>
                <c:pt idx="2">
                  <c:v>2019</c:v>
                </c:pt>
                <c:pt idx="3">
                  <c:v>2020</c:v>
                </c:pt>
                <c:pt idx="4">
                  <c:v>2021</c:v>
                </c:pt>
                <c:pt idx="5">
                  <c:v>2022</c:v>
                </c:pt>
                <c:pt idx="6">
                  <c:v>2023</c:v>
                </c:pt>
                <c:pt idx="7">
                  <c:v>2024</c:v>
                </c:pt>
              </c:numCache>
            </c:numRef>
          </c:cat>
          <c:val>
            <c:numRef>
              <c:f>Prihodi!$C$13:$C$20</c:f>
              <c:numCache>
                <c:formatCode>0.0%</c:formatCode>
                <c:ptCount val="8"/>
                <c:pt idx="0">
                  <c:v>0.1457</c:v>
                </c:pt>
                <c:pt idx="1">
                  <c:v>0.1459</c:v>
                </c:pt>
                <c:pt idx="2">
                  <c:v>0.1474</c:v>
                </c:pt>
                <c:pt idx="3">
                  <c:v>0.1449</c:v>
                </c:pt>
                <c:pt idx="4">
                  <c:v>0.1406</c:v>
                </c:pt>
                <c:pt idx="5">
                  <c:v>0.13869999999999999</c:v>
                </c:pt>
                <c:pt idx="6">
                  <c:v>0.1361</c:v>
                </c:pt>
                <c:pt idx="7">
                  <c:v>0.1326</c:v>
                </c:pt>
              </c:numCache>
            </c:numRef>
          </c:val>
          <c:smooth val="0"/>
          <c:extLst>
            <c:ext xmlns:c16="http://schemas.microsoft.com/office/drawing/2014/chart" uri="{C3380CC4-5D6E-409C-BE32-E72D297353CC}">
              <c16:uniqueId val="{00000001-606C-4531-B286-C25A24A24F6D}"/>
            </c:ext>
          </c:extLst>
        </c:ser>
        <c:dLbls>
          <c:showLegendKey val="0"/>
          <c:showVal val="0"/>
          <c:showCatName val="0"/>
          <c:showSerName val="0"/>
          <c:showPercent val="0"/>
          <c:showBubbleSize val="0"/>
        </c:dLbls>
        <c:marker val="1"/>
        <c:smooth val="0"/>
        <c:axId val="2017032607"/>
        <c:axId val="2017032127"/>
      </c:lineChart>
      <c:catAx>
        <c:axId val="2017030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7027327"/>
        <c:crosses val="autoZero"/>
        <c:auto val="1"/>
        <c:lblAlgn val="ctr"/>
        <c:lblOffset val="100"/>
        <c:noMultiLvlLbl val="0"/>
      </c:catAx>
      <c:valAx>
        <c:axId val="20170273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7030687"/>
        <c:crosses val="autoZero"/>
        <c:crossBetween val="between"/>
      </c:valAx>
      <c:valAx>
        <c:axId val="2017032127"/>
        <c:scaling>
          <c:orientation val="minMax"/>
          <c:max val="0.15000000000000002"/>
          <c:min val="0.125"/>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17032607"/>
        <c:crosses val="max"/>
        <c:crossBetween val="between"/>
      </c:valAx>
      <c:catAx>
        <c:axId val="2017032607"/>
        <c:scaling>
          <c:orientation val="minMax"/>
        </c:scaling>
        <c:delete val="1"/>
        <c:axPos val="b"/>
        <c:numFmt formatCode="General" sourceLinked="1"/>
        <c:majorTickMark val="none"/>
        <c:minorTickMark val="none"/>
        <c:tickLblPos val="nextTo"/>
        <c:crossAx val="201703212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38033159929582E-2"/>
          <c:y val="5.7971014492753624E-2"/>
          <c:w val="0.89590751108066957"/>
          <c:h val="0.67953319394397738"/>
        </c:manualLayout>
      </c:layout>
      <c:barChart>
        <c:barDir val="col"/>
        <c:grouping val="stacked"/>
        <c:varyColors val="0"/>
        <c:ser>
          <c:idx val="0"/>
          <c:order val="0"/>
          <c:tx>
            <c:strRef>
              <c:f>'[Chart in Microsoft Word]Prihodi'!$C$57</c:f>
              <c:strCache>
                <c:ptCount val="1"/>
                <c:pt idx="0">
                  <c:v> Порез на доходак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Word]Prihodi'!$D$56:$K$56</c:f>
              <c:numCache>
                <c:formatCode>General</c:formatCode>
                <c:ptCount val="8"/>
                <c:pt idx="0">
                  <c:v>2017</c:v>
                </c:pt>
                <c:pt idx="1">
                  <c:v>2018</c:v>
                </c:pt>
                <c:pt idx="2">
                  <c:v>2019</c:v>
                </c:pt>
                <c:pt idx="3">
                  <c:v>2020</c:v>
                </c:pt>
                <c:pt idx="4">
                  <c:v>2021</c:v>
                </c:pt>
                <c:pt idx="5">
                  <c:v>2022</c:v>
                </c:pt>
                <c:pt idx="6">
                  <c:v>2023</c:v>
                </c:pt>
                <c:pt idx="7">
                  <c:v>2024</c:v>
                </c:pt>
              </c:numCache>
            </c:numRef>
          </c:cat>
          <c:val>
            <c:numRef>
              <c:f>'[Chart in Microsoft Word]Prihodi'!$D$57:$K$57</c:f>
              <c:numCache>
                <c:formatCode>0%</c:formatCode>
                <c:ptCount val="8"/>
                <c:pt idx="0">
                  <c:v>0.3808302087499742</c:v>
                </c:pt>
                <c:pt idx="1">
                  <c:v>0.38074188146644738</c:v>
                </c:pt>
                <c:pt idx="2">
                  <c:v>0.39230555503648906</c:v>
                </c:pt>
                <c:pt idx="3">
                  <c:v>0.40749323512308588</c:v>
                </c:pt>
                <c:pt idx="4">
                  <c:v>0.4344424253464666</c:v>
                </c:pt>
                <c:pt idx="5">
                  <c:v>0.45603099714472511</c:v>
                </c:pt>
                <c:pt idx="6">
                  <c:v>0.47604487330901785</c:v>
                </c:pt>
                <c:pt idx="7">
                  <c:v>0.50694221782134175</c:v>
                </c:pt>
              </c:numCache>
            </c:numRef>
          </c:val>
          <c:extLst>
            <c:ext xmlns:c16="http://schemas.microsoft.com/office/drawing/2014/chart" uri="{C3380CC4-5D6E-409C-BE32-E72D297353CC}">
              <c16:uniqueId val="{00000000-B298-4A6A-BA4F-FFC14C212F15}"/>
            </c:ext>
          </c:extLst>
        </c:ser>
        <c:ser>
          <c:idx val="1"/>
          <c:order val="1"/>
          <c:tx>
            <c:strRef>
              <c:f>'[Chart in Microsoft Word]Prihodi'!$C$58</c:f>
              <c:strCache>
                <c:ptCount val="1"/>
                <c:pt idx="0">
                  <c:v>Порез на имовину</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Word]Prihodi'!$D$56:$K$56</c:f>
              <c:numCache>
                <c:formatCode>General</c:formatCode>
                <c:ptCount val="8"/>
                <c:pt idx="0">
                  <c:v>2017</c:v>
                </c:pt>
                <c:pt idx="1">
                  <c:v>2018</c:v>
                </c:pt>
                <c:pt idx="2">
                  <c:v>2019</c:v>
                </c:pt>
                <c:pt idx="3">
                  <c:v>2020</c:v>
                </c:pt>
                <c:pt idx="4">
                  <c:v>2021</c:v>
                </c:pt>
                <c:pt idx="5">
                  <c:v>2022</c:v>
                </c:pt>
                <c:pt idx="6">
                  <c:v>2023</c:v>
                </c:pt>
                <c:pt idx="7">
                  <c:v>2024</c:v>
                </c:pt>
              </c:numCache>
            </c:numRef>
          </c:cat>
          <c:val>
            <c:numRef>
              <c:f>'[Chart in Microsoft Word]Prihodi'!$D$58:$K$58</c:f>
              <c:numCache>
                <c:formatCode>0%</c:formatCode>
                <c:ptCount val="8"/>
                <c:pt idx="0">
                  <c:v>0.16274106347770229</c:v>
                </c:pt>
                <c:pt idx="1">
                  <c:v>0.1649187518327582</c:v>
                </c:pt>
                <c:pt idx="2">
                  <c:v>0.16271255391867498</c:v>
                </c:pt>
                <c:pt idx="3">
                  <c:v>0.16948121729017251</c:v>
                </c:pt>
                <c:pt idx="4">
                  <c:v>0.16112129447701862</c:v>
                </c:pt>
                <c:pt idx="5">
                  <c:v>0.15951867410486803</c:v>
                </c:pt>
                <c:pt idx="6">
                  <c:v>0.15462360897483265</c:v>
                </c:pt>
                <c:pt idx="7">
                  <c:v>0.15327755776627383</c:v>
                </c:pt>
              </c:numCache>
            </c:numRef>
          </c:val>
          <c:extLst>
            <c:ext xmlns:c16="http://schemas.microsoft.com/office/drawing/2014/chart" uri="{C3380CC4-5D6E-409C-BE32-E72D297353CC}">
              <c16:uniqueId val="{00000001-B298-4A6A-BA4F-FFC14C212F15}"/>
            </c:ext>
          </c:extLst>
        </c:ser>
        <c:ser>
          <c:idx val="2"/>
          <c:order val="2"/>
          <c:tx>
            <c:strRef>
              <c:f>'[Chart in Microsoft Word]Prihodi'!$C$59</c:f>
              <c:strCache>
                <c:ptCount val="1"/>
                <c:pt idx="0">
                  <c:v>Други порези</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Word]Prihodi'!$D$56:$K$56</c:f>
              <c:numCache>
                <c:formatCode>General</c:formatCode>
                <c:ptCount val="8"/>
                <c:pt idx="0">
                  <c:v>2017</c:v>
                </c:pt>
                <c:pt idx="1">
                  <c:v>2018</c:v>
                </c:pt>
                <c:pt idx="2">
                  <c:v>2019</c:v>
                </c:pt>
                <c:pt idx="3">
                  <c:v>2020</c:v>
                </c:pt>
                <c:pt idx="4">
                  <c:v>2021</c:v>
                </c:pt>
                <c:pt idx="5">
                  <c:v>2022</c:v>
                </c:pt>
                <c:pt idx="6">
                  <c:v>2023</c:v>
                </c:pt>
                <c:pt idx="7">
                  <c:v>2024</c:v>
                </c:pt>
              </c:numCache>
            </c:numRef>
          </c:cat>
          <c:val>
            <c:numRef>
              <c:f>'[Chart in Microsoft Word]Prihodi'!$D$59:$K$59</c:f>
              <c:numCache>
                <c:formatCode>0%</c:formatCode>
                <c:ptCount val="8"/>
                <c:pt idx="0">
                  <c:v>5.3202760327879843E-2</c:v>
                </c:pt>
                <c:pt idx="1">
                  <c:v>5.2116164180983637E-2</c:v>
                </c:pt>
                <c:pt idx="2">
                  <c:v>4.7714332189582986E-2</c:v>
                </c:pt>
                <c:pt idx="3">
                  <c:v>4.7837798022872649E-2</c:v>
                </c:pt>
                <c:pt idx="4">
                  <c:v>4.7020699811215955E-2</c:v>
                </c:pt>
                <c:pt idx="5">
                  <c:v>4.6137740205097748E-2</c:v>
                </c:pt>
                <c:pt idx="6">
                  <c:v>4.2966996402224698E-2</c:v>
                </c:pt>
                <c:pt idx="7">
                  <c:v>4.1795181985497525E-2</c:v>
                </c:pt>
              </c:numCache>
            </c:numRef>
          </c:val>
          <c:extLst>
            <c:ext xmlns:c16="http://schemas.microsoft.com/office/drawing/2014/chart" uri="{C3380CC4-5D6E-409C-BE32-E72D297353CC}">
              <c16:uniqueId val="{00000002-B298-4A6A-BA4F-FFC14C212F15}"/>
            </c:ext>
          </c:extLst>
        </c:ser>
        <c:ser>
          <c:idx val="3"/>
          <c:order val="3"/>
          <c:tx>
            <c:strRef>
              <c:f>'[Chart in Microsoft Word]Prihodi'!$C$60</c:f>
              <c:strCache>
                <c:ptCount val="1"/>
                <c:pt idx="0">
                  <c:v>Остали приходи</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Word]Prihodi'!$D$56:$K$56</c:f>
              <c:numCache>
                <c:formatCode>General</c:formatCode>
                <c:ptCount val="8"/>
                <c:pt idx="0">
                  <c:v>2017</c:v>
                </c:pt>
                <c:pt idx="1">
                  <c:v>2018</c:v>
                </c:pt>
                <c:pt idx="2">
                  <c:v>2019</c:v>
                </c:pt>
                <c:pt idx="3">
                  <c:v>2020</c:v>
                </c:pt>
                <c:pt idx="4">
                  <c:v>2021</c:v>
                </c:pt>
                <c:pt idx="5">
                  <c:v>2022</c:v>
                </c:pt>
                <c:pt idx="6">
                  <c:v>2023</c:v>
                </c:pt>
                <c:pt idx="7">
                  <c:v>2024</c:v>
                </c:pt>
              </c:numCache>
            </c:numRef>
          </c:cat>
          <c:val>
            <c:numRef>
              <c:f>'[Chart in Microsoft Word]Prihodi'!$D$60:$K$60</c:f>
              <c:numCache>
                <c:formatCode>0%</c:formatCode>
                <c:ptCount val="8"/>
                <c:pt idx="0">
                  <c:v>0.21277860125610748</c:v>
                </c:pt>
                <c:pt idx="1">
                  <c:v>0.19833678356144921</c:v>
                </c:pt>
                <c:pt idx="2">
                  <c:v>0.20802216145229441</c:v>
                </c:pt>
                <c:pt idx="3">
                  <c:v>0.19176894747044002</c:v>
                </c:pt>
                <c:pt idx="4">
                  <c:v>0.16327988098775104</c:v>
                </c:pt>
                <c:pt idx="5">
                  <c:v>0.17968850080515147</c:v>
                </c:pt>
                <c:pt idx="6">
                  <c:v>0.16318493026347095</c:v>
                </c:pt>
                <c:pt idx="7">
                  <c:v>0.14176245509810556</c:v>
                </c:pt>
              </c:numCache>
            </c:numRef>
          </c:val>
          <c:extLst>
            <c:ext xmlns:c16="http://schemas.microsoft.com/office/drawing/2014/chart" uri="{C3380CC4-5D6E-409C-BE32-E72D297353CC}">
              <c16:uniqueId val="{00000003-B298-4A6A-BA4F-FFC14C212F15}"/>
            </c:ext>
          </c:extLst>
        </c:ser>
        <c:ser>
          <c:idx val="4"/>
          <c:order val="4"/>
          <c:tx>
            <c:strRef>
              <c:f>'[Chart in Microsoft Word]Prihodi'!$C$61</c:f>
              <c:strCache>
                <c:ptCount val="1"/>
                <c:pt idx="0">
                  <c:v>Донације и  oстали трансфери</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Word]Prihodi'!$D$56:$K$56</c:f>
              <c:numCache>
                <c:formatCode>General</c:formatCode>
                <c:ptCount val="8"/>
                <c:pt idx="0">
                  <c:v>2017</c:v>
                </c:pt>
                <c:pt idx="1">
                  <c:v>2018</c:v>
                </c:pt>
                <c:pt idx="2">
                  <c:v>2019</c:v>
                </c:pt>
                <c:pt idx="3">
                  <c:v>2020</c:v>
                </c:pt>
                <c:pt idx="4">
                  <c:v>2021</c:v>
                </c:pt>
                <c:pt idx="5">
                  <c:v>2022</c:v>
                </c:pt>
                <c:pt idx="6">
                  <c:v>2023</c:v>
                </c:pt>
                <c:pt idx="7">
                  <c:v>2024</c:v>
                </c:pt>
              </c:numCache>
            </c:numRef>
          </c:cat>
          <c:val>
            <c:numRef>
              <c:f>'[Chart in Microsoft Word]Prihodi'!$D$61:$K$61</c:f>
              <c:numCache>
                <c:formatCode>0%</c:formatCode>
                <c:ptCount val="8"/>
                <c:pt idx="0">
                  <c:v>7.171319853955585E-2</c:v>
                </c:pt>
                <c:pt idx="1">
                  <c:v>9.2983613315496913E-2</c:v>
                </c:pt>
                <c:pt idx="2">
                  <c:v>8.7214615089356212E-2</c:v>
                </c:pt>
                <c:pt idx="3">
                  <c:v>8.0121263810816037E-2</c:v>
                </c:pt>
                <c:pt idx="4">
                  <c:v>0.10632910324544589</c:v>
                </c:pt>
                <c:pt idx="5">
                  <c:v>7.9610595166813902E-2</c:v>
                </c:pt>
                <c:pt idx="6">
                  <c:v>9.2046323866410318E-2</c:v>
                </c:pt>
                <c:pt idx="7">
                  <c:v>9.1223515273620784E-2</c:v>
                </c:pt>
              </c:numCache>
            </c:numRef>
          </c:val>
          <c:extLst>
            <c:ext xmlns:c16="http://schemas.microsoft.com/office/drawing/2014/chart" uri="{C3380CC4-5D6E-409C-BE32-E72D297353CC}">
              <c16:uniqueId val="{00000004-B298-4A6A-BA4F-FFC14C212F15}"/>
            </c:ext>
          </c:extLst>
        </c:ser>
        <c:ser>
          <c:idx val="5"/>
          <c:order val="5"/>
          <c:tx>
            <c:strRef>
              <c:f>'[Chart in Microsoft Word]Prihodi'!$C$62</c:f>
              <c:strCache>
                <c:ptCount val="1"/>
                <c:pt idx="0">
                  <c:v>Ненаменски трансфери по Закону </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Word]Prihodi'!$D$56:$K$56</c:f>
              <c:numCache>
                <c:formatCode>General</c:formatCode>
                <c:ptCount val="8"/>
                <c:pt idx="0">
                  <c:v>2017</c:v>
                </c:pt>
                <c:pt idx="1">
                  <c:v>2018</c:v>
                </c:pt>
                <c:pt idx="2">
                  <c:v>2019</c:v>
                </c:pt>
                <c:pt idx="3">
                  <c:v>2020</c:v>
                </c:pt>
                <c:pt idx="4">
                  <c:v>2021</c:v>
                </c:pt>
                <c:pt idx="5">
                  <c:v>2022</c:v>
                </c:pt>
                <c:pt idx="6">
                  <c:v>2023</c:v>
                </c:pt>
                <c:pt idx="7">
                  <c:v>2024</c:v>
                </c:pt>
              </c:numCache>
            </c:numRef>
          </c:cat>
          <c:val>
            <c:numRef>
              <c:f>'[Chart in Microsoft Word]Prihodi'!$D$62:$K$62</c:f>
              <c:numCache>
                <c:formatCode>0%</c:formatCode>
                <c:ptCount val="8"/>
                <c:pt idx="0">
                  <c:v>0.11873416764878045</c:v>
                </c:pt>
                <c:pt idx="1">
                  <c:v>0.11090280564286477</c:v>
                </c:pt>
                <c:pt idx="2">
                  <c:v>0.10203078231360246</c:v>
                </c:pt>
                <c:pt idx="3">
                  <c:v>0.10329753828261291</c:v>
                </c:pt>
                <c:pt idx="4">
                  <c:v>8.78065961321019E-2</c:v>
                </c:pt>
                <c:pt idx="5">
                  <c:v>7.9013492573343752E-2</c:v>
                </c:pt>
                <c:pt idx="6">
                  <c:v>7.113326718404353E-2</c:v>
                </c:pt>
                <c:pt idx="7">
                  <c:v>6.4999072055160714E-2</c:v>
                </c:pt>
              </c:numCache>
            </c:numRef>
          </c:val>
          <c:extLst>
            <c:ext xmlns:c16="http://schemas.microsoft.com/office/drawing/2014/chart" uri="{C3380CC4-5D6E-409C-BE32-E72D297353CC}">
              <c16:uniqueId val="{00000005-B298-4A6A-BA4F-FFC14C212F15}"/>
            </c:ext>
          </c:extLst>
        </c:ser>
        <c:dLbls>
          <c:showLegendKey val="0"/>
          <c:showVal val="0"/>
          <c:showCatName val="0"/>
          <c:showSerName val="0"/>
          <c:showPercent val="0"/>
          <c:showBubbleSize val="0"/>
        </c:dLbls>
        <c:gapWidth val="150"/>
        <c:overlap val="100"/>
        <c:axId val="279636319"/>
        <c:axId val="279641119"/>
      </c:barChart>
      <c:catAx>
        <c:axId val="2796363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641119"/>
        <c:crosses val="autoZero"/>
        <c:auto val="1"/>
        <c:lblAlgn val="ctr"/>
        <c:lblOffset val="100"/>
        <c:noMultiLvlLbl val="0"/>
      </c:catAx>
      <c:valAx>
        <c:axId val="279641119"/>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9636319"/>
        <c:crosses val="autoZero"/>
        <c:crossBetween val="between"/>
      </c:valAx>
      <c:spPr>
        <a:noFill/>
        <a:ln>
          <a:noFill/>
        </a:ln>
        <a:effectLst/>
      </c:spPr>
    </c:plotArea>
    <c:legend>
      <c:legendPos val="b"/>
      <c:layout>
        <c:manualLayout>
          <c:xMode val="edge"/>
          <c:yMode val="edge"/>
          <c:x val="2.4246824404370138E-2"/>
          <c:y val="0.84044100419650936"/>
          <c:w val="0.97575317559562991"/>
          <c:h val="0.13178166288535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9f782b-6555-4c70-ab62-a2e84627f3cc">
      <Terms xmlns="http://schemas.microsoft.com/office/infopath/2007/PartnerControls"/>
    </lcf76f155ced4ddcb4097134ff3c332f>
    <TaxCatchAll xmlns="e1d928ad-8fcd-4c9f-9639-bb1e055219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ADCEB8184A204D8954175542BA33E1" ma:contentTypeVersion="16" ma:contentTypeDescription="Create a new document." ma:contentTypeScope="" ma:versionID="58ed193e302eedac79410d12d3a490ca">
  <xsd:schema xmlns:xsd="http://www.w3.org/2001/XMLSchema" xmlns:xs="http://www.w3.org/2001/XMLSchema" xmlns:p="http://schemas.microsoft.com/office/2006/metadata/properties" xmlns:ns2="0b9f782b-6555-4c70-ab62-a2e84627f3cc" xmlns:ns3="e1d928ad-8fcd-4c9f-9639-bb1e055219af" targetNamespace="http://schemas.microsoft.com/office/2006/metadata/properties" ma:root="true" ma:fieldsID="80af79e3559ce021b9c9e3e81547bad1" ns2:_="" ns3:_="">
    <xsd:import namespace="0b9f782b-6555-4c70-ab62-a2e84627f3cc"/>
    <xsd:import namespace="e1d928ad-8fcd-4c9f-9639-bb1e055219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f782b-6555-4c70-ab62-a2e84627f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eb37d50-2a46-435d-99da-0464c82fad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d928ad-8fcd-4c9f-9639-bb1e055219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38c8016-95c5-4df6-b76f-7ae3abb5fbac}" ma:internalName="TaxCatchAll" ma:showField="CatchAllData" ma:web="e1d928ad-8fcd-4c9f-9639-bb1e055219a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EC376-262A-4400-A263-FBA104EA38F5}">
  <ds:schemaRefs>
    <ds:schemaRef ds:uri="http://schemas.microsoft.com/office/2006/metadata/properties"/>
    <ds:schemaRef ds:uri="http://schemas.microsoft.com/office/infopath/2007/PartnerControls"/>
    <ds:schemaRef ds:uri="0b9f782b-6555-4c70-ab62-a2e84627f3cc"/>
    <ds:schemaRef ds:uri="e1d928ad-8fcd-4c9f-9639-bb1e055219af"/>
  </ds:schemaRefs>
</ds:datastoreItem>
</file>

<file path=customXml/itemProps2.xml><?xml version="1.0" encoding="utf-8"?>
<ds:datastoreItem xmlns:ds="http://schemas.openxmlformats.org/officeDocument/2006/customXml" ds:itemID="{1E59481A-2A51-487E-BB6B-2348833EAFA0}">
  <ds:schemaRefs>
    <ds:schemaRef ds:uri="http://schemas.microsoft.com/sharepoint/v3/contenttype/forms"/>
  </ds:schemaRefs>
</ds:datastoreItem>
</file>

<file path=customXml/itemProps3.xml><?xml version="1.0" encoding="utf-8"?>
<ds:datastoreItem xmlns:ds="http://schemas.openxmlformats.org/officeDocument/2006/customXml" ds:itemID="{D3C53A25-A292-4693-8025-63B03CE41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f782b-6555-4c70-ab62-a2e84627f3cc"/>
    <ds:schemaRef ds:uri="e1d928ad-8fcd-4c9f-9639-bb1e05521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B2BD2-0F37-4F8F-8505-499AF2A0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117</Pages>
  <Words>45346</Words>
  <Characters>258477</Characters>
  <Application>Microsoft Office Word</Application>
  <DocSecurity>0</DocSecurity>
  <Lines>2153</Lines>
  <Paragraphs>606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303217</CharactersWithSpaces>
  <SharedDoc>false</SharedDoc>
  <HLinks>
    <vt:vector size="516" baseType="variant">
      <vt:variant>
        <vt:i4>589914</vt:i4>
      </vt:variant>
      <vt:variant>
        <vt:i4>303</vt:i4>
      </vt:variant>
      <vt:variant>
        <vt:i4>0</vt:i4>
      </vt:variant>
      <vt:variant>
        <vt:i4>5</vt:i4>
      </vt:variant>
      <vt:variant>
        <vt:lpwstr>https://mduls.gov.rs/obavestenja/obavestenje-o-pocetku-izrade-predloga-programa-za-reformu-sistema-lokalne-samouprave-u-republici-srbiji-za-period-od-2026-do-2030-godine-sa-akcionim-planom-za-njegovo-sprovodjenje/</vt:lpwstr>
      </vt:variant>
      <vt:variant>
        <vt:lpwstr/>
      </vt:variant>
      <vt:variant>
        <vt:i4>4456513</vt:i4>
      </vt:variant>
      <vt:variant>
        <vt:i4>300</vt:i4>
      </vt:variant>
      <vt:variant>
        <vt:i4>0</vt:i4>
      </vt:variant>
      <vt:variant>
        <vt:i4>5</vt:i4>
      </vt:variant>
      <vt:variant>
        <vt:lpwstr>https://ekonsultacije.gov.rs/topicOfDiscussionPage/458/3</vt:lpwstr>
      </vt:variant>
      <vt:variant>
        <vt:lpwstr/>
      </vt:variant>
      <vt:variant>
        <vt:i4>1376308</vt:i4>
      </vt:variant>
      <vt:variant>
        <vt:i4>297</vt:i4>
      </vt:variant>
      <vt:variant>
        <vt:i4>0</vt:i4>
      </vt:variant>
      <vt:variant>
        <vt:i4>5</vt:i4>
      </vt:variant>
      <vt:variant>
        <vt:lpwstr>mailto:dusanka.jovanovic@mduls.gov.rs</vt:lpwstr>
      </vt:variant>
      <vt:variant>
        <vt:lpwstr/>
      </vt:variant>
      <vt:variant>
        <vt:i4>6488138</vt:i4>
      </vt:variant>
      <vt:variant>
        <vt:i4>294</vt:i4>
      </vt:variant>
      <vt:variant>
        <vt:i4>0</vt:i4>
      </vt:variant>
      <vt:variant>
        <vt:i4>5</vt:i4>
      </vt:variant>
      <vt:variant>
        <vt:lpwstr>https://www.sigmaweb.org/en/publications/implementation-and-challenges-of-multi-level-governance-in-the-western-balkans_32891a8f-en.html</vt:lpwstr>
      </vt:variant>
      <vt:variant>
        <vt:lpwstr/>
      </vt:variant>
      <vt:variant>
        <vt:i4>917619</vt:i4>
      </vt:variant>
      <vt:variant>
        <vt:i4>291</vt:i4>
      </vt:variant>
      <vt:variant>
        <vt:i4>0</vt:i4>
      </vt:variant>
      <vt:variant>
        <vt:i4>5</vt:i4>
      </vt:variant>
      <vt:variant>
        <vt:lpwstr>mailto:milena.radomirovic@skgo.org</vt:lpwstr>
      </vt:variant>
      <vt:variant>
        <vt:lpwstr/>
      </vt:variant>
      <vt:variant>
        <vt:i4>1376308</vt:i4>
      </vt:variant>
      <vt:variant>
        <vt:i4>288</vt:i4>
      </vt:variant>
      <vt:variant>
        <vt:i4>0</vt:i4>
      </vt:variant>
      <vt:variant>
        <vt:i4>5</vt:i4>
      </vt:variant>
      <vt:variant>
        <vt:lpwstr>mailto:dusanka.jovanovic@mduls.gov.rs</vt:lpwstr>
      </vt:variant>
      <vt:variant>
        <vt:lpwstr/>
      </vt:variant>
      <vt:variant>
        <vt:i4>3997779</vt:i4>
      </vt:variant>
      <vt:variant>
        <vt:i4>285</vt:i4>
      </vt:variant>
      <vt:variant>
        <vt:i4>0</vt:i4>
      </vt:variant>
      <vt:variant>
        <vt:i4>5</vt:i4>
      </vt:variant>
      <vt:variant>
        <vt:lpwstr>mailto:milos.mucok@skgo.org</vt:lpwstr>
      </vt:variant>
      <vt:variant>
        <vt:lpwstr/>
      </vt:variant>
      <vt:variant>
        <vt:i4>1376308</vt:i4>
      </vt:variant>
      <vt:variant>
        <vt:i4>282</vt:i4>
      </vt:variant>
      <vt:variant>
        <vt:i4>0</vt:i4>
      </vt:variant>
      <vt:variant>
        <vt:i4>5</vt:i4>
      </vt:variant>
      <vt:variant>
        <vt:lpwstr>mailto:dusanka.jovanovic@mduls.gov.rs</vt:lpwstr>
      </vt:variant>
      <vt:variant>
        <vt:lpwstr/>
      </vt:variant>
      <vt:variant>
        <vt:i4>3997779</vt:i4>
      </vt:variant>
      <vt:variant>
        <vt:i4>279</vt:i4>
      </vt:variant>
      <vt:variant>
        <vt:i4>0</vt:i4>
      </vt:variant>
      <vt:variant>
        <vt:i4>5</vt:i4>
      </vt:variant>
      <vt:variant>
        <vt:lpwstr>mailto:milos.mucok@skgo.org</vt:lpwstr>
      </vt:variant>
      <vt:variant>
        <vt:lpwstr/>
      </vt:variant>
      <vt:variant>
        <vt:i4>655462</vt:i4>
      </vt:variant>
      <vt:variant>
        <vt:i4>276</vt:i4>
      </vt:variant>
      <vt:variant>
        <vt:i4>0</vt:i4>
      </vt:variant>
      <vt:variant>
        <vt:i4>5</vt:i4>
      </vt:variant>
      <vt:variant>
        <vt:lpwstr>mailto:aleksandar.marinkovic@skgo.org</vt:lpwstr>
      </vt:variant>
      <vt:variant>
        <vt:lpwstr/>
      </vt:variant>
      <vt:variant>
        <vt:i4>6488131</vt:i4>
      </vt:variant>
      <vt:variant>
        <vt:i4>273</vt:i4>
      </vt:variant>
      <vt:variant>
        <vt:i4>0</vt:i4>
      </vt:variant>
      <vt:variant>
        <vt:i4>5</vt:i4>
      </vt:variant>
      <vt:variant>
        <vt:lpwstr>mailto:ivan.zecic@mfin.gov.rs</vt:lpwstr>
      </vt:variant>
      <vt:variant>
        <vt:lpwstr/>
      </vt:variant>
      <vt:variant>
        <vt:i4>2031685</vt:i4>
      </vt:variant>
      <vt:variant>
        <vt:i4>270</vt:i4>
      </vt:variant>
      <vt:variant>
        <vt:i4>0</vt:i4>
      </vt:variant>
      <vt:variant>
        <vt:i4>5</vt:i4>
      </vt:variant>
      <vt:variant>
        <vt:lpwstr>https://rsjp.gov.rs/jls-baza/</vt:lpwstr>
      </vt:variant>
      <vt:variant>
        <vt:lpwstr/>
      </vt:variant>
      <vt:variant>
        <vt:i4>655462</vt:i4>
      </vt:variant>
      <vt:variant>
        <vt:i4>267</vt:i4>
      </vt:variant>
      <vt:variant>
        <vt:i4>0</vt:i4>
      </vt:variant>
      <vt:variant>
        <vt:i4>5</vt:i4>
      </vt:variant>
      <vt:variant>
        <vt:lpwstr>mailto:aleksandar.marinkovic@skgo.org</vt:lpwstr>
      </vt:variant>
      <vt:variant>
        <vt:lpwstr/>
      </vt:variant>
      <vt:variant>
        <vt:i4>6488131</vt:i4>
      </vt:variant>
      <vt:variant>
        <vt:i4>264</vt:i4>
      </vt:variant>
      <vt:variant>
        <vt:i4>0</vt:i4>
      </vt:variant>
      <vt:variant>
        <vt:i4>5</vt:i4>
      </vt:variant>
      <vt:variant>
        <vt:lpwstr>mailto:ivan.zecic@mfin.gov.rs</vt:lpwstr>
      </vt:variant>
      <vt:variant>
        <vt:lpwstr/>
      </vt:variant>
      <vt:variant>
        <vt:i4>917619</vt:i4>
      </vt:variant>
      <vt:variant>
        <vt:i4>261</vt:i4>
      </vt:variant>
      <vt:variant>
        <vt:i4>0</vt:i4>
      </vt:variant>
      <vt:variant>
        <vt:i4>5</vt:i4>
      </vt:variant>
      <vt:variant>
        <vt:lpwstr>mailto:milena.radomirovic@skgo.org</vt:lpwstr>
      </vt:variant>
      <vt:variant>
        <vt:lpwstr/>
      </vt:variant>
      <vt:variant>
        <vt:i4>1376308</vt:i4>
      </vt:variant>
      <vt:variant>
        <vt:i4>258</vt:i4>
      </vt:variant>
      <vt:variant>
        <vt:i4>0</vt:i4>
      </vt:variant>
      <vt:variant>
        <vt:i4>5</vt:i4>
      </vt:variant>
      <vt:variant>
        <vt:lpwstr>mailto:dusanka.jovanovic@mduls.gov.rs</vt:lpwstr>
      </vt:variant>
      <vt:variant>
        <vt:lpwstr/>
      </vt:variant>
      <vt:variant>
        <vt:i4>917619</vt:i4>
      </vt:variant>
      <vt:variant>
        <vt:i4>255</vt:i4>
      </vt:variant>
      <vt:variant>
        <vt:i4>0</vt:i4>
      </vt:variant>
      <vt:variant>
        <vt:i4>5</vt:i4>
      </vt:variant>
      <vt:variant>
        <vt:lpwstr>mailto:milena.radomirovic@skgo.org</vt:lpwstr>
      </vt:variant>
      <vt:variant>
        <vt:lpwstr/>
      </vt:variant>
      <vt:variant>
        <vt:i4>1376308</vt:i4>
      </vt:variant>
      <vt:variant>
        <vt:i4>252</vt:i4>
      </vt:variant>
      <vt:variant>
        <vt:i4>0</vt:i4>
      </vt:variant>
      <vt:variant>
        <vt:i4>5</vt:i4>
      </vt:variant>
      <vt:variant>
        <vt:lpwstr>mailto:dusanka.jovanovic@mduls.gov.rs</vt:lpwstr>
      </vt:variant>
      <vt:variant>
        <vt:lpwstr/>
      </vt:variant>
      <vt:variant>
        <vt:i4>917619</vt:i4>
      </vt:variant>
      <vt:variant>
        <vt:i4>249</vt:i4>
      </vt:variant>
      <vt:variant>
        <vt:i4>0</vt:i4>
      </vt:variant>
      <vt:variant>
        <vt:i4>5</vt:i4>
      </vt:variant>
      <vt:variant>
        <vt:lpwstr>mailto:milena.radomirovic@skgo.org</vt:lpwstr>
      </vt:variant>
      <vt:variant>
        <vt:lpwstr/>
      </vt:variant>
      <vt:variant>
        <vt:i4>655462</vt:i4>
      </vt:variant>
      <vt:variant>
        <vt:i4>246</vt:i4>
      </vt:variant>
      <vt:variant>
        <vt:i4>0</vt:i4>
      </vt:variant>
      <vt:variant>
        <vt:i4>5</vt:i4>
      </vt:variant>
      <vt:variant>
        <vt:lpwstr>mailto:aleksandar.marinkovic@skgo.org</vt:lpwstr>
      </vt:variant>
      <vt:variant>
        <vt:lpwstr/>
      </vt:variant>
      <vt:variant>
        <vt:i4>6488131</vt:i4>
      </vt:variant>
      <vt:variant>
        <vt:i4>243</vt:i4>
      </vt:variant>
      <vt:variant>
        <vt:i4>0</vt:i4>
      </vt:variant>
      <vt:variant>
        <vt:i4>5</vt:i4>
      </vt:variant>
      <vt:variant>
        <vt:lpwstr>mailto:ivan.zecic@mfin.gov.rs</vt:lpwstr>
      </vt:variant>
      <vt:variant>
        <vt:lpwstr/>
      </vt:variant>
      <vt:variant>
        <vt:i4>2031685</vt:i4>
      </vt:variant>
      <vt:variant>
        <vt:i4>240</vt:i4>
      </vt:variant>
      <vt:variant>
        <vt:i4>0</vt:i4>
      </vt:variant>
      <vt:variant>
        <vt:i4>5</vt:i4>
      </vt:variant>
      <vt:variant>
        <vt:lpwstr>https://rsjp.gov.rs/jls-baza/</vt:lpwstr>
      </vt:variant>
      <vt:variant>
        <vt:lpwstr/>
      </vt:variant>
      <vt:variant>
        <vt:i4>2097215</vt:i4>
      </vt:variant>
      <vt:variant>
        <vt:i4>237</vt:i4>
      </vt:variant>
      <vt:variant>
        <vt:i4>0</vt:i4>
      </vt:variant>
      <vt:variant>
        <vt:i4>5</vt:i4>
      </vt:variant>
      <vt:variant>
        <vt:lpwstr>https://www.trezor.gov.rs/src/services/</vt:lpwstr>
      </vt:variant>
      <vt:variant>
        <vt:lpwstr/>
      </vt:variant>
      <vt:variant>
        <vt:i4>3473461</vt:i4>
      </vt:variant>
      <vt:variant>
        <vt:i4>234</vt:i4>
      </vt:variant>
      <vt:variant>
        <vt:i4>0</vt:i4>
      </vt:variant>
      <vt:variant>
        <vt:i4>5</vt:i4>
      </vt:variant>
      <vt:variant>
        <vt:lpwstr>https://www.mfin.gov.rs/aktivnosti/bilten-javnih-finansija</vt:lpwstr>
      </vt:variant>
      <vt:variant>
        <vt:lpwstr/>
      </vt:variant>
      <vt:variant>
        <vt:i4>5701741</vt:i4>
      </vt:variant>
      <vt:variant>
        <vt:i4>231</vt:i4>
      </vt:variant>
      <vt:variant>
        <vt:i4>0</vt:i4>
      </vt:variant>
      <vt:variant>
        <vt:i4>5</vt:i4>
      </vt:variant>
      <vt:variant>
        <vt:lpwstr>https://www.sigmaweb.org/en/publications/public-administration-in-serbia-2024_02001fe4-en.html</vt:lpwstr>
      </vt:variant>
      <vt:variant>
        <vt:lpwstr/>
      </vt:variant>
      <vt:variant>
        <vt:i4>917619</vt:i4>
      </vt:variant>
      <vt:variant>
        <vt:i4>228</vt:i4>
      </vt:variant>
      <vt:variant>
        <vt:i4>0</vt:i4>
      </vt:variant>
      <vt:variant>
        <vt:i4>5</vt:i4>
      </vt:variant>
      <vt:variant>
        <vt:lpwstr>mailto:milena.radomirovic@skgo.org</vt:lpwstr>
      </vt:variant>
      <vt:variant>
        <vt:lpwstr/>
      </vt:variant>
      <vt:variant>
        <vt:i4>1376308</vt:i4>
      </vt:variant>
      <vt:variant>
        <vt:i4>225</vt:i4>
      </vt:variant>
      <vt:variant>
        <vt:i4>0</vt:i4>
      </vt:variant>
      <vt:variant>
        <vt:i4>5</vt:i4>
      </vt:variant>
      <vt:variant>
        <vt:lpwstr>mailto:dusanka.jovanovic@mduls.gov.rs</vt:lpwstr>
      </vt:variant>
      <vt:variant>
        <vt:lpwstr/>
      </vt:variant>
      <vt:variant>
        <vt:i4>5308518</vt:i4>
      </vt:variant>
      <vt:variant>
        <vt:i4>222</vt:i4>
      </vt:variant>
      <vt:variant>
        <vt:i4>0</vt:i4>
      </vt:variant>
      <vt:variant>
        <vt:i4>5</vt:i4>
      </vt:variant>
      <vt:variant>
        <vt:lpwstr>applewebdata://41884C53-FEB1-49F4-982C-FB6DA1EBA45C/</vt:lpwstr>
      </vt:variant>
      <vt:variant>
        <vt:lpwstr>_ftn2</vt:lpwstr>
      </vt:variant>
      <vt:variant>
        <vt:i4>5308518</vt:i4>
      </vt:variant>
      <vt:variant>
        <vt:i4>219</vt:i4>
      </vt:variant>
      <vt:variant>
        <vt:i4>0</vt:i4>
      </vt:variant>
      <vt:variant>
        <vt:i4>5</vt:i4>
      </vt:variant>
      <vt:variant>
        <vt:lpwstr>applewebdata://41884C53-FEB1-49F4-982C-FB6DA1EBA45C/</vt:lpwstr>
      </vt:variant>
      <vt:variant>
        <vt:lpwstr>_ftn2</vt:lpwstr>
      </vt:variant>
      <vt:variant>
        <vt:i4>5308518</vt:i4>
      </vt:variant>
      <vt:variant>
        <vt:i4>216</vt:i4>
      </vt:variant>
      <vt:variant>
        <vt:i4>0</vt:i4>
      </vt:variant>
      <vt:variant>
        <vt:i4>5</vt:i4>
      </vt:variant>
      <vt:variant>
        <vt:lpwstr>applewebdata://41884C53-FEB1-49F4-982C-FB6DA1EBA45C/</vt:lpwstr>
      </vt:variant>
      <vt:variant>
        <vt:lpwstr>_ftn2</vt:lpwstr>
      </vt:variant>
      <vt:variant>
        <vt:i4>5308518</vt:i4>
      </vt:variant>
      <vt:variant>
        <vt:i4>213</vt:i4>
      </vt:variant>
      <vt:variant>
        <vt:i4>0</vt:i4>
      </vt:variant>
      <vt:variant>
        <vt:i4>5</vt:i4>
      </vt:variant>
      <vt:variant>
        <vt:lpwstr>applewebdata://41884C53-FEB1-49F4-982C-FB6DA1EBA45C/</vt:lpwstr>
      </vt:variant>
      <vt:variant>
        <vt:lpwstr>_ftn2</vt:lpwstr>
      </vt:variant>
      <vt:variant>
        <vt:i4>5308518</vt:i4>
      </vt:variant>
      <vt:variant>
        <vt:i4>210</vt:i4>
      </vt:variant>
      <vt:variant>
        <vt:i4>0</vt:i4>
      </vt:variant>
      <vt:variant>
        <vt:i4>5</vt:i4>
      </vt:variant>
      <vt:variant>
        <vt:lpwstr>applewebdata://41884C53-FEB1-49F4-982C-FB6DA1EBA45C/</vt:lpwstr>
      </vt:variant>
      <vt:variant>
        <vt:lpwstr>_ftn2</vt:lpwstr>
      </vt:variant>
      <vt:variant>
        <vt:i4>5308518</vt:i4>
      </vt:variant>
      <vt:variant>
        <vt:i4>207</vt:i4>
      </vt:variant>
      <vt:variant>
        <vt:i4>0</vt:i4>
      </vt:variant>
      <vt:variant>
        <vt:i4>5</vt:i4>
      </vt:variant>
      <vt:variant>
        <vt:lpwstr>applewebdata://41884C53-FEB1-49F4-982C-FB6DA1EBA45C/</vt:lpwstr>
      </vt:variant>
      <vt:variant>
        <vt:lpwstr>_ftn2</vt:lpwstr>
      </vt:variant>
      <vt:variant>
        <vt:i4>5308518</vt:i4>
      </vt:variant>
      <vt:variant>
        <vt:i4>204</vt:i4>
      </vt:variant>
      <vt:variant>
        <vt:i4>0</vt:i4>
      </vt:variant>
      <vt:variant>
        <vt:i4>5</vt:i4>
      </vt:variant>
      <vt:variant>
        <vt:lpwstr>applewebdata://41884C53-FEB1-49F4-982C-FB6DA1EBA45C/</vt:lpwstr>
      </vt:variant>
      <vt:variant>
        <vt:lpwstr>_ftn2</vt:lpwstr>
      </vt:variant>
      <vt:variant>
        <vt:i4>5308518</vt:i4>
      </vt:variant>
      <vt:variant>
        <vt:i4>201</vt:i4>
      </vt:variant>
      <vt:variant>
        <vt:i4>0</vt:i4>
      </vt:variant>
      <vt:variant>
        <vt:i4>5</vt:i4>
      </vt:variant>
      <vt:variant>
        <vt:lpwstr>applewebdata://41884C53-FEB1-49F4-982C-FB6DA1EBA45C/</vt:lpwstr>
      </vt:variant>
      <vt:variant>
        <vt:lpwstr>_ftn2</vt:lpwstr>
      </vt:variant>
      <vt:variant>
        <vt:i4>5308518</vt:i4>
      </vt:variant>
      <vt:variant>
        <vt:i4>198</vt:i4>
      </vt:variant>
      <vt:variant>
        <vt:i4>0</vt:i4>
      </vt:variant>
      <vt:variant>
        <vt:i4>5</vt:i4>
      </vt:variant>
      <vt:variant>
        <vt:lpwstr>applewebdata://41884C53-FEB1-49F4-982C-FB6DA1EBA45C/</vt:lpwstr>
      </vt:variant>
      <vt:variant>
        <vt:lpwstr>_ftn2</vt:lpwstr>
      </vt:variant>
      <vt:variant>
        <vt:i4>5308518</vt:i4>
      </vt:variant>
      <vt:variant>
        <vt:i4>195</vt:i4>
      </vt:variant>
      <vt:variant>
        <vt:i4>0</vt:i4>
      </vt:variant>
      <vt:variant>
        <vt:i4>5</vt:i4>
      </vt:variant>
      <vt:variant>
        <vt:lpwstr>applewebdata://41884C53-FEB1-49F4-982C-FB6DA1EBA45C/</vt:lpwstr>
      </vt:variant>
      <vt:variant>
        <vt:lpwstr>_ftn2</vt:lpwstr>
      </vt:variant>
      <vt:variant>
        <vt:i4>5308518</vt:i4>
      </vt:variant>
      <vt:variant>
        <vt:i4>192</vt:i4>
      </vt:variant>
      <vt:variant>
        <vt:i4>0</vt:i4>
      </vt:variant>
      <vt:variant>
        <vt:i4>5</vt:i4>
      </vt:variant>
      <vt:variant>
        <vt:lpwstr>applewebdata://41884C53-FEB1-49F4-982C-FB6DA1EBA45C/</vt:lpwstr>
      </vt:variant>
      <vt:variant>
        <vt:lpwstr>_ftn2</vt:lpwstr>
      </vt:variant>
      <vt:variant>
        <vt:i4>5308518</vt:i4>
      </vt:variant>
      <vt:variant>
        <vt:i4>189</vt:i4>
      </vt:variant>
      <vt:variant>
        <vt:i4>0</vt:i4>
      </vt:variant>
      <vt:variant>
        <vt:i4>5</vt:i4>
      </vt:variant>
      <vt:variant>
        <vt:lpwstr>applewebdata://41884C53-FEB1-49F4-982C-FB6DA1EBA45C/</vt:lpwstr>
      </vt:variant>
      <vt:variant>
        <vt:lpwstr>_ftn2</vt:lpwstr>
      </vt:variant>
      <vt:variant>
        <vt:i4>5308518</vt:i4>
      </vt:variant>
      <vt:variant>
        <vt:i4>186</vt:i4>
      </vt:variant>
      <vt:variant>
        <vt:i4>0</vt:i4>
      </vt:variant>
      <vt:variant>
        <vt:i4>5</vt:i4>
      </vt:variant>
      <vt:variant>
        <vt:lpwstr>applewebdata://41884C53-FEB1-49F4-982C-FB6DA1EBA45C/</vt:lpwstr>
      </vt:variant>
      <vt:variant>
        <vt:lpwstr>_ftn2</vt:lpwstr>
      </vt:variant>
      <vt:variant>
        <vt:i4>1179698</vt:i4>
      </vt:variant>
      <vt:variant>
        <vt:i4>176</vt:i4>
      </vt:variant>
      <vt:variant>
        <vt:i4>0</vt:i4>
      </vt:variant>
      <vt:variant>
        <vt:i4>5</vt:i4>
      </vt:variant>
      <vt:variant>
        <vt:lpwstr/>
      </vt:variant>
      <vt:variant>
        <vt:lpwstr>_Toc222752722</vt:lpwstr>
      </vt:variant>
      <vt:variant>
        <vt:i4>1179698</vt:i4>
      </vt:variant>
      <vt:variant>
        <vt:i4>170</vt:i4>
      </vt:variant>
      <vt:variant>
        <vt:i4>0</vt:i4>
      </vt:variant>
      <vt:variant>
        <vt:i4>5</vt:i4>
      </vt:variant>
      <vt:variant>
        <vt:lpwstr/>
      </vt:variant>
      <vt:variant>
        <vt:lpwstr>_Toc222752721</vt:lpwstr>
      </vt:variant>
      <vt:variant>
        <vt:i4>1179698</vt:i4>
      </vt:variant>
      <vt:variant>
        <vt:i4>164</vt:i4>
      </vt:variant>
      <vt:variant>
        <vt:i4>0</vt:i4>
      </vt:variant>
      <vt:variant>
        <vt:i4>5</vt:i4>
      </vt:variant>
      <vt:variant>
        <vt:lpwstr/>
      </vt:variant>
      <vt:variant>
        <vt:lpwstr>_Toc222752720</vt:lpwstr>
      </vt:variant>
      <vt:variant>
        <vt:i4>1114162</vt:i4>
      </vt:variant>
      <vt:variant>
        <vt:i4>158</vt:i4>
      </vt:variant>
      <vt:variant>
        <vt:i4>0</vt:i4>
      </vt:variant>
      <vt:variant>
        <vt:i4>5</vt:i4>
      </vt:variant>
      <vt:variant>
        <vt:lpwstr/>
      </vt:variant>
      <vt:variant>
        <vt:lpwstr>_Toc222752719</vt:lpwstr>
      </vt:variant>
      <vt:variant>
        <vt:i4>1114162</vt:i4>
      </vt:variant>
      <vt:variant>
        <vt:i4>152</vt:i4>
      </vt:variant>
      <vt:variant>
        <vt:i4>0</vt:i4>
      </vt:variant>
      <vt:variant>
        <vt:i4>5</vt:i4>
      </vt:variant>
      <vt:variant>
        <vt:lpwstr/>
      </vt:variant>
      <vt:variant>
        <vt:lpwstr>_Toc222752718</vt:lpwstr>
      </vt:variant>
      <vt:variant>
        <vt:i4>1114162</vt:i4>
      </vt:variant>
      <vt:variant>
        <vt:i4>146</vt:i4>
      </vt:variant>
      <vt:variant>
        <vt:i4>0</vt:i4>
      </vt:variant>
      <vt:variant>
        <vt:i4>5</vt:i4>
      </vt:variant>
      <vt:variant>
        <vt:lpwstr/>
      </vt:variant>
      <vt:variant>
        <vt:lpwstr>_Toc222752717</vt:lpwstr>
      </vt:variant>
      <vt:variant>
        <vt:i4>1114162</vt:i4>
      </vt:variant>
      <vt:variant>
        <vt:i4>140</vt:i4>
      </vt:variant>
      <vt:variant>
        <vt:i4>0</vt:i4>
      </vt:variant>
      <vt:variant>
        <vt:i4>5</vt:i4>
      </vt:variant>
      <vt:variant>
        <vt:lpwstr/>
      </vt:variant>
      <vt:variant>
        <vt:lpwstr>_Toc222752716</vt:lpwstr>
      </vt:variant>
      <vt:variant>
        <vt:i4>1114162</vt:i4>
      </vt:variant>
      <vt:variant>
        <vt:i4>134</vt:i4>
      </vt:variant>
      <vt:variant>
        <vt:i4>0</vt:i4>
      </vt:variant>
      <vt:variant>
        <vt:i4>5</vt:i4>
      </vt:variant>
      <vt:variant>
        <vt:lpwstr/>
      </vt:variant>
      <vt:variant>
        <vt:lpwstr>_Toc222752715</vt:lpwstr>
      </vt:variant>
      <vt:variant>
        <vt:i4>1114162</vt:i4>
      </vt:variant>
      <vt:variant>
        <vt:i4>128</vt:i4>
      </vt:variant>
      <vt:variant>
        <vt:i4>0</vt:i4>
      </vt:variant>
      <vt:variant>
        <vt:i4>5</vt:i4>
      </vt:variant>
      <vt:variant>
        <vt:lpwstr/>
      </vt:variant>
      <vt:variant>
        <vt:lpwstr>_Toc222752714</vt:lpwstr>
      </vt:variant>
      <vt:variant>
        <vt:i4>1114162</vt:i4>
      </vt:variant>
      <vt:variant>
        <vt:i4>122</vt:i4>
      </vt:variant>
      <vt:variant>
        <vt:i4>0</vt:i4>
      </vt:variant>
      <vt:variant>
        <vt:i4>5</vt:i4>
      </vt:variant>
      <vt:variant>
        <vt:lpwstr/>
      </vt:variant>
      <vt:variant>
        <vt:lpwstr>_Toc222752713</vt:lpwstr>
      </vt:variant>
      <vt:variant>
        <vt:i4>1114162</vt:i4>
      </vt:variant>
      <vt:variant>
        <vt:i4>116</vt:i4>
      </vt:variant>
      <vt:variant>
        <vt:i4>0</vt:i4>
      </vt:variant>
      <vt:variant>
        <vt:i4>5</vt:i4>
      </vt:variant>
      <vt:variant>
        <vt:lpwstr/>
      </vt:variant>
      <vt:variant>
        <vt:lpwstr>_Toc222752712</vt:lpwstr>
      </vt:variant>
      <vt:variant>
        <vt:i4>1114162</vt:i4>
      </vt:variant>
      <vt:variant>
        <vt:i4>110</vt:i4>
      </vt:variant>
      <vt:variant>
        <vt:i4>0</vt:i4>
      </vt:variant>
      <vt:variant>
        <vt:i4>5</vt:i4>
      </vt:variant>
      <vt:variant>
        <vt:lpwstr/>
      </vt:variant>
      <vt:variant>
        <vt:lpwstr>_Toc222752711</vt:lpwstr>
      </vt:variant>
      <vt:variant>
        <vt:i4>1114162</vt:i4>
      </vt:variant>
      <vt:variant>
        <vt:i4>104</vt:i4>
      </vt:variant>
      <vt:variant>
        <vt:i4>0</vt:i4>
      </vt:variant>
      <vt:variant>
        <vt:i4>5</vt:i4>
      </vt:variant>
      <vt:variant>
        <vt:lpwstr/>
      </vt:variant>
      <vt:variant>
        <vt:lpwstr>_Toc222752710</vt:lpwstr>
      </vt:variant>
      <vt:variant>
        <vt:i4>1048626</vt:i4>
      </vt:variant>
      <vt:variant>
        <vt:i4>98</vt:i4>
      </vt:variant>
      <vt:variant>
        <vt:i4>0</vt:i4>
      </vt:variant>
      <vt:variant>
        <vt:i4>5</vt:i4>
      </vt:variant>
      <vt:variant>
        <vt:lpwstr/>
      </vt:variant>
      <vt:variant>
        <vt:lpwstr>_Toc222752709</vt:lpwstr>
      </vt:variant>
      <vt:variant>
        <vt:i4>1048626</vt:i4>
      </vt:variant>
      <vt:variant>
        <vt:i4>92</vt:i4>
      </vt:variant>
      <vt:variant>
        <vt:i4>0</vt:i4>
      </vt:variant>
      <vt:variant>
        <vt:i4>5</vt:i4>
      </vt:variant>
      <vt:variant>
        <vt:lpwstr/>
      </vt:variant>
      <vt:variant>
        <vt:lpwstr>_Toc222752708</vt:lpwstr>
      </vt:variant>
      <vt:variant>
        <vt:i4>1048626</vt:i4>
      </vt:variant>
      <vt:variant>
        <vt:i4>86</vt:i4>
      </vt:variant>
      <vt:variant>
        <vt:i4>0</vt:i4>
      </vt:variant>
      <vt:variant>
        <vt:i4>5</vt:i4>
      </vt:variant>
      <vt:variant>
        <vt:lpwstr/>
      </vt:variant>
      <vt:variant>
        <vt:lpwstr>_Toc222752707</vt:lpwstr>
      </vt:variant>
      <vt:variant>
        <vt:i4>1048626</vt:i4>
      </vt:variant>
      <vt:variant>
        <vt:i4>80</vt:i4>
      </vt:variant>
      <vt:variant>
        <vt:i4>0</vt:i4>
      </vt:variant>
      <vt:variant>
        <vt:i4>5</vt:i4>
      </vt:variant>
      <vt:variant>
        <vt:lpwstr/>
      </vt:variant>
      <vt:variant>
        <vt:lpwstr>_Toc222752706</vt:lpwstr>
      </vt:variant>
      <vt:variant>
        <vt:i4>1048626</vt:i4>
      </vt:variant>
      <vt:variant>
        <vt:i4>74</vt:i4>
      </vt:variant>
      <vt:variant>
        <vt:i4>0</vt:i4>
      </vt:variant>
      <vt:variant>
        <vt:i4>5</vt:i4>
      </vt:variant>
      <vt:variant>
        <vt:lpwstr/>
      </vt:variant>
      <vt:variant>
        <vt:lpwstr>_Toc222752705</vt:lpwstr>
      </vt:variant>
      <vt:variant>
        <vt:i4>1048626</vt:i4>
      </vt:variant>
      <vt:variant>
        <vt:i4>68</vt:i4>
      </vt:variant>
      <vt:variant>
        <vt:i4>0</vt:i4>
      </vt:variant>
      <vt:variant>
        <vt:i4>5</vt:i4>
      </vt:variant>
      <vt:variant>
        <vt:lpwstr/>
      </vt:variant>
      <vt:variant>
        <vt:lpwstr>_Toc222752704</vt:lpwstr>
      </vt:variant>
      <vt:variant>
        <vt:i4>1048626</vt:i4>
      </vt:variant>
      <vt:variant>
        <vt:i4>62</vt:i4>
      </vt:variant>
      <vt:variant>
        <vt:i4>0</vt:i4>
      </vt:variant>
      <vt:variant>
        <vt:i4>5</vt:i4>
      </vt:variant>
      <vt:variant>
        <vt:lpwstr/>
      </vt:variant>
      <vt:variant>
        <vt:lpwstr>_Toc222752703</vt:lpwstr>
      </vt:variant>
      <vt:variant>
        <vt:i4>1048626</vt:i4>
      </vt:variant>
      <vt:variant>
        <vt:i4>56</vt:i4>
      </vt:variant>
      <vt:variant>
        <vt:i4>0</vt:i4>
      </vt:variant>
      <vt:variant>
        <vt:i4>5</vt:i4>
      </vt:variant>
      <vt:variant>
        <vt:lpwstr/>
      </vt:variant>
      <vt:variant>
        <vt:lpwstr>_Toc222752702</vt:lpwstr>
      </vt:variant>
      <vt:variant>
        <vt:i4>1048626</vt:i4>
      </vt:variant>
      <vt:variant>
        <vt:i4>50</vt:i4>
      </vt:variant>
      <vt:variant>
        <vt:i4>0</vt:i4>
      </vt:variant>
      <vt:variant>
        <vt:i4>5</vt:i4>
      </vt:variant>
      <vt:variant>
        <vt:lpwstr/>
      </vt:variant>
      <vt:variant>
        <vt:lpwstr>_Toc222752701</vt:lpwstr>
      </vt:variant>
      <vt:variant>
        <vt:i4>1048626</vt:i4>
      </vt:variant>
      <vt:variant>
        <vt:i4>44</vt:i4>
      </vt:variant>
      <vt:variant>
        <vt:i4>0</vt:i4>
      </vt:variant>
      <vt:variant>
        <vt:i4>5</vt:i4>
      </vt:variant>
      <vt:variant>
        <vt:lpwstr/>
      </vt:variant>
      <vt:variant>
        <vt:lpwstr>_Toc222752700</vt:lpwstr>
      </vt:variant>
      <vt:variant>
        <vt:i4>1638451</vt:i4>
      </vt:variant>
      <vt:variant>
        <vt:i4>38</vt:i4>
      </vt:variant>
      <vt:variant>
        <vt:i4>0</vt:i4>
      </vt:variant>
      <vt:variant>
        <vt:i4>5</vt:i4>
      </vt:variant>
      <vt:variant>
        <vt:lpwstr/>
      </vt:variant>
      <vt:variant>
        <vt:lpwstr>_Toc222752699</vt:lpwstr>
      </vt:variant>
      <vt:variant>
        <vt:i4>1638451</vt:i4>
      </vt:variant>
      <vt:variant>
        <vt:i4>32</vt:i4>
      </vt:variant>
      <vt:variant>
        <vt:i4>0</vt:i4>
      </vt:variant>
      <vt:variant>
        <vt:i4>5</vt:i4>
      </vt:variant>
      <vt:variant>
        <vt:lpwstr/>
      </vt:variant>
      <vt:variant>
        <vt:lpwstr>_Toc222752698</vt:lpwstr>
      </vt:variant>
      <vt:variant>
        <vt:i4>1638451</vt:i4>
      </vt:variant>
      <vt:variant>
        <vt:i4>26</vt:i4>
      </vt:variant>
      <vt:variant>
        <vt:i4>0</vt:i4>
      </vt:variant>
      <vt:variant>
        <vt:i4>5</vt:i4>
      </vt:variant>
      <vt:variant>
        <vt:lpwstr/>
      </vt:variant>
      <vt:variant>
        <vt:lpwstr>_Toc222752697</vt:lpwstr>
      </vt:variant>
      <vt:variant>
        <vt:i4>1638451</vt:i4>
      </vt:variant>
      <vt:variant>
        <vt:i4>20</vt:i4>
      </vt:variant>
      <vt:variant>
        <vt:i4>0</vt:i4>
      </vt:variant>
      <vt:variant>
        <vt:i4>5</vt:i4>
      </vt:variant>
      <vt:variant>
        <vt:lpwstr/>
      </vt:variant>
      <vt:variant>
        <vt:lpwstr>_Toc222752696</vt:lpwstr>
      </vt:variant>
      <vt:variant>
        <vt:i4>1638451</vt:i4>
      </vt:variant>
      <vt:variant>
        <vt:i4>14</vt:i4>
      </vt:variant>
      <vt:variant>
        <vt:i4>0</vt:i4>
      </vt:variant>
      <vt:variant>
        <vt:i4>5</vt:i4>
      </vt:variant>
      <vt:variant>
        <vt:lpwstr/>
      </vt:variant>
      <vt:variant>
        <vt:lpwstr>_Toc222752695</vt:lpwstr>
      </vt:variant>
      <vt:variant>
        <vt:i4>1638451</vt:i4>
      </vt:variant>
      <vt:variant>
        <vt:i4>8</vt:i4>
      </vt:variant>
      <vt:variant>
        <vt:i4>0</vt:i4>
      </vt:variant>
      <vt:variant>
        <vt:i4>5</vt:i4>
      </vt:variant>
      <vt:variant>
        <vt:lpwstr/>
      </vt:variant>
      <vt:variant>
        <vt:lpwstr>_Toc222752694</vt:lpwstr>
      </vt:variant>
      <vt:variant>
        <vt:i4>1638451</vt:i4>
      </vt:variant>
      <vt:variant>
        <vt:i4>2</vt:i4>
      </vt:variant>
      <vt:variant>
        <vt:i4>0</vt:i4>
      </vt:variant>
      <vt:variant>
        <vt:i4>5</vt:i4>
      </vt:variant>
      <vt:variant>
        <vt:lpwstr/>
      </vt:variant>
      <vt:variant>
        <vt:lpwstr>_Toc222752693</vt:lpwstr>
      </vt:variant>
      <vt:variant>
        <vt:i4>2424948</vt:i4>
      </vt:variant>
      <vt:variant>
        <vt:i4>57</vt:i4>
      </vt:variant>
      <vt:variant>
        <vt:i4>0</vt:i4>
      </vt:variant>
      <vt:variant>
        <vt:i4>5</vt:i4>
      </vt:variant>
      <vt:variant>
        <vt:lpwstr>https://monitoring.mduls.gov.rs/upload/media/0/0/0/11932/Resenje 2026-2030..pdf</vt:lpwstr>
      </vt:variant>
      <vt:variant>
        <vt:lpwstr/>
      </vt:variant>
      <vt:variant>
        <vt:i4>2621526</vt:i4>
      </vt:variant>
      <vt:variant>
        <vt:i4>54</vt:i4>
      </vt:variant>
      <vt:variant>
        <vt:i4>0</vt:i4>
      </vt:variant>
      <vt:variant>
        <vt:i4>5</vt:i4>
      </vt:variant>
      <vt:variant>
        <vt:lpwstr>https://eur-lex.europa.eu/eli/reg_del/2014/240/oj/eng</vt:lpwstr>
      </vt:variant>
      <vt:variant>
        <vt:lpwstr/>
      </vt:variant>
      <vt:variant>
        <vt:i4>4456554</vt:i4>
      </vt:variant>
      <vt:variant>
        <vt:i4>51</vt:i4>
      </vt:variant>
      <vt:variant>
        <vt:i4>0</vt:i4>
      </vt:variant>
      <vt:variant>
        <vt:i4>5</vt:i4>
      </vt:variant>
      <vt:variant>
        <vt:lpwstr>https://www.skgo.org/storage/app/uploads/public/175/515/816/1755158163_Prirucnik za primenu Uredbe o KP u LS sa prilozima.zip</vt:lpwstr>
      </vt:variant>
      <vt:variant>
        <vt:lpwstr/>
      </vt:variant>
      <vt:variant>
        <vt:i4>73073740</vt:i4>
      </vt:variant>
      <vt:variant>
        <vt:i4>48</vt:i4>
      </vt:variant>
      <vt:variant>
        <vt:i4>0</vt:i4>
      </vt:variant>
      <vt:variant>
        <vt:i4>5</vt:i4>
      </vt:variant>
      <vt:variant>
        <vt:lpwstr>https://rsjp.gov.rs/wp-content/uploads/Методологија-за-повезивање-циљева-ДЈП-са-циљевима-одрживог-развоја.pdf</vt:lpwstr>
      </vt:variant>
      <vt:variant>
        <vt:lpwstr/>
      </vt:variant>
      <vt:variant>
        <vt:i4>5701741</vt:i4>
      </vt:variant>
      <vt:variant>
        <vt:i4>45</vt:i4>
      </vt:variant>
      <vt:variant>
        <vt:i4>0</vt:i4>
      </vt:variant>
      <vt:variant>
        <vt:i4>5</vt:i4>
      </vt:variant>
      <vt:variant>
        <vt:lpwstr>https://www.sigmaweb.org/en/publications/public-administration-in-serbia-2024_02001fe4-en.html</vt:lpwstr>
      </vt:variant>
      <vt:variant>
        <vt:lpwstr/>
      </vt:variant>
      <vt:variant>
        <vt:i4>5701741</vt:i4>
      </vt:variant>
      <vt:variant>
        <vt:i4>42</vt:i4>
      </vt:variant>
      <vt:variant>
        <vt:i4>0</vt:i4>
      </vt:variant>
      <vt:variant>
        <vt:i4>5</vt:i4>
      </vt:variant>
      <vt:variant>
        <vt:lpwstr>https://www.sigmaweb.org/en/publications/public-administration-in-serbia-2024_02001fe4-en.html</vt:lpwstr>
      </vt:variant>
      <vt:variant>
        <vt:lpwstr/>
      </vt:variant>
      <vt:variant>
        <vt:i4>4587593</vt:i4>
      </vt:variant>
      <vt:variant>
        <vt:i4>39</vt:i4>
      </vt:variant>
      <vt:variant>
        <vt:i4>0</vt:i4>
      </vt:variant>
      <vt:variant>
        <vt:i4>5</vt:i4>
      </vt:variant>
      <vt:variant>
        <vt:lpwstr>https://rsjp.gov.rs/cir/dokumenti-kategorija-cir/prirucnici-cir/</vt:lpwstr>
      </vt:variant>
      <vt:variant>
        <vt:lpwstr/>
      </vt:variant>
      <vt:variant>
        <vt:i4>4587641</vt:i4>
      </vt:variant>
      <vt:variant>
        <vt:i4>33</vt:i4>
      </vt:variant>
      <vt:variant>
        <vt:i4>0</vt:i4>
      </vt:variant>
      <vt:variant>
        <vt:i4>5</vt:i4>
      </vt:variant>
      <vt:variant>
        <vt:lpwstr>https://www.sigmaweb.org/en/publications/inter-municipal-co-operation-in-the-western-balkans_a78a01e6-en.html</vt:lpwstr>
      </vt:variant>
      <vt:variant>
        <vt:lpwstr/>
      </vt:variant>
      <vt:variant>
        <vt:i4>7602299</vt:i4>
      </vt:variant>
      <vt:variant>
        <vt:i4>27</vt:i4>
      </vt:variant>
      <vt:variant>
        <vt:i4>0</vt:i4>
      </vt:variant>
      <vt:variant>
        <vt:i4>5</vt:i4>
      </vt:variant>
      <vt:variant>
        <vt:lpwstr>https://pravno-informacioni-sistem.rs/eli/rep/sgrs/ministarstva/pravilnik/2024/69/1</vt:lpwstr>
      </vt:variant>
      <vt:variant>
        <vt:lpwstr/>
      </vt:variant>
      <vt:variant>
        <vt:i4>4456541</vt:i4>
      </vt:variant>
      <vt:variant>
        <vt:i4>12</vt:i4>
      </vt:variant>
      <vt:variant>
        <vt:i4>0</vt:i4>
      </vt:variant>
      <vt:variant>
        <vt:i4>5</vt:i4>
      </vt:variant>
      <vt:variant>
        <vt:lpwstr>https://napa.gov.rs/extfile/sr/8109/Aneks-evaluacija-2024.pdf</vt:lpwstr>
      </vt:variant>
      <vt:variant>
        <vt:lpwstr/>
      </vt:variant>
      <vt:variant>
        <vt:i4>4653074</vt:i4>
      </vt:variant>
      <vt:variant>
        <vt:i4>9</vt:i4>
      </vt:variant>
      <vt:variant>
        <vt:i4>0</vt:i4>
      </vt:variant>
      <vt:variant>
        <vt:i4>5</vt:i4>
      </vt:variant>
      <vt:variant>
        <vt:lpwstr>https://www.mfin.gov.rs/o-ministarstvu/konsolidovani-godinji-izvetaj</vt:lpwstr>
      </vt:variant>
      <vt:variant>
        <vt:lpwstr/>
      </vt:variant>
      <vt:variant>
        <vt:i4>3080309</vt:i4>
      </vt:variant>
      <vt:variant>
        <vt:i4>6</vt:i4>
      </vt:variant>
      <vt:variant>
        <vt:i4>0</vt:i4>
      </vt:variant>
      <vt:variant>
        <vt:i4>5</vt:i4>
      </vt:variant>
      <vt:variant>
        <vt:lpwstr>https://www.transparentnost.org.rs/sr/istraivanja-o-korupciji/lipa</vt:lpwstr>
      </vt:variant>
      <vt:variant>
        <vt:lpwstr/>
      </vt:variant>
      <vt:variant>
        <vt:i4>7667763</vt:i4>
      </vt:variant>
      <vt:variant>
        <vt:i4>3</vt:i4>
      </vt:variant>
      <vt:variant>
        <vt:i4>0</vt:i4>
      </vt:variant>
      <vt:variant>
        <vt:i4>5</vt:i4>
      </vt:variant>
      <vt:variant>
        <vt:lpwstr>https://med.org.rs/</vt:lpwstr>
      </vt:variant>
      <vt:variant>
        <vt:lpwstr/>
      </vt:variant>
      <vt:variant>
        <vt:i4>3866737</vt:i4>
      </vt:variant>
      <vt:variant>
        <vt:i4>0</vt:i4>
      </vt:variant>
      <vt:variant>
        <vt:i4>0</vt:i4>
      </vt:variant>
      <vt:variant>
        <vt:i4>5</vt:i4>
      </vt:variant>
      <vt:variant>
        <vt:lpwstr>https://www.congress-monitoring.eu/en/pays.html</vt:lpwstr>
      </vt:variant>
      <vt:variant>
        <vt:lpwstr/>
      </vt:variant>
      <vt:variant>
        <vt:i4>458765</vt:i4>
      </vt:variant>
      <vt:variant>
        <vt:i4>3</vt:i4>
      </vt:variant>
      <vt:variant>
        <vt:i4>0</vt:i4>
      </vt:variant>
      <vt:variant>
        <vt:i4>5</vt:i4>
      </vt:variant>
      <vt:variant>
        <vt:lpwstr>https://napa.gov.rs/extfile/sr/10753/%D0%90%D0%BD%D0%B5%D0%BA%D1%81-%D0%95%D0%B2%D0%B0%D0%BB%D1%83%D0%B0%D1%86%D0%B8%D1%98%D0%B0 2025.pdf</vt:lpwstr>
      </vt:variant>
      <vt:variant>
        <vt:lpwstr/>
      </vt:variant>
      <vt:variant>
        <vt:i4>917619</vt:i4>
      </vt:variant>
      <vt:variant>
        <vt:i4>0</vt:i4>
      </vt:variant>
      <vt:variant>
        <vt:i4>0</vt:i4>
      </vt:variant>
      <vt:variant>
        <vt:i4>5</vt:i4>
      </vt:variant>
      <vt:variant>
        <vt:lpwstr>mailto:Milena.Radomirovic@skgo.org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skgo</dc:creator>
  <cp:keywords/>
  <dc:description/>
  <cp:lastModifiedBy>Dušanka Jovanović</cp:lastModifiedBy>
  <cp:revision>128</cp:revision>
  <cp:lastPrinted>2026-02-25T08:25:00Z</cp:lastPrinted>
  <dcterms:created xsi:type="dcterms:W3CDTF">2026-02-23T14:25:00Z</dcterms:created>
  <dcterms:modified xsi:type="dcterms:W3CDTF">2026-03-16T10:14:00Z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0x010100B7ADCEB8184A204D8954175542BA33E1</vt:lpwstr>
  </property>
  <property fmtid="{D5CDD505-2E9C-101B-9397-08002B2CF9AE}" pid="3" name="MediaServiceImageTags">
    <vt:lpwstr/>
  </property>
</Properties>
</file>